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25A" w14:textId="10B8AE6C" w:rsidR="00F57370" w:rsidRPr="009C26F4" w:rsidRDefault="00F57370" w:rsidP="00DB0526">
      <w:pPr>
        <w:spacing w:line="276" w:lineRule="auto"/>
        <w:jc w:val="center"/>
        <w:rPr>
          <w:b/>
          <w:caps/>
          <w:lang w:val="en-GB"/>
        </w:rPr>
      </w:pPr>
      <w:r w:rsidRPr="009C26F4">
        <w:rPr>
          <w:b/>
          <w:caps/>
          <w:lang w:val="en-GB"/>
        </w:rPr>
        <w:t>Report of the Technical Committee to</w:t>
      </w:r>
    </w:p>
    <w:p w14:paraId="443F2CDE" w14:textId="4E33C3AC" w:rsidR="00F57370" w:rsidRPr="009C26F4" w:rsidRDefault="00F57370">
      <w:pPr>
        <w:spacing w:line="276" w:lineRule="auto"/>
        <w:jc w:val="center"/>
        <w:rPr>
          <w:b/>
          <w:caps/>
          <w:lang w:val="en-GB"/>
        </w:rPr>
      </w:pPr>
      <w:r w:rsidRPr="009C26F4">
        <w:rPr>
          <w:b/>
          <w:caps/>
          <w:lang w:val="en-GB"/>
        </w:rPr>
        <w:t xml:space="preserve">the </w:t>
      </w:r>
      <w:r w:rsidR="00275603">
        <w:rPr>
          <w:b/>
          <w:caps/>
          <w:lang w:val="en-GB"/>
        </w:rPr>
        <w:t>9</w:t>
      </w:r>
      <w:r w:rsidRPr="009C26F4">
        <w:rPr>
          <w:b/>
          <w:vertAlign w:val="superscript"/>
          <w:lang w:val="en-GB"/>
        </w:rPr>
        <w:t xml:space="preserve">th </w:t>
      </w:r>
      <w:r w:rsidRPr="009C26F4">
        <w:rPr>
          <w:b/>
          <w:caps/>
          <w:lang w:val="en-GB"/>
        </w:rPr>
        <w:t>Session of the Meeting of the Parties</w:t>
      </w:r>
    </w:p>
    <w:p w14:paraId="46A92700" w14:textId="54B0ADE4" w:rsidR="00F75E57" w:rsidRDefault="00F75E57" w:rsidP="009D5FB8">
      <w:pPr>
        <w:spacing w:line="276" w:lineRule="auto"/>
        <w:jc w:val="center"/>
        <w:rPr>
          <w:b/>
          <w:caps/>
          <w:sz w:val="22"/>
          <w:szCs w:val="22"/>
          <w:lang w:val="en-GB"/>
        </w:rPr>
      </w:pPr>
    </w:p>
    <w:p w14:paraId="72421B84" w14:textId="77777777" w:rsidR="004820B2" w:rsidRPr="00860CD7" w:rsidRDefault="004820B2" w:rsidP="004820B2">
      <w:pPr>
        <w:spacing w:line="276" w:lineRule="auto"/>
        <w:jc w:val="both"/>
        <w:rPr>
          <w:b/>
          <w:color w:val="FF0000"/>
          <w:sz w:val="22"/>
          <w:szCs w:val="22"/>
          <w:u w:val="single"/>
          <w:lang w:val="en-GB"/>
        </w:rPr>
      </w:pPr>
    </w:p>
    <w:p w14:paraId="2BFBB9E8" w14:textId="77777777" w:rsidR="00F57370" w:rsidRPr="00860CD7" w:rsidRDefault="00F57370" w:rsidP="009D5FB8">
      <w:pPr>
        <w:pStyle w:val="Heading1"/>
        <w:numPr>
          <w:ilvl w:val="0"/>
          <w:numId w:val="0"/>
        </w:numPr>
        <w:tabs>
          <w:tab w:val="left" w:pos="1296"/>
        </w:tabs>
        <w:spacing w:after="120" w:line="276" w:lineRule="auto"/>
        <w:jc w:val="both"/>
        <w:rPr>
          <w:sz w:val="22"/>
          <w:szCs w:val="22"/>
        </w:rPr>
      </w:pPr>
      <w:r w:rsidRPr="00860CD7">
        <w:rPr>
          <w:sz w:val="22"/>
          <w:szCs w:val="22"/>
        </w:rPr>
        <w:t>I</w:t>
      </w:r>
      <w:r w:rsidRPr="00860CD7">
        <w:t>ntroduction</w:t>
      </w:r>
    </w:p>
    <w:p w14:paraId="7317B85E" w14:textId="34D76829" w:rsidR="00E83A15" w:rsidRDefault="00F57370" w:rsidP="007F774A">
      <w:pPr>
        <w:spacing w:line="276" w:lineRule="auto"/>
        <w:jc w:val="both"/>
        <w:rPr>
          <w:sz w:val="22"/>
          <w:szCs w:val="22"/>
          <w:lang w:val="en-GB"/>
        </w:rPr>
      </w:pPr>
      <w:r w:rsidRPr="00860CD7">
        <w:rPr>
          <w:sz w:val="22"/>
          <w:szCs w:val="22"/>
          <w:lang w:val="en-GB"/>
        </w:rPr>
        <w:t xml:space="preserve">This report is submitted to the </w:t>
      </w:r>
      <w:r w:rsidR="00275603">
        <w:rPr>
          <w:sz w:val="22"/>
          <w:szCs w:val="22"/>
          <w:lang w:val="en-GB"/>
        </w:rPr>
        <w:t>9</w:t>
      </w:r>
      <w:r w:rsidRPr="00860CD7">
        <w:rPr>
          <w:sz w:val="22"/>
          <w:szCs w:val="22"/>
          <w:vertAlign w:val="superscript"/>
          <w:lang w:val="en-GB"/>
        </w:rPr>
        <w:t>th</w:t>
      </w:r>
      <w:r w:rsidRPr="00860CD7">
        <w:rPr>
          <w:sz w:val="22"/>
          <w:szCs w:val="22"/>
          <w:lang w:val="en-GB"/>
        </w:rPr>
        <w:t xml:space="preserve"> Session</w:t>
      </w:r>
      <w:r w:rsidR="00E83A15" w:rsidRPr="00860CD7">
        <w:rPr>
          <w:sz w:val="22"/>
          <w:szCs w:val="22"/>
          <w:lang w:val="en-GB"/>
        </w:rPr>
        <w:t xml:space="preserve"> of the Meeting of Parties (MOP</w:t>
      </w:r>
      <w:r w:rsidR="00275603">
        <w:rPr>
          <w:sz w:val="22"/>
          <w:szCs w:val="22"/>
          <w:lang w:val="en-GB"/>
        </w:rPr>
        <w:t>9</w:t>
      </w:r>
      <w:r w:rsidRPr="00860CD7">
        <w:rPr>
          <w:sz w:val="22"/>
          <w:szCs w:val="22"/>
          <w:lang w:val="en-GB"/>
        </w:rPr>
        <w:t xml:space="preserve">) by the </w:t>
      </w:r>
      <w:r w:rsidR="00866043" w:rsidRPr="00860CD7">
        <w:rPr>
          <w:color w:val="333333"/>
          <w:sz w:val="22"/>
          <w:szCs w:val="22"/>
          <w:lang w:val="en-GB"/>
        </w:rPr>
        <w:t xml:space="preserve">AEWA </w:t>
      </w:r>
      <w:r w:rsidRPr="00860CD7">
        <w:rPr>
          <w:sz w:val="22"/>
          <w:szCs w:val="22"/>
          <w:lang w:val="en-GB"/>
        </w:rPr>
        <w:t>Technical Committee (TC)</w:t>
      </w:r>
      <w:r w:rsidR="00FF0749" w:rsidRPr="00860CD7">
        <w:rPr>
          <w:sz w:val="22"/>
          <w:szCs w:val="22"/>
          <w:lang w:val="en-GB"/>
        </w:rPr>
        <w:t xml:space="preserve"> in accordance with Article VII</w:t>
      </w:r>
      <w:r w:rsidR="00B126CE">
        <w:rPr>
          <w:sz w:val="22"/>
          <w:szCs w:val="22"/>
          <w:lang w:val="en-GB"/>
        </w:rPr>
        <w:t>,</w:t>
      </w:r>
      <w:r w:rsidR="00FF0749" w:rsidRPr="00860CD7">
        <w:rPr>
          <w:sz w:val="22"/>
          <w:szCs w:val="22"/>
          <w:lang w:val="en-GB"/>
        </w:rPr>
        <w:t xml:space="preserve"> paragraph 3(c) of the Agreement</w:t>
      </w:r>
      <w:r w:rsidR="00866043" w:rsidRPr="00860CD7">
        <w:rPr>
          <w:sz w:val="22"/>
          <w:szCs w:val="22"/>
          <w:lang w:val="en-GB"/>
        </w:rPr>
        <w:t>. It</w:t>
      </w:r>
      <w:r w:rsidRPr="00860CD7">
        <w:rPr>
          <w:sz w:val="22"/>
          <w:szCs w:val="22"/>
          <w:lang w:val="en-GB"/>
        </w:rPr>
        <w:t xml:space="preserve"> describes the activities of </w:t>
      </w:r>
      <w:r w:rsidR="00E83A15" w:rsidRPr="00860CD7">
        <w:rPr>
          <w:sz w:val="22"/>
          <w:szCs w:val="22"/>
          <w:lang w:val="en-GB"/>
        </w:rPr>
        <w:t xml:space="preserve">the Technical Committee </w:t>
      </w:r>
      <w:r w:rsidR="009D5FB8" w:rsidRPr="00860CD7">
        <w:rPr>
          <w:sz w:val="22"/>
          <w:szCs w:val="22"/>
          <w:lang w:val="en-GB"/>
        </w:rPr>
        <w:t>during</w:t>
      </w:r>
      <w:r w:rsidR="00E83A15" w:rsidRPr="00860CD7">
        <w:rPr>
          <w:sz w:val="22"/>
          <w:szCs w:val="22"/>
          <w:lang w:val="en-GB"/>
        </w:rPr>
        <w:t xml:space="preserve"> </w:t>
      </w:r>
      <w:r w:rsidR="00D85320" w:rsidRPr="00860CD7">
        <w:rPr>
          <w:sz w:val="22"/>
          <w:szCs w:val="22"/>
          <w:lang w:val="en-GB"/>
        </w:rPr>
        <w:t xml:space="preserve">the </w:t>
      </w:r>
      <w:r w:rsidR="00467F45">
        <w:rPr>
          <w:sz w:val="22"/>
          <w:szCs w:val="22"/>
          <w:lang w:val="en-GB"/>
        </w:rPr>
        <w:t xml:space="preserve">triennial </w:t>
      </w:r>
      <w:r w:rsidR="00D85320" w:rsidRPr="00860CD7">
        <w:rPr>
          <w:sz w:val="22"/>
          <w:szCs w:val="22"/>
          <w:lang w:val="en-GB"/>
        </w:rPr>
        <w:t xml:space="preserve">period </w:t>
      </w:r>
      <w:r w:rsidR="00E83A15" w:rsidRPr="00860CD7">
        <w:rPr>
          <w:sz w:val="22"/>
          <w:szCs w:val="22"/>
          <w:lang w:val="en-GB"/>
        </w:rPr>
        <w:t>20</w:t>
      </w:r>
      <w:r w:rsidR="00275603">
        <w:rPr>
          <w:sz w:val="22"/>
          <w:szCs w:val="22"/>
          <w:lang w:val="en-GB"/>
        </w:rPr>
        <w:t>23</w:t>
      </w:r>
      <w:r w:rsidR="00E83A15" w:rsidRPr="00860CD7">
        <w:rPr>
          <w:sz w:val="22"/>
          <w:szCs w:val="22"/>
          <w:lang w:val="en-GB"/>
        </w:rPr>
        <w:t>-20</w:t>
      </w:r>
      <w:r w:rsidR="009E10A0">
        <w:rPr>
          <w:sz w:val="22"/>
          <w:szCs w:val="22"/>
          <w:lang w:val="en-GB"/>
        </w:rPr>
        <w:t>2</w:t>
      </w:r>
      <w:r w:rsidR="00275603">
        <w:rPr>
          <w:sz w:val="22"/>
          <w:szCs w:val="22"/>
          <w:lang w:val="en-GB"/>
        </w:rPr>
        <w:t>5</w:t>
      </w:r>
      <w:r w:rsidRPr="00860CD7">
        <w:rPr>
          <w:sz w:val="22"/>
          <w:szCs w:val="22"/>
          <w:lang w:val="en-GB"/>
        </w:rPr>
        <w:t xml:space="preserve"> </w:t>
      </w:r>
      <w:r w:rsidR="00E83A15" w:rsidRPr="00860CD7">
        <w:rPr>
          <w:sz w:val="22"/>
          <w:szCs w:val="22"/>
          <w:lang w:val="en-GB"/>
        </w:rPr>
        <w:t xml:space="preserve">and </w:t>
      </w:r>
      <w:r w:rsidR="00D85320" w:rsidRPr="00860CD7">
        <w:rPr>
          <w:sz w:val="22"/>
          <w:szCs w:val="22"/>
          <w:lang w:val="en-GB"/>
        </w:rPr>
        <w:t xml:space="preserve">presents a </w:t>
      </w:r>
      <w:r w:rsidRPr="00860CD7">
        <w:rPr>
          <w:sz w:val="22"/>
          <w:szCs w:val="22"/>
          <w:lang w:val="en-GB"/>
        </w:rPr>
        <w:t xml:space="preserve">summary of results achieved. </w:t>
      </w:r>
    </w:p>
    <w:p w14:paraId="3F169B32" w14:textId="77777777" w:rsidR="007F774A" w:rsidRPr="00860CD7" w:rsidRDefault="007F774A" w:rsidP="007F774A">
      <w:pPr>
        <w:spacing w:line="276" w:lineRule="auto"/>
        <w:jc w:val="both"/>
        <w:rPr>
          <w:sz w:val="22"/>
          <w:szCs w:val="22"/>
          <w:lang w:val="en-GB"/>
        </w:rPr>
      </w:pPr>
    </w:p>
    <w:p w14:paraId="7008EC1A" w14:textId="3FBC31AD" w:rsidR="00866043" w:rsidRDefault="00866043" w:rsidP="007F774A">
      <w:pPr>
        <w:pStyle w:val="NormalWeb"/>
        <w:shd w:val="clear" w:color="auto" w:fill="FFFFFF"/>
        <w:spacing w:before="0" w:beforeAutospacing="0" w:after="0" w:afterAutospacing="0" w:line="276" w:lineRule="auto"/>
        <w:jc w:val="both"/>
        <w:rPr>
          <w:color w:val="333333"/>
          <w:sz w:val="22"/>
          <w:szCs w:val="22"/>
          <w:lang w:val="en-GB"/>
        </w:rPr>
      </w:pPr>
      <w:r w:rsidRPr="00860CD7">
        <w:rPr>
          <w:color w:val="333333"/>
          <w:sz w:val="22"/>
          <w:szCs w:val="22"/>
          <w:lang w:val="en-GB"/>
        </w:rPr>
        <w:t>The Technical Committee is a subsidiary body to the Agreement on the Conservation of African-Eurasian Migratory Waterbirds</w:t>
      </w:r>
      <w:r w:rsidR="00275603">
        <w:rPr>
          <w:color w:val="333333"/>
          <w:sz w:val="22"/>
          <w:szCs w:val="22"/>
          <w:lang w:val="en-GB"/>
        </w:rPr>
        <w:t xml:space="preserve"> (AEWA)</w:t>
      </w:r>
      <w:r w:rsidR="00747884" w:rsidRPr="00860CD7">
        <w:rPr>
          <w:color w:val="333333"/>
          <w:sz w:val="22"/>
          <w:szCs w:val="22"/>
          <w:lang w:val="en-GB"/>
        </w:rPr>
        <w:t>,</w:t>
      </w:r>
      <w:r w:rsidRPr="00860CD7">
        <w:rPr>
          <w:color w:val="333333"/>
          <w:sz w:val="22"/>
          <w:szCs w:val="22"/>
          <w:lang w:val="en-GB"/>
        </w:rPr>
        <w:t xml:space="preserve"> which was established in accordance with Article VII of the Agreement.</w:t>
      </w:r>
    </w:p>
    <w:p w14:paraId="4A432F8E" w14:textId="77777777" w:rsidR="007F774A" w:rsidRPr="00860CD7" w:rsidRDefault="007F774A" w:rsidP="007F774A">
      <w:pPr>
        <w:pStyle w:val="NormalWeb"/>
        <w:shd w:val="clear" w:color="auto" w:fill="FFFFFF"/>
        <w:spacing w:before="0" w:beforeAutospacing="0" w:after="0" w:afterAutospacing="0" w:line="276" w:lineRule="auto"/>
        <w:jc w:val="both"/>
        <w:rPr>
          <w:color w:val="333333"/>
          <w:sz w:val="22"/>
          <w:szCs w:val="22"/>
          <w:lang w:val="en-GB"/>
        </w:rPr>
      </w:pPr>
    </w:p>
    <w:p w14:paraId="21568853" w14:textId="77777777" w:rsidR="00866043" w:rsidRPr="00860CD7" w:rsidRDefault="00866043" w:rsidP="009D5FB8">
      <w:pPr>
        <w:pStyle w:val="NormalWeb"/>
        <w:shd w:val="clear" w:color="auto" w:fill="FFFFFF"/>
        <w:spacing w:before="0" w:beforeAutospacing="0" w:after="0" w:afterAutospacing="0" w:line="276" w:lineRule="auto"/>
        <w:jc w:val="both"/>
        <w:rPr>
          <w:color w:val="333333"/>
          <w:sz w:val="22"/>
          <w:szCs w:val="22"/>
          <w:lang w:val="en-GB"/>
        </w:rPr>
      </w:pPr>
      <w:r w:rsidRPr="00860CD7">
        <w:rPr>
          <w:color w:val="333333"/>
          <w:sz w:val="22"/>
          <w:szCs w:val="22"/>
          <w:lang w:val="en-GB"/>
        </w:rPr>
        <w:t>The Technical Committee has the following general functions:</w:t>
      </w:r>
    </w:p>
    <w:p w14:paraId="0FB89AC4" w14:textId="77777777" w:rsidR="009D5FB8" w:rsidRPr="00860CD7" w:rsidRDefault="009D5FB8" w:rsidP="009D5FB8">
      <w:pPr>
        <w:pStyle w:val="NormalWeb"/>
        <w:shd w:val="clear" w:color="auto" w:fill="FFFFFF"/>
        <w:spacing w:before="0" w:beforeAutospacing="0" w:after="0" w:afterAutospacing="0" w:line="276" w:lineRule="auto"/>
        <w:jc w:val="both"/>
        <w:rPr>
          <w:color w:val="333333"/>
          <w:sz w:val="22"/>
          <w:szCs w:val="22"/>
          <w:lang w:val="en-GB"/>
        </w:rPr>
      </w:pPr>
    </w:p>
    <w:p w14:paraId="38161709" w14:textId="61D274ED" w:rsidR="00866043" w:rsidRPr="005B3FEC" w:rsidRDefault="00866043" w:rsidP="005B3FEC">
      <w:pPr>
        <w:pStyle w:val="ListParagraph"/>
        <w:numPr>
          <w:ilvl w:val="0"/>
          <w:numId w:val="33"/>
        </w:numPr>
        <w:shd w:val="clear" w:color="auto" w:fill="FFFFFF"/>
        <w:spacing w:line="276" w:lineRule="auto"/>
        <w:jc w:val="both"/>
        <w:rPr>
          <w:color w:val="333333"/>
          <w:sz w:val="22"/>
          <w:szCs w:val="22"/>
        </w:rPr>
      </w:pPr>
      <w:r w:rsidRPr="005B3FEC">
        <w:rPr>
          <w:color w:val="333333"/>
          <w:sz w:val="22"/>
          <w:szCs w:val="22"/>
        </w:rPr>
        <w:t>It provides scientific and technical advice and information to the Meeting of the Parties and, through the Agreement Secretariat, to Parties;</w:t>
      </w:r>
    </w:p>
    <w:p w14:paraId="0A4DFF5D" w14:textId="77777777" w:rsidR="002C6701" w:rsidRPr="002C6701" w:rsidRDefault="002C6701" w:rsidP="002C6701">
      <w:pPr>
        <w:shd w:val="clear" w:color="auto" w:fill="FFFFFF"/>
        <w:spacing w:line="276" w:lineRule="auto"/>
        <w:ind w:left="426"/>
        <w:jc w:val="both"/>
        <w:rPr>
          <w:color w:val="333333"/>
          <w:sz w:val="12"/>
          <w:szCs w:val="12"/>
          <w:lang w:val="en-GB"/>
        </w:rPr>
      </w:pPr>
    </w:p>
    <w:p w14:paraId="427E9933" w14:textId="1166BDDD" w:rsidR="00866043" w:rsidRPr="005B3FEC" w:rsidRDefault="00866043" w:rsidP="005B3FEC">
      <w:pPr>
        <w:pStyle w:val="ListParagraph"/>
        <w:numPr>
          <w:ilvl w:val="0"/>
          <w:numId w:val="33"/>
        </w:numPr>
        <w:shd w:val="clear" w:color="auto" w:fill="FFFFFF"/>
        <w:spacing w:line="276" w:lineRule="auto"/>
        <w:jc w:val="both"/>
        <w:rPr>
          <w:color w:val="333333"/>
          <w:sz w:val="22"/>
          <w:szCs w:val="22"/>
        </w:rPr>
      </w:pPr>
      <w:r w:rsidRPr="005B3FEC">
        <w:rPr>
          <w:color w:val="333333"/>
          <w:sz w:val="22"/>
          <w:szCs w:val="22"/>
        </w:rPr>
        <w:t>It makes recommendations to the Meeting of the Parties concerning the Action Plan, implementation of the Agreement and further research to be carried out;</w:t>
      </w:r>
    </w:p>
    <w:p w14:paraId="7102BA41" w14:textId="77777777" w:rsidR="002C6701" w:rsidRPr="002C6701" w:rsidRDefault="002C6701" w:rsidP="002C6701">
      <w:pPr>
        <w:pStyle w:val="ListParagraph"/>
        <w:rPr>
          <w:color w:val="333333"/>
          <w:sz w:val="12"/>
          <w:szCs w:val="12"/>
        </w:rPr>
      </w:pPr>
    </w:p>
    <w:p w14:paraId="0DC806B5" w14:textId="7208028F" w:rsidR="00866043" w:rsidRPr="005B3FEC" w:rsidRDefault="00866043" w:rsidP="005B3FEC">
      <w:pPr>
        <w:pStyle w:val="ListParagraph"/>
        <w:numPr>
          <w:ilvl w:val="0"/>
          <w:numId w:val="33"/>
        </w:numPr>
        <w:shd w:val="clear" w:color="auto" w:fill="FFFFFF"/>
        <w:spacing w:line="276" w:lineRule="auto"/>
        <w:jc w:val="both"/>
        <w:rPr>
          <w:color w:val="333333"/>
          <w:sz w:val="22"/>
          <w:szCs w:val="22"/>
        </w:rPr>
      </w:pPr>
      <w:r w:rsidRPr="005B3FEC">
        <w:rPr>
          <w:color w:val="333333"/>
          <w:sz w:val="22"/>
          <w:szCs w:val="22"/>
        </w:rPr>
        <w:t xml:space="preserve">It prepares a report on its activities for each ordinary session of the Meeting of the Parties; </w:t>
      </w:r>
    </w:p>
    <w:p w14:paraId="31DB0970" w14:textId="77777777" w:rsidR="002C6701" w:rsidRPr="002C6701" w:rsidRDefault="002C6701" w:rsidP="002C6701">
      <w:pPr>
        <w:pStyle w:val="ListParagraph"/>
        <w:rPr>
          <w:color w:val="333333"/>
          <w:sz w:val="12"/>
          <w:szCs w:val="12"/>
        </w:rPr>
      </w:pPr>
    </w:p>
    <w:p w14:paraId="4DB604AD" w14:textId="7D65507D" w:rsidR="00866043" w:rsidRPr="005B3FEC" w:rsidRDefault="00866043" w:rsidP="005B3FEC">
      <w:pPr>
        <w:pStyle w:val="ListParagraph"/>
        <w:numPr>
          <w:ilvl w:val="0"/>
          <w:numId w:val="33"/>
        </w:numPr>
        <w:shd w:val="clear" w:color="auto" w:fill="FFFFFF"/>
        <w:spacing w:line="276" w:lineRule="auto"/>
        <w:jc w:val="both"/>
        <w:rPr>
          <w:color w:val="333333"/>
          <w:sz w:val="22"/>
          <w:szCs w:val="22"/>
        </w:rPr>
      </w:pPr>
      <w:r w:rsidRPr="005B3FEC">
        <w:rPr>
          <w:color w:val="333333"/>
          <w:sz w:val="22"/>
          <w:szCs w:val="22"/>
        </w:rPr>
        <w:t>It carries out any other tasks referred to it by the Meeting of the Parties</w:t>
      </w:r>
      <w:r w:rsidR="009D5FB8" w:rsidRPr="005B3FEC">
        <w:rPr>
          <w:color w:val="333333"/>
          <w:sz w:val="22"/>
          <w:szCs w:val="22"/>
        </w:rPr>
        <w:t>; and</w:t>
      </w:r>
    </w:p>
    <w:p w14:paraId="31439386" w14:textId="77777777" w:rsidR="002C6701" w:rsidRPr="002C6701" w:rsidRDefault="002C6701" w:rsidP="002C6701">
      <w:pPr>
        <w:pStyle w:val="ListParagraph"/>
        <w:rPr>
          <w:color w:val="333333"/>
          <w:sz w:val="12"/>
          <w:szCs w:val="12"/>
        </w:rPr>
      </w:pPr>
    </w:p>
    <w:p w14:paraId="5ADE4028" w14:textId="5835D3A7" w:rsidR="00866043" w:rsidRPr="00860CD7" w:rsidRDefault="00866043" w:rsidP="005B3FEC">
      <w:pPr>
        <w:pStyle w:val="NormalWeb"/>
        <w:numPr>
          <w:ilvl w:val="0"/>
          <w:numId w:val="33"/>
        </w:numPr>
        <w:shd w:val="clear" w:color="auto" w:fill="FFFFFF"/>
        <w:spacing w:before="0" w:beforeAutospacing="0" w:after="91" w:afterAutospacing="0" w:line="276" w:lineRule="auto"/>
        <w:jc w:val="both"/>
        <w:rPr>
          <w:color w:val="333333"/>
          <w:sz w:val="22"/>
          <w:szCs w:val="22"/>
          <w:lang w:val="en-GB"/>
        </w:rPr>
      </w:pPr>
      <w:r w:rsidRPr="00860CD7">
        <w:rPr>
          <w:color w:val="333333"/>
          <w:sz w:val="22"/>
          <w:szCs w:val="22"/>
          <w:lang w:val="en-GB"/>
        </w:rPr>
        <w:t xml:space="preserve">The </w:t>
      </w:r>
      <w:r w:rsidR="00C515C5" w:rsidRPr="00860CD7">
        <w:rPr>
          <w:color w:val="333333"/>
          <w:sz w:val="22"/>
          <w:szCs w:val="22"/>
          <w:lang w:val="en-GB"/>
        </w:rPr>
        <w:t xml:space="preserve">TC </w:t>
      </w:r>
      <w:r w:rsidRPr="00860CD7">
        <w:rPr>
          <w:color w:val="333333"/>
          <w:sz w:val="22"/>
          <w:szCs w:val="22"/>
          <w:lang w:val="en-GB"/>
        </w:rPr>
        <w:t xml:space="preserve">works closely with the Standing Committee to ensure consistency across the Agreement’s work. </w:t>
      </w:r>
    </w:p>
    <w:p w14:paraId="1B501A2C" w14:textId="77777777" w:rsidR="00866043" w:rsidRPr="00860CD7" w:rsidRDefault="00866043" w:rsidP="009D5FB8">
      <w:pPr>
        <w:spacing w:line="276" w:lineRule="auto"/>
        <w:jc w:val="both"/>
        <w:rPr>
          <w:color w:val="000080"/>
          <w:highlight w:val="yellow"/>
          <w:lang w:val="en-GB"/>
        </w:rPr>
      </w:pPr>
    </w:p>
    <w:p w14:paraId="6B08C314" w14:textId="77777777" w:rsidR="00866043" w:rsidRDefault="00866043" w:rsidP="007F774A">
      <w:pPr>
        <w:pStyle w:val="Heading1"/>
        <w:numPr>
          <w:ilvl w:val="0"/>
          <w:numId w:val="0"/>
        </w:numPr>
        <w:tabs>
          <w:tab w:val="left" w:pos="1296"/>
        </w:tabs>
        <w:spacing w:line="276" w:lineRule="auto"/>
        <w:jc w:val="both"/>
      </w:pPr>
      <w:r w:rsidRPr="00860CD7">
        <w:t>Membership of the Committee</w:t>
      </w:r>
    </w:p>
    <w:p w14:paraId="546B5907" w14:textId="77777777" w:rsidR="007F774A" w:rsidRPr="007F774A" w:rsidRDefault="007F774A" w:rsidP="007F774A">
      <w:pPr>
        <w:rPr>
          <w:lang w:val="en-GB"/>
        </w:rPr>
      </w:pPr>
    </w:p>
    <w:p w14:paraId="4A30BFD7" w14:textId="77777777" w:rsidR="00866043" w:rsidRDefault="00866043" w:rsidP="007F774A">
      <w:pPr>
        <w:pStyle w:val="NormalWeb"/>
        <w:shd w:val="clear" w:color="auto" w:fill="FFFFFF"/>
        <w:spacing w:before="0" w:beforeAutospacing="0" w:after="0" w:afterAutospacing="0" w:line="276" w:lineRule="auto"/>
        <w:jc w:val="both"/>
        <w:rPr>
          <w:color w:val="333333"/>
          <w:sz w:val="22"/>
          <w:szCs w:val="22"/>
          <w:lang w:val="en-GB"/>
        </w:rPr>
      </w:pPr>
      <w:r w:rsidRPr="00860CD7">
        <w:rPr>
          <w:color w:val="333333"/>
          <w:sz w:val="22"/>
          <w:szCs w:val="22"/>
          <w:lang w:val="en-GB"/>
        </w:rPr>
        <w:t xml:space="preserve"> The </w:t>
      </w:r>
      <w:r w:rsidR="00747884" w:rsidRPr="00860CD7">
        <w:rPr>
          <w:color w:val="333333"/>
          <w:sz w:val="22"/>
          <w:szCs w:val="22"/>
          <w:lang w:val="en-GB"/>
        </w:rPr>
        <w:t xml:space="preserve">TC </w:t>
      </w:r>
      <w:r w:rsidRPr="00860CD7">
        <w:rPr>
          <w:color w:val="333333"/>
          <w:sz w:val="22"/>
          <w:szCs w:val="22"/>
          <w:lang w:val="en-GB"/>
        </w:rPr>
        <w:t>membership comprises:</w:t>
      </w:r>
    </w:p>
    <w:p w14:paraId="30484E84" w14:textId="77777777" w:rsidR="007F774A" w:rsidRPr="00860CD7" w:rsidRDefault="007F774A" w:rsidP="007F774A">
      <w:pPr>
        <w:pStyle w:val="NormalWeb"/>
        <w:shd w:val="clear" w:color="auto" w:fill="FFFFFF"/>
        <w:spacing w:before="0" w:beforeAutospacing="0" w:after="0" w:afterAutospacing="0" w:line="276" w:lineRule="auto"/>
        <w:jc w:val="both"/>
        <w:rPr>
          <w:color w:val="333333"/>
          <w:sz w:val="22"/>
          <w:szCs w:val="22"/>
          <w:lang w:val="en-GB"/>
        </w:rPr>
      </w:pPr>
    </w:p>
    <w:p w14:paraId="05A569C8" w14:textId="12894760" w:rsidR="002F757B" w:rsidRDefault="00866043" w:rsidP="00750823">
      <w:pPr>
        <w:pStyle w:val="ListParagraph"/>
        <w:numPr>
          <w:ilvl w:val="0"/>
          <w:numId w:val="33"/>
        </w:numPr>
        <w:shd w:val="clear" w:color="auto" w:fill="FFFFFF"/>
        <w:spacing w:line="276" w:lineRule="auto"/>
        <w:jc w:val="both"/>
        <w:rPr>
          <w:color w:val="333333"/>
          <w:sz w:val="22"/>
          <w:szCs w:val="22"/>
        </w:rPr>
      </w:pPr>
      <w:r w:rsidRPr="005B3FEC">
        <w:rPr>
          <w:color w:val="333333"/>
          <w:sz w:val="22"/>
          <w:szCs w:val="22"/>
        </w:rPr>
        <w:t xml:space="preserve">Nine experts representing the different regions of the Agreement </w:t>
      </w:r>
      <w:r w:rsidR="00B126CE">
        <w:rPr>
          <w:color w:val="333333"/>
          <w:sz w:val="22"/>
          <w:szCs w:val="22"/>
        </w:rPr>
        <w:t>a</w:t>
      </w:r>
      <w:r w:rsidRPr="005B3FEC">
        <w:rPr>
          <w:color w:val="333333"/>
          <w:sz w:val="22"/>
          <w:szCs w:val="22"/>
        </w:rPr>
        <w:t>rea (Northern &amp; Southwestern Europe</w:t>
      </w:r>
      <w:r w:rsidR="00411DA7" w:rsidRPr="005B3FEC">
        <w:rPr>
          <w:color w:val="333333"/>
          <w:sz w:val="22"/>
          <w:szCs w:val="22"/>
        </w:rPr>
        <w:t>/</w:t>
      </w:r>
      <w:r w:rsidR="009E10A0" w:rsidRPr="005B3FEC">
        <w:rPr>
          <w:color w:val="333333"/>
          <w:sz w:val="22"/>
          <w:szCs w:val="22"/>
        </w:rPr>
        <w:t>Ms</w:t>
      </w:r>
      <w:r w:rsidR="00411DA7" w:rsidRPr="005B3FEC">
        <w:rPr>
          <w:color w:val="333333"/>
          <w:sz w:val="22"/>
          <w:szCs w:val="22"/>
        </w:rPr>
        <w:t xml:space="preserve"> </w:t>
      </w:r>
      <w:r w:rsidR="00275603">
        <w:rPr>
          <w:color w:val="333333"/>
          <w:sz w:val="22"/>
          <w:szCs w:val="22"/>
        </w:rPr>
        <w:t xml:space="preserve">Maria Dias </w:t>
      </w:r>
      <w:r w:rsidR="00BD12D7" w:rsidRPr="005B3FEC">
        <w:rPr>
          <w:color w:val="333333"/>
          <w:sz w:val="22"/>
          <w:szCs w:val="22"/>
        </w:rPr>
        <w:t>(</w:t>
      </w:r>
      <w:r w:rsidR="00275603">
        <w:rPr>
          <w:color w:val="333333"/>
          <w:sz w:val="22"/>
          <w:szCs w:val="22"/>
        </w:rPr>
        <w:t>Portugal</w:t>
      </w:r>
      <w:r w:rsidR="00BD12D7" w:rsidRPr="005B3FEC">
        <w:rPr>
          <w:color w:val="333333"/>
          <w:sz w:val="22"/>
          <w:szCs w:val="22"/>
        </w:rPr>
        <w:t>)</w:t>
      </w:r>
      <w:r w:rsidRPr="005B3FEC">
        <w:rPr>
          <w:color w:val="333333"/>
          <w:sz w:val="22"/>
          <w:szCs w:val="22"/>
        </w:rPr>
        <w:t>, Central Europe</w:t>
      </w:r>
      <w:r w:rsidR="00411DA7" w:rsidRPr="005B3FEC">
        <w:rPr>
          <w:color w:val="333333"/>
          <w:sz w:val="22"/>
          <w:szCs w:val="22"/>
        </w:rPr>
        <w:t>/</w:t>
      </w:r>
      <w:r w:rsidR="009E10A0" w:rsidRPr="005B3FEC">
        <w:rPr>
          <w:color w:val="333333"/>
          <w:sz w:val="22"/>
          <w:szCs w:val="22"/>
        </w:rPr>
        <w:t>M</w:t>
      </w:r>
      <w:r w:rsidR="00411DA7" w:rsidRPr="005B3FEC">
        <w:rPr>
          <w:color w:val="333333"/>
          <w:sz w:val="22"/>
          <w:szCs w:val="22"/>
        </w:rPr>
        <w:t xml:space="preserve">r </w:t>
      </w:r>
      <w:r w:rsidR="009E10A0" w:rsidRPr="005B3FEC">
        <w:rPr>
          <w:color w:val="333333"/>
          <w:sz w:val="22"/>
          <w:szCs w:val="22"/>
        </w:rPr>
        <w:t xml:space="preserve">Taulant Bino </w:t>
      </w:r>
      <w:r w:rsidR="00BD12D7" w:rsidRPr="005B3FEC">
        <w:rPr>
          <w:color w:val="333333"/>
          <w:sz w:val="22"/>
          <w:szCs w:val="22"/>
        </w:rPr>
        <w:t>(</w:t>
      </w:r>
      <w:r w:rsidR="009E10A0" w:rsidRPr="005B3FEC">
        <w:rPr>
          <w:color w:val="333333"/>
          <w:sz w:val="22"/>
          <w:szCs w:val="22"/>
        </w:rPr>
        <w:t>Albania</w:t>
      </w:r>
      <w:r w:rsidR="00BD12D7" w:rsidRPr="005B3FEC">
        <w:rPr>
          <w:color w:val="333333"/>
          <w:sz w:val="22"/>
          <w:szCs w:val="22"/>
        </w:rPr>
        <w:t>)</w:t>
      </w:r>
      <w:r w:rsidRPr="005B3FEC">
        <w:rPr>
          <w:color w:val="333333"/>
          <w:sz w:val="22"/>
          <w:szCs w:val="22"/>
        </w:rPr>
        <w:t>, Eastern Europe</w:t>
      </w:r>
      <w:r w:rsidR="009E10A0" w:rsidRPr="005B3FEC">
        <w:rPr>
          <w:color w:val="333333"/>
          <w:sz w:val="22"/>
          <w:szCs w:val="22"/>
        </w:rPr>
        <w:t>/</w:t>
      </w:r>
      <w:r w:rsidR="00275603">
        <w:rPr>
          <w:color w:val="333333"/>
          <w:sz w:val="22"/>
          <w:szCs w:val="22"/>
        </w:rPr>
        <w:t xml:space="preserve">Mr Zurab </w:t>
      </w:r>
      <w:r w:rsidR="00275603" w:rsidRPr="00275603">
        <w:rPr>
          <w:color w:val="333333"/>
          <w:sz w:val="22"/>
          <w:szCs w:val="22"/>
        </w:rPr>
        <w:t>Javakhishvili</w:t>
      </w:r>
      <w:r w:rsidR="00275603">
        <w:rPr>
          <w:color w:val="333333"/>
          <w:sz w:val="22"/>
          <w:szCs w:val="22"/>
        </w:rPr>
        <w:t xml:space="preserve"> (Georgia)</w:t>
      </w:r>
      <w:r w:rsidRPr="005B3FEC">
        <w:rPr>
          <w:color w:val="333333"/>
          <w:sz w:val="22"/>
          <w:szCs w:val="22"/>
        </w:rPr>
        <w:t>, Southwestern Asia</w:t>
      </w:r>
      <w:r w:rsidR="00411DA7" w:rsidRPr="005B3FEC">
        <w:rPr>
          <w:color w:val="333333"/>
          <w:sz w:val="22"/>
          <w:szCs w:val="22"/>
        </w:rPr>
        <w:t>/</w:t>
      </w:r>
      <w:r w:rsidR="00411DA7" w:rsidRPr="00B126CE">
        <w:rPr>
          <w:color w:val="333333"/>
          <w:sz w:val="22"/>
          <w:szCs w:val="22"/>
        </w:rPr>
        <w:t xml:space="preserve">Mr </w:t>
      </w:r>
      <w:r w:rsidR="00275603" w:rsidRPr="00B126CE">
        <w:rPr>
          <w:color w:val="333333"/>
          <w:sz w:val="22"/>
          <w:szCs w:val="22"/>
        </w:rPr>
        <w:t xml:space="preserve">Mohammed Shobrak </w:t>
      </w:r>
      <w:r w:rsidR="00BD12D7" w:rsidRPr="00B126CE">
        <w:rPr>
          <w:color w:val="333333"/>
          <w:sz w:val="22"/>
          <w:szCs w:val="22"/>
        </w:rPr>
        <w:t>(</w:t>
      </w:r>
      <w:r w:rsidR="00275603" w:rsidRPr="00B126CE">
        <w:rPr>
          <w:color w:val="333333"/>
          <w:sz w:val="22"/>
          <w:szCs w:val="22"/>
        </w:rPr>
        <w:t>Saudi Arabia</w:t>
      </w:r>
      <w:r w:rsidR="00BD12D7" w:rsidRPr="00B126CE">
        <w:rPr>
          <w:color w:val="333333"/>
          <w:sz w:val="22"/>
          <w:szCs w:val="22"/>
        </w:rPr>
        <w:t>)</w:t>
      </w:r>
      <w:r w:rsidRPr="00B126CE">
        <w:rPr>
          <w:color w:val="333333"/>
          <w:sz w:val="22"/>
          <w:szCs w:val="22"/>
        </w:rPr>
        <w:t>,</w:t>
      </w:r>
      <w:r w:rsidRPr="005B3FEC">
        <w:rPr>
          <w:color w:val="333333"/>
          <w:sz w:val="22"/>
          <w:szCs w:val="22"/>
        </w:rPr>
        <w:t xml:space="preserve"> Northern Africa</w:t>
      </w:r>
      <w:r w:rsidR="00411DA7" w:rsidRPr="005B3FEC">
        <w:rPr>
          <w:color w:val="333333"/>
          <w:sz w:val="22"/>
          <w:szCs w:val="22"/>
        </w:rPr>
        <w:t>/</w:t>
      </w:r>
      <w:r w:rsidR="009E10A0" w:rsidRPr="005B3FEC">
        <w:rPr>
          <w:color w:val="333333"/>
          <w:sz w:val="22"/>
          <w:szCs w:val="22"/>
        </w:rPr>
        <w:t>M</w:t>
      </w:r>
      <w:r w:rsidR="00411DA7" w:rsidRPr="005B3FEC">
        <w:rPr>
          <w:color w:val="333333"/>
          <w:sz w:val="22"/>
          <w:szCs w:val="22"/>
        </w:rPr>
        <w:t xml:space="preserve">r </w:t>
      </w:r>
      <w:r w:rsidR="00275603">
        <w:rPr>
          <w:color w:val="333333"/>
          <w:sz w:val="22"/>
          <w:szCs w:val="22"/>
        </w:rPr>
        <w:t xml:space="preserve">Hichem Azafzaf </w:t>
      </w:r>
      <w:r w:rsidR="00BD12D7" w:rsidRPr="005B3FEC">
        <w:rPr>
          <w:color w:val="333333"/>
          <w:sz w:val="22"/>
          <w:szCs w:val="22"/>
        </w:rPr>
        <w:t>(</w:t>
      </w:r>
      <w:r w:rsidR="00275603">
        <w:rPr>
          <w:color w:val="333333"/>
          <w:sz w:val="22"/>
          <w:szCs w:val="22"/>
        </w:rPr>
        <w:t>Tunisia</w:t>
      </w:r>
      <w:r w:rsidR="00BD12D7" w:rsidRPr="005B3FEC">
        <w:rPr>
          <w:color w:val="333333"/>
          <w:sz w:val="22"/>
          <w:szCs w:val="22"/>
        </w:rPr>
        <w:t>)</w:t>
      </w:r>
      <w:r w:rsidRPr="005B3FEC">
        <w:rPr>
          <w:color w:val="333333"/>
          <w:sz w:val="22"/>
          <w:szCs w:val="22"/>
        </w:rPr>
        <w:t>, Central Africa</w:t>
      </w:r>
      <w:r w:rsidR="00411DA7" w:rsidRPr="005B3FEC">
        <w:rPr>
          <w:color w:val="333333"/>
          <w:sz w:val="22"/>
          <w:szCs w:val="22"/>
        </w:rPr>
        <w:t>/</w:t>
      </w:r>
      <w:r w:rsidR="00275603">
        <w:rPr>
          <w:color w:val="333333"/>
          <w:sz w:val="22"/>
          <w:szCs w:val="22"/>
        </w:rPr>
        <w:t xml:space="preserve">Mr </w:t>
      </w:r>
      <w:r w:rsidR="00275603" w:rsidRPr="00275603">
        <w:rPr>
          <w:color w:val="333333"/>
          <w:sz w:val="22"/>
          <w:szCs w:val="22"/>
        </w:rPr>
        <w:t>Yves Davy</w:t>
      </w:r>
      <w:r w:rsidR="00275603">
        <w:rPr>
          <w:color w:val="333333"/>
          <w:sz w:val="22"/>
          <w:szCs w:val="22"/>
        </w:rPr>
        <w:t xml:space="preserve"> </w:t>
      </w:r>
      <w:r w:rsidR="00275603" w:rsidRPr="00275603">
        <w:rPr>
          <w:color w:val="333333"/>
          <w:sz w:val="22"/>
          <w:szCs w:val="22"/>
        </w:rPr>
        <w:t>Omon Souangbi</w:t>
      </w:r>
      <w:r w:rsidR="00275603">
        <w:rPr>
          <w:color w:val="333333"/>
          <w:sz w:val="22"/>
          <w:szCs w:val="22"/>
        </w:rPr>
        <w:t xml:space="preserve"> (Central African Republic)</w:t>
      </w:r>
      <w:r w:rsidRPr="005B3FEC">
        <w:rPr>
          <w:color w:val="333333"/>
          <w:sz w:val="22"/>
          <w:szCs w:val="22"/>
        </w:rPr>
        <w:t>, Western Africa</w:t>
      </w:r>
      <w:r w:rsidR="00411DA7" w:rsidRPr="005B3FEC">
        <w:rPr>
          <w:color w:val="333333"/>
          <w:sz w:val="22"/>
          <w:szCs w:val="22"/>
        </w:rPr>
        <w:t>/</w:t>
      </w:r>
      <w:r w:rsidR="009E10A0" w:rsidRPr="005B3FEC">
        <w:rPr>
          <w:color w:val="333333"/>
          <w:sz w:val="22"/>
          <w:szCs w:val="22"/>
        </w:rPr>
        <w:t xml:space="preserve">Ms Khady Gueye </w:t>
      </w:r>
      <w:r w:rsidR="00BD12D7" w:rsidRPr="005B3FEC">
        <w:rPr>
          <w:color w:val="333333"/>
          <w:sz w:val="22"/>
          <w:szCs w:val="22"/>
        </w:rPr>
        <w:t>(</w:t>
      </w:r>
      <w:r w:rsidR="009E10A0" w:rsidRPr="005B3FEC">
        <w:rPr>
          <w:color w:val="333333"/>
          <w:sz w:val="22"/>
          <w:szCs w:val="22"/>
        </w:rPr>
        <w:t>Senegal</w:t>
      </w:r>
      <w:r w:rsidR="00BD12D7" w:rsidRPr="005B3FEC">
        <w:rPr>
          <w:color w:val="333333"/>
          <w:sz w:val="22"/>
          <w:szCs w:val="22"/>
        </w:rPr>
        <w:t>)</w:t>
      </w:r>
      <w:r w:rsidRPr="005B3FEC">
        <w:rPr>
          <w:color w:val="333333"/>
          <w:sz w:val="22"/>
          <w:szCs w:val="22"/>
        </w:rPr>
        <w:t>, Eastern Africa</w:t>
      </w:r>
      <w:r w:rsidR="00411DA7" w:rsidRPr="005B3FEC">
        <w:rPr>
          <w:color w:val="333333"/>
          <w:sz w:val="22"/>
          <w:szCs w:val="22"/>
        </w:rPr>
        <w:t>/</w:t>
      </w:r>
      <w:r w:rsidR="009E10A0" w:rsidRPr="005B3FEC">
        <w:rPr>
          <w:color w:val="333333"/>
          <w:sz w:val="22"/>
          <w:szCs w:val="22"/>
        </w:rPr>
        <w:t>M</w:t>
      </w:r>
      <w:r w:rsidR="00411DA7" w:rsidRPr="005B3FEC">
        <w:rPr>
          <w:color w:val="333333"/>
          <w:sz w:val="22"/>
          <w:szCs w:val="22"/>
        </w:rPr>
        <w:t xml:space="preserve">r </w:t>
      </w:r>
      <w:r w:rsidR="009E10A0" w:rsidRPr="005B3FEC">
        <w:rPr>
          <w:color w:val="333333"/>
          <w:sz w:val="22"/>
          <w:szCs w:val="22"/>
        </w:rPr>
        <w:t xml:space="preserve">Peter Njoroge </w:t>
      </w:r>
      <w:r w:rsidR="00BD12D7" w:rsidRPr="005B3FEC">
        <w:rPr>
          <w:color w:val="333333"/>
          <w:sz w:val="22"/>
          <w:szCs w:val="22"/>
        </w:rPr>
        <w:t xml:space="preserve">(Kenya) </w:t>
      </w:r>
      <w:r w:rsidRPr="005B3FEC">
        <w:rPr>
          <w:color w:val="333333"/>
          <w:sz w:val="22"/>
          <w:szCs w:val="22"/>
        </w:rPr>
        <w:t>and Southern Africa</w:t>
      </w:r>
      <w:r w:rsidR="00411DA7" w:rsidRPr="005B3FEC">
        <w:rPr>
          <w:color w:val="333333"/>
          <w:sz w:val="22"/>
          <w:szCs w:val="22"/>
        </w:rPr>
        <w:t>/</w:t>
      </w:r>
      <w:r w:rsidR="009E10A0" w:rsidRPr="005B3FEC">
        <w:rPr>
          <w:color w:val="333333"/>
          <w:sz w:val="22"/>
          <w:szCs w:val="22"/>
        </w:rPr>
        <w:t>M</w:t>
      </w:r>
      <w:r w:rsidR="00275603">
        <w:rPr>
          <w:color w:val="333333"/>
          <w:sz w:val="22"/>
          <w:szCs w:val="22"/>
        </w:rPr>
        <w:t>r</w:t>
      </w:r>
      <w:r w:rsidR="00411DA7" w:rsidRPr="005B3FEC">
        <w:rPr>
          <w:color w:val="333333"/>
          <w:sz w:val="22"/>
          <w:szCs w:val="22"/>
        </w:rPr>
        <w:t xml:space="preserve"> </w:t>
      </w:r>
      <w:r w:rsidR="00275603">
        <w:rPr>
          <w:color w:val="333333"/>
          <w:sz w:val="22"/>
          <w:szCs w:val="22"/>
        </w:rPr>
        <w:t xml:space="preserve">Doug </w:t>
      </w:r>
      <w:r w:rsidR="00275603" w:rsidRPr="00275603">
        <w:rPr>
          <w:color w:val="333333"/>
          <w:sz w:val="22"/>
          <w:szCs w:val="22"/>
        </w:rPr>
        <w:t>Harebottle</w:t>
      </w:r>
      <w:r w:rsidR="00275603">
        <w:rPr>
          <w:color w:val="333333"/>
          <w:sz w:val="22"/>
          <w:szCs w:val="22"/>
        </w:rPr>
        <w:t xml:space="preserve"> </w:t>
      </w:r>
      <w:r w:rsidR="00BD12D7" w:rsidRPr="005B3FEC">
        <w:rPr>
          <w:color w:val="333333"/>
          <w:sz w:val="22"/>
          <w:szCs w:val="22"/>
        </w:rPr>
        <w:t>(South Africa)</w:t>
      </w:r>
      <w:r w:rsidR="00B126CE">
        <w:rPr>
          <w:color w:val="333333"/>
          <w:sz w:val="22"/>
          <w:szCs w:val="22"/>
        </w:rPr>
        <w:t xml:space="preserve"> who replaced Ms Melissa Lewis </w:t>
      </w:r>
      <w:r w:rsidR="00EF226C">
        <w:rPr>
          <w:color w:val="333333"/>
          <w:sz w:val="22"/>
          <w:szCs w:val="22"/>
        </w:rPr>
        <w:t xml:space="preserve">(South Africa) </w:t>
      </w:r>
      <w:r w:rsidR="00B126CE">
        <w:rPr>
          <w:color w:val="333333"/>
          <w:sz w:val="22"/>
          <w:szCs w:val="22"/>
        </w:rPr>
        <w:t>in March 2024</w:t>
      </w:r>
      <w:r w:rsidRPr="005B3FEC">
        <w:rPr>
          <w:color w:val="333333"/>
          <w:sz w:val="22"/>
          <w:szCs w:val="22"/>
        </w:rPr>
        <w:t>);</w:t>
      </w:r>
    </w:p>
    <w:p w14:paraId="58A59429" w14:textId="77777777" w:rsidR="00750823" w:rsidRPr="00750823" w:rsidRDefault="00750823" w:rsidP="00750823">
      <w:pPr>
        <w:shd w:val="clear" w:color="auto" w:fill="FFFFFF"/>
        <w:spacing w:line="276" w:lineRule="auto"/>
        <w:jc w:val="both"/>
        <w:rPr>
          <w:color w:val="333333"/>
          <w:sz w:val="22"/>
          <w:szCs w:val="22"/>
        </w:rPr>
      </w:pPr>
    </w:p>
    <w:p w14:paraId="1343BE75" w14:textId="3308EB15" w:rsidR="00512857" w:rsidRDefault="00866043" w:rsidP="00750823">
      <w:pPr>
        <w:pStyle w:val="ListParagraph"/>
        <w:numPr>
          <w:ilvl w:val="0"/>
          <w:numId w:val="33"/>
        </w:numPr>
        <w:shd w:val="clear" w:color="auto" w:fill="FFFFFF"/>
        <w:spacing w:line="276" w:lineRule="auto"/>
        <w:jc w:val="both"/>
        <w:rPr>
          <w:color w:val="333333"/>
          <w:sz w:val="22"/>
          <w:szCs w:val="22"/>
        </w:rPr>
      </w:pPr>
      <w:r w:rsidRPr="005B3FEC">
        <w:rPr>
          <w:color w:val="333333"/>
          <w:sz w:val="22"/>
          <w:szCs w:val="22"/>
        </w:rPr>
        <w:t>One representative appointed by each of the following organi</w:t>
      </w:r>
      <w:r w:rsidR="00D5785F">
        <w:rPr>
          <w:color w:val="333333"/>
          <w:sz w:val="22"/>
          <w:szCs w:val="22"/>
        </w:rPr>
        <w:t>s</w:t>
      </w:r>
      <w:r w:rsidRPr="005B3FEC">
        <w:rPr>
          <w:color w:val="333333"/>
          <w:sz w:val="22"/>
          <w:szCs w:val="22"/>
        </w:rPr>
        <w:t xml:space="preserve">ations: </w:t>
      </w:r>
      <w:r w:rsidR="00860CD7" w:rsidRPr="005B3FEC">
        <w:rPr>
          <w:color w:val="333333"/>
          <w:sz w:val="22"/>
          <w:szCs w:val="22"/>
        </w:rPr>
        <w:t>The</w:t>
      </w:r>
      <w:r w:rsidRPr="005B3FEC">
        <w:rPr>
          <w:color w:val="333333"/>
          <w:sz w:val="22"/>
          <w:szCs w:val="22"/>
        </w:rPr>
        <w:t xml:space="preserve"> International Union for Conservation of Nature (IUCN</w:t>
      </w:r>
      <w:r w:rsidR="00F97486" w:rsidRPr="005B3FEC">
        <w:rPr>
          <w:color w:val="333333"/>
          <w:sz w:val="22"/>
          <w:szCs w:val="22"/>
        </w:rPr>
        <w:t>/</w:t>
      </w:r>
      <w:r w:rsidR="00EF226C">
        <w:rPr>
          <w:color w:val="333333"/>
          <w:sz w:val="22"/>
          <w:szCs w:val="22"/>
        </w:rPr>
        <w:t>Mr Rich Hearn until February 2024 (deceased)</w:t>
      </w:r>
      <w:r w:rsidR="002B7396">
        <w:rPr>
          <w:color w:val="333333"/>
          <w:sz w:val="22"/>
          <w:szCs w:val="22"/>
        </w:rPr>
        <w:t>, vacant for the rest of the triennium</w:t>
      </w:r>
      <w:r w:rsidRPr="005B3FEC">
        <w:rPr>
          <w:color w:val="333333"/>
          <w:sz w:val="22"/>
          <w:szCs w:val="22"/>
        </w:rPr>
        <w:t>), Wetlands International</w:t>
      </w:r>
      <w:r w:rsidR="00C7651D" w:rsidRPr="005B3FEC">
        <w:rPr>
          <w:color w:val="333333"/>
          <w:sz w:val="22"/>
          <w:szCs w:val="22"/>
        </w:rPr>
        <w:t xml:space="preserve"> (</w:t>
      </w:r>
      <w:r w:rsidR="009E10A0" w:rsidRPr="005B3FEC">
        <w:rPr>
          <w:color w:val="333333"/>
          <w:sz w:val="22"/>
          <w:szCs w:val="22"/>
        </w:rPr>
        <w:t>M</w:t>
      </w:r>
      <w:r w:rsidR="00C7651D" w:rsidRPr="005B3FEC">
        <w:rPr>
          <w:color w:val="333333"/>
          <w:sz w:val="22"/>
          <w:szCs w:val="22"/>
        </w:rPr>
        <w:t>r Szabolcs Nagy)</w:t>
      </w:r>
      <w:r w:rsidRPr="005B3FEC">
        <w:rPr>
          <w:color w:val="333333"/>
          <w:sz w:val="22"/>
          <w:szCs w:val="22"/>
        </w:rPr>
        <w:t xml:space="preserve">, the International Council for Game and Wildlife Conservation </w:t>
      </w:r>
      <w:r w:rsidRPr="001F1DC0">
        <w:rPr>
          <w:color w:val="333333"/>
          <w:sz w:val="22"/>
          <w:szCs w:val="22"/>
        </w:rPr>
        <w:t>(CIC</w:t>
      </w:r>
      <w:r w:rsidR="00C7651D" w:rsidRPr="001F1DC0">
        <w:rPr>
          <w:color w:val="333333"/>
          <w:sz w:val="22"/>
          <w:szCs w:val="22"/>
        </w:rPr>
        <w:t>/</w:t>
      </w:r>
      <w:r w:rsidR="009E10A0" w:rsidRPr="001F1DC0">
        <w:rPr>
          <w:color w:val="333333"/>
          <w:sz w:val="22"/>
          <w:szCs w:val="22"/>
        </w:rPr>
        <w:t>M</w:t>
      </w:r>
      <w:r w:rsidR="00C7651D" w:rsidRPr="001F1DC0">
        <w:rPr>
          <w:color w:val="333333"/>
          <w:sz w:val="22"/>
          <w:szCs w:val="22"/>
        </w:rPr>
        <w:t xml:space="preserve">r </w:t>
      </w:r>
      <w:r w:rsidR="008C2A05" w:rsidRPr="001F1DC0">
        <w:rPr>
          <w:color w:val="333333"/>
          <w:sz w:val="22"/>
          <w:szCs w:val="22"/>
        </w:rPr>
        <w:t xml:space="preserve">Matt Ellis </w:t>
      </w:r>
      <w:r w:rsidR="00B126CE" w:rsidRPr="001F1DC0">
        <w:rPr>
          <w:color w:val="333333"/>
          <w:sz w:val="22"/>
          <w:szCs w:val="22"/>
        </w:rPr>
        <w:t xml:space="preserve">who </w:t>
      </w:r>
      <w:r w:rsidR="00B65DF4" w:rsidRPr="001F1DC0">
        <w:rPr>
          <w:color w:val="333333"/>
          <w:sz w:val="22"/>
          <w:szCs w:val="22"/>
        </w:rPr>
        <w:t xml:space="preserve">replaced </w:t>
      </w:r>
      <w:r w:rsidR="00B126CE" w:rsidRPr="001F1DC0">
        <w:rPr>
          <w:color w:val="333333"/>
          <w:sz w:val="22"/>
          <w:szCs w:val="22"/>
        </w:rPr>
        <w:t xml:space="preserve">Ms Alexandra </w:t>
      </w:r>
      <w:r w:rsidR="001F1DC0" w:rsidRPr="001F1DC0">
        <w:rPr>
          <w:color w:val="333333"/>
          <w:sz w:val="22"/>
          <w:szCs w:val="22"/>
        </w:rPr>
        <w:t xml:space="preserve">in May </w:t>
      </w:r>
      <w:r w:rsidR="00B65DF4" w:rsidRPr="001F1DC0">
        <w:rPr>
          <w:color w:val="333333"/>
          <w:sz w:val="22"/>
          <w:szCs w:val="22"/>
        </w:rPr>
        <w:t>202</w:t>
      </w:r>
      <w:r w:rsidR="001F1DC0" w:rsidRPr="001F1DC0">
        <w:rPr>
          <w:color w:val="333333"/>
          <w:sz w:val="22"/>
          <w:szCs w:val="22"/>
        </w:rPr>
        <w:t xml:space="preserve">5, while </w:t>
      </w:r>
      <w:r w:rsidR="00B65DF4" w:rsidRPr="001F1DC0">
        <w:rPr>
          <w:color w:val="333333"/>
          <w:sz w:val="22"/>
          <w:szCs w:val="22"/>
        </w:rPr>
        <w:t>Ms Iben Hove Sørensen</w:t>
      </w:r>
      <w:r w:rsidR="001F1DC0" w:rsidRPr="001F1DC0">
        <w:rPr>
          <w:color w:val="333333"/>
          <w:sz w:val="22"/>
          <w:szCs w:val="22"/>
        </w:rPr>
        <w:t xml:space="preserve"> served as CI</w:t>
      </w:r>
      <w:r w:rsidR="002255B7">
        <w:rPr>
          <w:color w:val="333333"/>
          <w:sz w:val="22"/>
          <w:szCs w:val="22"/>
        </w:rPr>
        <w:t>C</w:t>
      </w:r>
      <w:r w:rsidR="001F1DC0" w:rsidRPr="001F1DC0">
        <w:rPr>
          <w:color w:val="333333"/>
          <w:sz w:val="22"/>
          <w:szCs w:val="22"/>
        </w:rPr>
        <w:t xml:space="preserve"> representative </w:t>
      </w:r>
      <w:r w:rsidR="00047DA8">
        <w:rPr>
          <w:color w:val="333333"/>
          <w:sz w:val="22"/>
          <w:szCs w:val="22"/>
        </w:rPr>
        <w:t xml:space="preserve">prior to Ms </w:t>
      </w:r>
      <w:r w:rsidR="00047DA8" w:rsidRPr="001F1DC0">
        <w:rPr>
          <w:color w:val="333333"/>
          <w:sz w:val="22"/>
          <w:szCs w:val="22"/>
        </w:rPr>
        <w:t xml:space="preserve">Kalandarishvili </w:t>
      </w:r>
      <w:r w:rsidR="001F1DC0" w:rsidRPr="001F1DC0">
        <w:rPr>
          <w:color w:val="333333"/>
          <w:sz w:val="22"/>
          <w:szCs w:val="22"/>
        </w:rPr>
        <w:t>until January 2024</w:t>
      </w:r>
      <w:r w:rsidRPr="001F1DC0">
        <w:rPr>
          <w:color w:val="333333"/>
          <w:sz w:val="22"/>
          <w:szCs w:val="22"/>
        </w:rPr>
        <w:t>); and</w:t>
      </w:r>
    </w:p>
    <w:p w14:paraId="4A6DA89B" w14:textId="77777777" w:rsidR="00750823" w:rsidRPr="00750823" w:rsidRDefault="00750823" w:rsidP="00750823">
      <w:pPr>
        <w:shd w:val="clear" w:color="auto" w:fill="FFFFFF"/>
        <w:spacing w:line="276" w:lineRule="auto"/>
        <w:jc w:val="both"/>
        <w:rPr>
          <w:color w:val="333333"/>
          <w:sz w:val="22"/>
          <w:szCs w:val="22"/>
        </w:rPr>
      </w:pPr>
    </w:p>
    <w:p w14:paraId="3CCF6F57" w14:textId="0774DAF8" w:rsidR="00973E57" w:rsidRPr="001F1DC0" w:rsidRDefault="00866043" w:rsidP="00750823">
      <w:pPr>
        <w:pStyle w:val="ListParagraph"/>
        <w:numPr>
          <w:ilvl w:val="0"/>
          <w:numId w:val="33"/>
        </w:numPr>
        <w:shd w:val="clear" w:color="auto" w:fill="FFFFFF"/>
        <w:spacing w:afterLines="91" w:after="218" w:line="276" w:lineRule="auto"/>
        <w:ind w:left="720" w:hanging="357"/>
        <w:jc w:val="both"/>
        <w:rPr>
          <w:color w:val="333333"/>
          <w:sz w:val="22"/>
          <w:szCs w:val="22"/>
        </w:rPr>
      </w:pPr>
      <w:r w:rsidRPr="005B3FEC">
        <w:rPr>
          <w:color w:val="333333"/>
          <w:sz w:val="22"/>
          <w:szCs w:val="22"/>
        </w:rPr>
        <w:lastRenderedPageBreak/>
        <w:t>One thematic expert from each of the following fields: rural economics</w:t>
      </w:r>
      <w:r w:rsidR="00C7651D" w:rsidRPr="005B3FEC">
        <w:rPr>
          <w:color w:val="333333"/>
          <w:sz w:val="22"/>
          <w:szCs w:val="22"/>
        </w:rPr>
        <w:t xml:space="preserve"> (</w:t>
      </w:r>
      <w:r w:rsidR="009E10A0" w:rsidRPr="005B3FEC">
        <w:rPr>
          <w:color w:val="333333"/>
          <w:sz w:val="22"/>
          <w:szCs w:val="22"/>
        </w:rPr>
        <w:t>M</w:t>
      </w:r>
      <w:r w:rsidR="00C7651D" w:rsidRPr="005B3FEC">
        <w:rPr>
          <w:color w:val="333333"/>
          <w:sz w:val="22"/>
          <w:szCs w:val="22"/>
        </w:rPr>
        <w:t xml:space="preserve">r </w:t>
      </w:r>
      <w:r w:rsidR="001F1DC0">
        <w:rPr>
          <w:color w:val="333333"/>
          <w:sz w:val="22"/>
          <w:szCs w:val="22"/>
        </w:rPr>
        <w:t>Nils Bunnefeld</w:t>
      </w:r>
      <w:r w:rsidR="00C7651D" w:rsidRPr="005B3FEC">
        <w:rPr>
          <w:color w:val="333333"/>
          <w:sz w:val="22"/>
          <w:szCs w:val="22"/>
        </w:rPr>
        <w:t>)</w:t>
      </w:r>
      <w:r w:rsidRPr="005B3FEC">
        <w:rPr>
          <w:color w:val="333333"/>
          <w:sz w:val="22"/>
          <w:szCs w:val="22"/>
        </w:rPr>
        <w:t>, game management</w:t>
      </w:r>
      <w:r w:rsidR="00C7651D" w:rsidRPr="005B3FEC">
        <w:rPr>
          <w:color w:val="333333"/>
          <w:sz w:val="22"/>
          <w:szCs w:val="22"/>
        </w:rPr>
        <w:t xml:space="preserve"> (</w:t>
      </w:r>
      <w:r w:rsidR="009E10A0" w:rsidRPr="005B3FEC">
        <w:rPr>
          <w:color w:val="333333"/>
          <w:sz w:val="22"/>
          <w:szCs w:val="22"/>
        </w:rPr>
        <w:t>M</w:t>
      </w:r>
      <w:r w:rsidR="00DA6C89" w:rsidRPr="005B3FEC">
        <w:rPr>
          <w:color w:val="333333"/>
          <w:sz w:val="22"/>
          <w:szCs w:val="22"/>
        </w:rPr>
        <w:t>r</w:t>
      </w:r>
      <w:r w:rsidR="00C7651D" w:rsidRPr="005B3FEC">
        <w:rPr>
          <w:color w:val="333333"/>
          <w:sz w:val="22"/>
          <w:szCs w:val="22"/>
        </w:rPr>
        <w:t xml:space="preserve"> </w:t>
      </w:r>
      <w:r w:rsidR="001F1DC0">
        <w:rPr>
          <w:color w:val="333333"/>
          <w:sz w:val="22"/>
          <w:szCs w:val="22"/>
        </w:rPr>
        <w:t>Jesper Madsen</w:t>
      </w:r>
      <w:r w:rsidR="00C7651D" w:rsidRPr="005B3FEC">
        <w:rPr>
          <w:color w:val="333333"/>
          <w:sz w:val="22"/>
          <w:szCs w:val="22"/>
        </w:rPr>
        <w:t>)</w:t>
      </w:r>
      <w:r w:rsidRPr="005B3FEC">
        <w:rPr>
          <w:color w:val="333333"/>
          <w:sz w:val="22"/>
          <w:szCs w:val="22"/>
        </w:rPr>
        <w:t xml:space="preserve">, </w:t>
      </w:r>
      <w:r w:rsidR="00D85320" w:rsidRPr="005B3FEC">
        <w:rPr>
          <w:color w:val="333333"/>
          <w:sz w:val="22"/>
          <w:szCs w:val="22"/>
        </w:rPr>
        <w:t xml:space="preserve">and </w:t>
      </w:r>
      <w:r w:rsidRPr="005B3FEC">
        <w:rPr>
          <w:color w:val="333333"/>
          <w:sz w:val="22"/>
          <w:szCs w:val="22"/>
        </w:rPr>
        <w:t>environmental law</w:t>
      </w:r>
      <w:r w:rsidR="00C7651D" w:rsidRPr="005B3FEC">
        <w:rPr>
          <w:color w:val="333333"/>
          <w:sz w:val="22"/>
          <w:szCs w:val="22"/>
        </w:rPr>
        <w:t xml:space="preserve"> (M</w:t>
      </w:r>
      <w:r w:rsidR="009E10A0" w:rsidRPr="005B3FEC">
        <w:rPr>
          <w:color w:val="333333"/>
          <w:sz w:val="22"/>
          <w:szCs w:val="22"/>
        </w:rPr>
        <w:t>r</w:t>
      </w:r>
      <w:r w:rsidR="00C7651D" w:rsidRPr="005B3FEC">
        <w:rPr>
          <w:color w:val="333333"/>
          <w:sz w:val="22"/>
          <w:szCs w:val="22"/>
        </w:rPr>
        <w:t xml:space="preserve"> </w:t>
      </w:r>
      <w:r w:rsidR="009E10A0" w:rsidRPr="005B3FEC">
        <w:rPr>
          <w:color w:val="333333"/>
          <w:sz w:val="22"/>
          <w:szCs w:val="22"/>
        </w:rPr>
        <w:t>Emmanuel Kasimbazi</w:t>
      </w:r>
      <w:r w:rsidR="00C7651D" w:rsidRPr="005B3FEC">
        <w:rPr>
          <w:color w:val="333333"/>
          <w:sz w:val="22"/>
          <w:szCs w:val="22"/>
        </w:rPr>
        <w:t>)</w:t>
      </w:r>
      <w:r w:rsidRPr="005B3FEC">
        <w:rPr>
          <w:color w:val="333333"/>
          <w:sz w:val="22"/>
          <w:szCs w:val="22"/>
        </w:rPr>
        <w:t>, elected by the Parties.</w:t>
      </w:r>
    </w:p>
    <w:p w14:paraId="0F5A75B7" w14:textId="3A562505" w:rsidR="006118F0" w:rsidRDefault="00973E57" w:rsidP="00750823">
      <w:pPr>
        <w:pStyle w:val="NormalWeb"/>
        <w:numPr>
          <w:ilvl w:val="0"/>
          <w:numId w:val="35"/>
        </w:numPr>
        <w:shd w:val="clear" w:color="auto" w:fill="FFFFFF"/>
        <w:spacing w:before="0" w:beforeAutospacing="0" w:afterLines="91" w:after="218" w:afterAutospacing="0" w:line="276" w:lineRule="auto"/>
        <w:ind w:hanging="357"/>
        <w:jc w:val="both"/>
        <w:rPr>
          <w:color w:val="333333"/>
          <w:sz w:val="22"/>
          <w:szCs w:val="22"/>
          <w:lang w:val="en-GB"/>
        </w:rPr>
      </w:pPr>
      <w:r>
        <w:rPr>
          <w:color w:val="333333"/>
          <w:sz w:val="22"/>
          <w:szCs w:val="22"/>
          <w:lang w:val="en-GB"/>
        </w:rPr>
        <w:t xml:space="preserve">An additional thematic </w:t>
      </w:r>
      <w:r w:rsidRPr="00973E57">
        <w:rPr>
          <w:color w:val="333333"/>
          <w:sz w:val="22"/>
          <w:szCs w:val="22"/>
          <w:lang w:val="en-GB"/>
        </w:rPr>
        <w:t>expert on CEPA (M</w:t>
      </w:r>
      <w:r w:rsidR="001F1DC0">
        <w:rPr>
          <w:color w:val="333333"/>
          <w:sz w:val="22"/>
          <w:szCs w:val="22"/>
          <w:lang w:val="en-GB"/>
        </w:rPr>
        <w:t>r</w:t>
      </w:r>
      <w:r w:rsidRPr="00973E57">
        <w:rPr>
          <w:color w:val="333333"/>
          <w:sz w:val="22"/>
          <w:szCs w:val="22"/>
          <w:lang w:val="en-GB"/>
        </w:rPr>
        <w:t xml:space="preserve"> </w:t>
      </w:r>
      <w:r w:rsidR="001F1DC0">
        <w:rPr>
          <w:color w:val="333333"/>
          <w:sz w:val="22"/>
          <w:szCs w:val="22"/>
          <w:lang w:val="en-GB"/>
        </w:rPr>
        <w:t>Chris Rostron</w:t>
      </w:r>
      <w:r w:rsidRPr="00973E57">
        <w:rPr>
          <w:color w:val="333333"/>
          <w:sz w:val="22"/>
          <w:szCs w:val="22"/>
          <w:lang w:val="en-GB"/>
        </w:rPr>
        <w:t xml:space="preserve">) </w:t>
      </w:r>
      <w:r>
        <w:rPr>
          <w:color w:val="333333"/>
          <w:sz w:val="22"/>
          <w:szCs w:val="22"/>
          <w:lang w:val="en-GB"/>
        </w:rPr>
        <w:t xml:space="preserve">supported </w:t>
      </w:r>
      <w:r w:rsidRPr="00973E57">
        <w:rPr>
          <w:color w:val="333333"/>
          <w:sz w:val="22"/>
          <w:szCs w:val="22"/>
          <w:lang w:val="en-GB"/>
        </w:rPr>
        <w:t xml:space="preserve">the Committee </w:t>
      </w:r>
      <w:r>
        <w:rPr>
          <w:color w:val="333333"/>
          <w:sz w:val="22"/>
          <w:szCs w:val="22"/>
          <w:lang w:val="en-GB"/>
        </w:rPr>
        <w:t xml:space="preserve">over the </w:t>
      </w:r>
      <w:r w:rsidR="00467F45">
        <w:rPr>
          <w:color w:val="333333"/>
          <w:sz w:val="22"/>
          <w:szCs w:val="22"/>
          <w:lang w:val="en-GB"/>
        </w:rPr>
        <w:t xml:space="preserve">current </w:t>
      </w:r>
      <w:r>
        <w:rPr>
          <w:color w:val="333333"/>
          <w:sz w:val="22"/>
          <w:szCs w:val="22"/>
          <w:lang w:val="en-GB"/>
        </w:rPr>
        <w:t>trienni</w:t>
      </w:r>
      <w:r w:rsidR="002255B7">
        <w:rPr>
          <w:color w:val="333333"/>
          <w:sz w:val="22"/>
          <w:szCs w:val="22"/>
          <w:lang w:val="en-GB"/>
        </w:rPr>
        <w:t>um</w:t>
      </w:r>
      <w:r>
        <w:rPr>
          <w:color w:val="333333"/>
          <w:sz w:val="22"/>
          <w:szCs w:val="22"/>
          <w:lang w:val="en-GB"/>
        </w:rPr>
        <w:t xml:space="preserve"> following an invitation by the </w:t>
      </w:r>
      <w:r w:rsidR="002255B7">
        <w:rPr>
          <w:color w:val="333333"/>
          <w:sz w:val="22"/>
          <w:szCs w:val="22"/>
          <w:lang w:val="en-GB"/>
        </w:rPr>
        <w:t xml:space="preserve">previous </w:t>
      </w:r>
      <w:r>
        <w:rPr>
          <w:color w:val="333333"/>
          <w:sz w:val="22"/>
          <w:szCs w:val="22"/>
          <w:lang w:val="en-GB"/>
        </w:rPr>
        <w:t xml:space="preserve">TC Chair in </w:t>
      </w:r>
      <w:r w:rsidR="001F1DC0">
        <w:rPr>
          <w:color w:val="333333"/>
          <w:sz w:val="22"/>
          <w:szCs w:val="22"/>
          <w:lang w:val="en-GB"/>
        </w:rPr>
        <w:t xml:space="preserve">the end of </w:t>
      </w:r>
      <w:r>
        <w:rPr>
          <w:color w:val="333333"/>
          <w:sz w:val="22"/>
          <w:szCs w:val="22"/>
          <w:lang w:val="en-GB"/>
        </w:rPr>
        <w:t>20</w:t>
      </w:r>
      <w:r w:rsidR="001F1DC0">
        <w:rPr>
          <w:color w:val="333333"/>
          <w:sz w:val="22"/>
          <w:szCs w:val="22"/>
          <w:lang w:val="en-GB"/>
        </w:rPr>
        <w:t>22</w:t>
      </w:r>
      <w:r>
        <w:rPr>
          <w:color w:val="333333"/>
          <w:sz w:val="22"/>
          <w:szCs w:val="22"/>
          <w:lang w:val="en-GB"/>
        </w:rPr>
        <w:t xml:space="preserve"> in response to AEWA MOP Resolution 5.5. </w:t>
      </w:r>
    </w:p>
    <w:p w14:paraId="30934550" w14:textId="1041298D" w:rsidR="00973E57" w:rsidRDefault="00405A2A" w:rsidP="00750823">
      <w:pPr>
        <w:pStyle w:val="NormalWeb"/>
        <w:numPr>
          <w:ilvl w:val="0"/>
          <w:numId w:val="35"/>
        </w:numPr>
        <w:shd w:val="clear" w:color="auto" w:fill="FFFFFF"/>
        <w:spacing w:before="0" w:beforeAutospacing="0" w:after="0" w:afterAutospacing="0" w:line="276" w:lineRule="auto"/>
        <w:jc w:val="both"/>
        <w:rPr>
          <w:color w:val="333333"/>
          <w:sz w:val="22"/>
          <w:szCs w:val="22"/>
          <w:lang w:val="en-GB"/>
        </w:rPr>
      </w:pPr>
      <w:r>
        <w:rPr>
          <w:color w:val="333333"/>
          <w:sz w:val="22"/>
          <w:szCs w:val="22"/>
          <w:lang w:val="en-GB"/>
        </w:rPr>
        <w:t>A</w:t>
      </w:r>
      <w:r w:rsidR="005E46A2">
        <w:rPr>
          <w:color w:val="333333"/>
          <w:sz w:val="22"/>
          <w:szCs w:val="22"/>
          <w:lang w:val="en-GB"/>
        </w:rPr>
        <w:t>n a</w:t>
      </w:r>
      <w:r>
        <w:rPr>
          <w:color w:val="333333"/>
          <w:sz w:val="22"/>
          <w:szCs w:val="22"/>
          <w:lang w:val="en-GB"/>
        </w:rPr>
        <w:t xml:space="preserve">dditional </w:t>
      </w:r>
      <w:r w:rsidR="009C416A">
        <w:rPr>
          <w:color w:val="333333"/>
          <w:sz w:val="22"/>
          <w:szCs w:val="22"/>
          <w:lang w:val="en-GB"/>
        </w:rPr>
        <w:t>f</w:t>
      </w:r>
      <w:r w:rsidR="00467F45">
        <w:rPr>
          <w:color w:val="333333"/>
          <w:sz w:val="22"/>
          <w:szCs w:val="22"/>
          <w:lang w:val="en-GB"/>
        </w:rPr>
        <w:t>ive</w:t>
      </w:r>
      <w:r>
        <w:rPr>
          <w:color w:val="333333"/>
          <w:sz w:val="22"/>
          <w:szCs w:val="22"/>
          <w:lang w:val="en-GB"/>
        </w:rPr>
        <w:t xml:space="preserve"> experts were invited to support the work of the Committee over the period 20</w:t>
      </w:r>
      <w:r w:rsidR="001F1DC0">
        <w:rPr>
          <w:color w:val="333333"/>
          <w:sz w:val="22"/>
          <w:szCs w:val="22"/>
          <w:lang w:val="en-GB"/>
        </w:rPr>
        <w:t>23</w:t>
      </w:r>
      <w:r>
        <w:rPr>
          <w:color w:val="333333"/>
          <w:sz w:val="22"/>
          <w:szCs w:val="22"/>
          <w:lang w:val="en-GB"/>
        </w:rPr>
        <w:t>-202</w:t>
      </w:r>
      <w:r w:rsidR="001F1DC0">
        <w:rPr>
          <w:color w:val="333333"/>
          <w:sz w:val="22"/>
          <w:szCs w:val="22"/>
          <w:lang w:val="en-GB"/>
        </w:rPr>
        <w:t>5</w:t>
      </w:r>
      <w:r>
        <w:rPr>
          <w:color w:val="333333"/>
          <w:sz w:val="22"/>
          <w:szCs w:val="22"/>
          <w:lang w:val="en-GB"/>
        </w:rPr>
        <w:t xml:space="preserve"> in specific work</w:t>
      </w:r>
      <w:r w:rsidR="00467F45">
        <w:rPr>
          <w:color w:val="333333"/>
          <w:sz w:val="22"/>
          <w:szCs w:val="22"/>
          <w:lang w:val="en-GB"/>
        </w:rPr>
        <w:t xml:space="preserve"> </w:t>
      </w:r>
      <w:r>
        <w:rPr>
          <w:color w:val="333333"/>
          <w:sz w:val="22"/>
          <w:szCs w:val="22"/>
          <w:lang w:val="en-GB"/>
        </w:rPr>
        <w:t xml:space="preserve">plan tasks. These include Mr Sebastien Le Bel </w:t>
      </w:r>
      <w:bookmarkStart w:id="0" w:name="_Hlk55234739"/>
      <w:r>
        <w:rPr>
          <w:color w:val="333333"/>
          <w:sz w:val="22"/>
          <w:szCs w:val="22"/>
          <w:lang w:val="en-GB"/>
        </w:rPr>
        <w:t>(sustainable harvest</w:t>
      </w:r>
      <w:r w:rsidR="006134A2">
        <w:rPr>
          <w:color w:val="333333"/>
          <w:sz w:val="22"/>
          <w:szCs w:val="22"/>
          <w:lang w:val="en-GB"/>
        </w:rPr>
        <w:t xml:space="preserve"> and socio-economic importance of waterbirds</w:t>
      </w:r>
      <w:r>
        <w:rPr>
          <w:color w:val="333333"/>
          <w:sz w:val="22"/>
          <w:szCs w:val="22"/>
          <w:lang w:val="en-GB"/>
        </w:rPr>
        <w:t>)</w:t>
      </w:r>
      <w:bookmarkEnd w:id="0"/>
      <w:r w:rsidR="009C416A">
        <w:rPr>
          <w:color w:val="333333"/>
          <w:sz w:val="22"/>
          <w:szCs w:val="22"/>
          <w:lang w:val="en-GB"/>
        </w:rPr>
        <w:t>,</w:t>
      </w:r>
      <w:r>
        <w:rPr>
          <w:color w:val="333333"/>
          <w:sz w:val="22"/>
          <w:szCs w:val="22"/>
          <w:lang w:val="en-GB"/>
        </w:rPr>
        <w:t xml:space="preserve"> </w:t>
      </w:r>
      <w:r w:rsidR="002255B7">
        <w:rPr>
          <w:color w:val="333333"/>
          <w:sz w:val="22"/>
          <w:szCs w:val="22"/>
          <w:lang w:val="en-GB"/>
        </w:rPr>
        <w:t xml:space="preserve">Mr Bruno Portier (sustainable harvest), </w:t>
      </w:r>
      <w:r>
        <w:rPr>
          <w:color w:val="333333"/>
          <w:sz w:val="22"/>
          <w:szCs w:val="22"/>
          <w:lang w:val="en-GB"/>
        </w:rPr>
        <w:t>Mr Ian Mitchell (seabirds)</w:t>
      </w:r>
      <w:r w:rsidR="001F1DC0">
        <w:rPr>
          <w:color w:val="333333"/>
          <w:sz w:val="22"/>
          <w:szCs w:val="22"/>
          <w:lang w:val="en-GB"/>
        </w:rPr>
        <w:t>,</w:t>
      </w:r>
      <w:r w:rsidR="009C416A">
        <w:rPr>
          <w:color w:val="333333"/>
          <w:sz w:val="22"/>
          <w:szCs w:val="22"/>
          <w:lang w:val="en-GB"/>
        </w:rPr>
        <w:t xml:space="preserve"> </w:t>
      </w:r>
      <w:r w:rsidR="001F1DC0">
        <w:rPr>
          <w:color w:val="333333"/>
          <w:sz w:val="22"/>
          <w:szCs w:val="22"/>
          <w:lang w:val="en-GB"/>
        </w:rPr>
        <w:t xml:space="preserve">Ms Ruth Cromie (Avian Influenza) </w:t>
      </w:r>
      <w:r w:rsidR="009C416A">
        <w:rPr>
          <w:color w:val="333333"/>
          <w:sz w:val="22"/>
          <w:szCs w:val="22"/>
          <w:lang w:val="en-GB"/>
        </w:rPr>
        <w:t>and Mr David Stroud (various tasks)</w:t>
      </w:r>
      <w:r>
        <w:rPr>
          <w:color w:val="333333"/>
          <w:sz w:val="22"/>
          <w:szCs w:val="22"/>
          <w:lang w:val="en-GB"/>
        </w:rPr>
        <w:t xml:space="preserve">. </w:t>
      </w:r>
    </w:p>
    <w:p w14:paraId="1B16F930" w14:textId="77777777" w:rsidR="00750823" w:rsidRDefault="00750823" w:rsidP="00750823">
      <w:pPr>
        <w:pStyle w:val="NormalWeb"/>
        <w:numPr>
          <w:ilvl w:val="0"/>
          <w:numId w:val="35"/>
        </w:numPr>
        <w:shd w:val="clear" w:color="auto" w:fill="FFFFFF"/>
        <w:spacing w:before="0" w:beforeAutospacing="0" w:after="0" w:afterAutospacing="0" w:line="276" w:lineRule="auto"/>
        <w:jc w:val="both"/>
        <w:rPr>
          <w:color w:val="333333"/>
          <w:sz w:val="22"/>
          <w:szCs w:val="22"/>
          <w:lang w:val="en-GB"/>
        </w:rPr>
      </w:pPr>
    </w:p>
    <w:p w14:paraId="217C9466" w14:textId="2F75906A" w:rsidR="002C6701" w:rsidRDefault="00405A2A" w:rsidP="00750823">
      <w:pPr>
        <w:pStyle w:val="NormalWeb"/>
        <w:shd w:val="clear" w:color="auto" w:fill="FFFFFF"/>
        <w:spacing w:before="0" w:beforeAutospacing="0" w:after="0" w:afterAutospacing="0" w:line="276" w:lineRule="auto"/>
        <w:jc w:val="both"/>
        <w:rPr>
          <w:color w:val="333333"/>
          <w:sz w:val="22"/>
          <w:szCs w:val="22"/>
          <w:lang w:val="en-GB"/>
        </w:rPr>
      </w:pPr>
      <w:r>
        <w:rPr>
          <w:color w:val="333333"/>
          <w:sz w:val="22"/>
          <w:szCs w:val="22"/>
          <w:lang w:val="en-GB"/>
        </w:rPr>
        <w:t>Besides the Chair</w:t>
      </w:r>
      <w:r w:rsidR="00973E57" w:rsidRPr="00973E57">
        <w:rPr>
          <w:color w:val="333333"/>
          <w:sz w:val="22"/>
          <w:szCs w:val="22"/>
          <w:lang w:val="en-GB"/>
        </w:rPr>
        <w:t xml:space="preserve"> of the AEWA Standing Committee</w:t>
      </w:r>
      <w:r>
        <w:rPr>
          <w:color w:val="333333"/>
          <w:sz w:val="22"/>
          <w:szCs w:val="22"/>
          <w:lang w:val="en-GB"/>
        </w:rPr>
        <w:t xml:space="preserve">, a number of Contracting Parties joined the meetings of the Committee as </w:t>
      </w:r>
      <w:r w:rsidR="00BA5471">
        <w:rPr>
          <w:color w:val="333333"/>
          <w:sz w:val="22"/>
          <w:szCs w:val="22"/>
          <w:lang w:val="en-GB"/>
        </w:rPr>
        <w:t>observers,</w:t>
      </w:r>
      <w:r w:rsidR="00E73711">
        <w:rPr>
          <w:color w:val="333333"/>
          <w:sz w:val="22"/>
          <w:szCs w:val="22"/>
          <w:lang w:val="en-GB"/>
        </w:rPr>
        <w:t xml:space="preserve"> and the UK </w:t>
      </w:r>
      <w:r w:rsidR="001F1DC0">
        <w:rPr>
          <w:color w:val="333333"/>
          <w:sz w:val="22"/>
          <w:szCs w:val="22"/>
          <w:lang w:val="en-GB"/>
        </w:rPr>
        <w:t>had two</w:t>
      </w:r>
      <w:r w:rsidR="00E73711">
        <w:rPr>
          <w:color w:val="333333"/>
          <w:sz w:val="22"/>
          <w:szCs w:val="22"/>
          <w:lang w:val="en-GB"/>
        </w:rPr>
        <w:t xml:space="preserve"> </w:t>
      </w:r>
      <w:r w:rsidR="001F1DC0">
        <w:rPr>
          <w:color w:val="333333"/>
          <w:sz w:val="22"/>
          <w:szCs w:val="22"/>
          <w:lang w:val="en-GB"/>
        </w:rPr>
        <w:t xml:space="preserve">designated </w:t>
      </w:r>
      <w:r w:rsidR="00E73711">
        <w:rPr>
          <w:color w:val="333333"/>
          <w:sz w:val="22"/>
          <w:szCs w:val="22"/>
          <w:lang w:val="en-GB"/>
        </w:rPr>
        <w:t>permanent observer</w:t>
      </w:r>
      <w:r w:rsidR="001F1DC0">
        <w:rPr>
          <w:color w:val="333333"/>
          <w:sz w:val="22"/>
          <w:szCs w:val="22"/>
          <w:lang w:val="en-GB"/>
        </w:rPr>
        <w:t>s</w:t>
      </w:r>
      <w:r w:rsidR="00E73711">
        <w:rPr>
          <w:color w:val="333333"/>
          <w:sz w:val="22"/>
          <w:szCs w:val="22"/>
          <w:lang w:val="en-GB"/>
        </w:rPr>
        <w:t xml:space="preserve"> to the Committee</w:t>
      </w:r>
      <w:r w:rsidR="00AE1069">
        <w:rPr>
          <w:color w:val="333333"/>
          <w:sz w:val="22"/>
          <w:szCs w:val="22"/>
          <w:lang w:val="en-GB"/>
        </w:rPr>
        <w:t xml:space="preserve"> (Mr </w:t>
      </w:r>
      <w:r w:rsidR="001F1DC0">
        <w:rPr>
          <w:color w:val="333333"/>
          <w:sz w:val="22"/>
          <w:szCs w:val="22"/>
          <w:lang w:val="en-GB"/>
        </w:rPr>
        <w:t xml:space="preserve">Matt Parsons and Ms Hannah </w:t>
      </w:r>
      <w:r w:rsidR="001F1DC0" w:rsidRPr="001F1DC0">
        <w:rPr>
          <w:color w:val="333333"/>
          <w:sz w:val="22"/>
          <w:szCs w:val="22"/>
          <w:lang w:val="en-GB"/>
        </w:rPr>
        <w:t>Wheatley</w:t>
      </w:r>
      <w:r w:rsidR="00AE1069">
        <w:rPr>
          <w:color w:val="333333"/>
          <w:sz w:val="22"/>
          <w:szCs w:val="22"/>
          <w:lang w:val="en-GB"/>
        </w:rPr>
        <w:t>)</w:t>
      </w:r>
      <w:r w:rsidR="00973E57" w:rsidRPr="00973E57">
        <w:rPr>
          <w:color w:val="333333"/>
          <w:sz w:val="22"/>
          <w:szCs w:val="22"/>
          <w:lang w:val="en-GB"/>
        </w:rPr>
        <w:t xml:space="preserve">. </w:t>
      </w:r>
      <w:r w:rsidR="00973E57">
        <w:rPr>
          <w:color w:val="333333"/>
          <w:sz w:val="22"/>
          <w:szCs w:val="22"/>
          <w:lang w:val="en-GB"/>
        </w:rPr>
        <w:t xml:space="preserve">The following four permanent observer </w:t>
      </w:r>
      <w:r w:rsidR="009C416A">
        <w:rPr>
          <w:color w:val="333333"/>
          <w:sz w:val="22"/>
          <w:szCs w:val="22"/>
          <w:lang w:val="en-GB"/>
        </w:rPr>
        <w:t xml:space="preserve">non-governmental </w:t>
      </w:r>
      <w:r w:rsidR="00973E57">
        <w:rPr>
          <w:color w:val="333333"/>
          <w:sz w:val="22"/>
          <w:szCs w:val="22"/>
          <w:lang w:val="en-GB"/>
        </w:rPr>
        <w:t xml:space="preserve">organisations have been admitted to the TC: BirdLife International, </w:t>
      </w:r>
      <w:r w:rsidR="00973E57" w:rsidRPr="00973E57">
        <w:rPr>
          <w:color w:val="333333"/>
          <w:sz w:val="22"/>
          <w:szCs w:val="22"/>
          <w:lang w:val="en-GB"/>
        </w:rPr>
        <w:t xml:space="preserve">The European Federation for Hunting and Conservation </w:t>
      </w:r>
      <w:r w:rsidR="00973E57">
        <w:rPr>
          <w:color w:val="333333"/>
          <w:sz w:val="22"/>
          <w:szCs w:val="22"/>
          <w:lang w:val="en-GB"/>
        </w:rPr>
        <w:t xml:space="preserve">(FACE), </w:t>
      </w:r>
      <w:r>
        <w:rPr>
          <w:color w:val="333333"/>
          <w:sz w:val="22"/>
          <w:szCs w:val="22"/>
          <w:lang w:val="en-GB"/>
        </w:rPr>
        <w:t xml:space="preserve">The Wildfowl </w:t>
      </w:r>
      <w:r w:rsidR="006118F0">
        <w:rPr>
          <w:color w:val="333333"/>
          <w:sz w:val="22"/>
          <w:szCs w:val="22"/>
          <w:lang w:val="en-GB"/>
        </w:rPr>
        <w:t xml:space="preserve">&amp; </w:t>
      </w:r>
      <w:r>
        <w:rPr>
          <w:color w:val="333333"/>
          <w:sz w:val="22"/>
          <w:szCs w:val="22"/>
          <w:lang w:val="en-GB"/>
        </w:rPr>
        <w:t>Wetlands Trust (</w:t>
      </w:r>
      <w:r w:rsidR="00973E57">
        <w:rPr>
          <w:color w:val="333333"/>
          <w:sz w:val="22"/>
          <w:szCs w:val="22"/>
          <w:lang w:val="en-GB"/>
        </w:rPr>
        <w:t>WWT</w:t>
      </w:r>
      <w:r>
        <w:rPr>
          <w:color w:val="333333"/>
          <w:sz w:val="22"/>
          <w:szCs w:val="22"/>
          <w:lang w:val="en-GB"/>
        </w:rPr>
        <w:t>)</w:t>
      </w:r>
      <w:r w:rsidR="00973E57">
        <w:rPr>
          <w:color w:val="333333"/>
          <w:sz w:val="22"/>
          <w:szCs w:val="22"/>
          <w:lang w:val="en-GB"/>
        </w:rPr>
        <w:t xml:space="preserve">, </w:t>
      </w:r>
      <w:r>
        <w:rPr>
          <w:color w:val="333333"/>
          <w:sz w:val="22"/>
          <w:szCs w:val="22"/>
          <w:lang w:val="en-GB"/>
        </w:rPr>
        <w:t>and Migratory Birds of the Western Palearctic (</w:t>
      </w:r>
      <w:r w:rsidR="00973E57">
        <w:rPr>
          <w:color w:val="333333"/>
          <w:sz w:val="22"/>
          <w:szCs w:val="22"/>
          <w:lang w:val="en-GB"/>
        </w:rPr>
        <w:t>OMPO</w:t>
      </w:r>
      <w:r>
        <w:rPr>
          <w:color w:val="333333"/>
          <w:sz w:val="22"/>
          <w:szCs w:val="22"/>
          <w:lang w:val="en-GB"/>
        </w:rPr>
        <w:t>)</w:t>
      </w:r>
      <w:r w:rsidR="00973E57">
        <w:rPr>
          <w:color w:val="333333"/>
          <w:sz w:val="22"/>
          <w:szCs w:val="22"/>
          <w:lang w:val="en-GB"/>
        </w:rPr>
        <w:t xml:space="preserve">. </w:t>
      </w:r>
      <w:r w:rsidR="00E73711">
        <w:rPr>
          <w:color w:val="333333"/>
          <w:sz w:val="22"/>
          <w:szCs w:val="22"/>
          <w:lang w:val="en-GB"/>
        </w:rPr>
        <w:t xml:space="preserve">Other observers to the Technical Committee in the past triennium were the UNEP/CMS Secretariat and the Chair of the CMS </w:t>
      </w:r>
      <w:r w:rsidR="00E73711" w:rsidRPr="00E73711">
        <w:rPr>
          <w:color w:val="333333"/>
          <w:sz w:val="22"/>
          <w:szCs w:val="22"/>
          <w:lang w:val="en-GB"/>
        </w:rPr>
        <w:t>African-Eurasian Migratory</w:t>
      </w:r>
      <w:r w:rsidR="00E73711">
        <w:rPr>
          <w:color w:val="333333"/>
          <w:sz w:val="22"/>
          <w:szCs w:val="22"/>
          <w:lang w:val="en-GB"/>
        </w:rPr>
        <w:t xml:space="preserve"> </w:t>
      </w:r>
      <w:r w:rsidR="00E73711" w:rsidRPr="00E73711">
        <w:rPr>
          <w:color w:val="333333"/>
          <w:sz w:val="22"/>
          <w:szCs w:val="22"/>
          <w:lang w:val="en-GB"/>
        </w:rPr>
        <w:t>Landbirds Working Group</w:t>
      </w:r>
      <w:r w:rsidR="00E73711">
        <w:rPr>
          <w:color w:val="333333"/>
          <w:sz w:val="22"/>
          <w:szCs w:val="22"/>
          <w:lang w:val="en-GB"/>
        </w:rPr>
        <w:t xml:space="preserve">, </w:t>
      </w:r>
      <w:r w:rsidR="002255B7">
        <w:rPr>
          <w:color w:val="333333"/>
          <w:sz w:val="22"/>
          <w:szCs w:val="22"/>
          <w:lang w:val="en-GB"/>
        </w:rPr>
        <w:t xml:space="preserve">the Secretariat of the Ramsar Convention, </w:t>
      </w:r>
      <w:r w:rsidR="001F1DC0">
        <w:rPr>
          <w:color w:val="333333"/>
          <w:sz w:val="22"/>
          <w:szCs w:val="22"/>
          <w:lang w:val="en-GB"/>
        </w:rPr>
        <w:t>the Secretar</w:t>
      </w:r>
      <w:r w:rsidR="002255B7">
        <w:rPr>
          <w:color w:val="333333"/>
          <w:sz w:val="22"/>
          <w:szCs w:val="22"/>
          <w:lang w:val="en-GB"/>
        </w:rPr>
        <w:t>iat</w:t>
      </w:r>
      <w:r w:rsidR="001F1DC0">
        <w:rPr>
          <w:color w:val="333333"/>
          <w:sz w:val="22"/>
          <w:szCs w:val="22"/>
          <w:lang w:val="en-GB"/>
        </w:rPr>
        <w:t xml:space="preserve"> of the Bern Convention</w:t>
      </w:r>
      <w:r w:rsidR="000B1423">
        <w:rPr>
          <w:color w:val="333333"/>
          <w:sz w:val="22"/>
          <w:szCs w:val="22"/>
          <w:lang w:val="en-GB"/>
        </w:rPr>
        <w:t>,</w:t>
      </w:r>
      <w:r w:rsidR="001F1DC0">
        <w:rPr>
          <w:color w:val="333333"/>
          <w:sz w:val="22"/>
          <w:szCs w:val="22"/>
          <w:lang w:val="en-GB"/>
        </w:rPr>
        <w:t xml:space="preserve"> </w:t>
      </w:r>
      <w:r w:rsidR="002255B7">
        <w:rPr>
          <w:color w:val="333333"/>
          <w:sz w:val="22"/>
          <w:szCs w:val="22"/>
          <w:lang w:val="en-GB"/>
        </w:rPr>
        <w:t xml:space="preserve">and </w:t>
      </w:r>
      <w:r w:rsidR="00E73711">
        <w:rPr>
          <w:color w:val="333333"/>
          <w:sz w:val="22"/>
          <w:szCs w:val="22"/>
          <w:lang w:val="en-GB"/>
        </w:rPr>
        <w:t xml:space="preserve">the Chair </w:t>
      </w:r>
      <w:r w:rsidR="001F1DC0">
        <w:rPr>
          <w:color w:val="333333"/>
          <w:sz w:val="22"/>
          <w:szCs w:val="22"/>
          <w:lang w:val="en-GB"/>
        </w:rPr>
        <w:t xml:space="preserve">and the Vice-chair </w:t>
      </w:r>
      <w:r w:rsidR="00E73711">
        <w:rPr>
          <w:color w:val="333333"/>
          <w:sz w:val="22"/>
          <w:szCs w:val="22"/>
          <w:lang w:val="en-GB"/>
        </w:rPr>
        <w:t>of the Technical sub-Committee of the East Asian-Australasian Flyway Partnership</w:t>
      </w:r>
      <w:r w:rsidR="002255B7">
        <w:rPr>
          <w:color w:val="333333"/>
          <w:sz w:val="22"/>
          <w:szCs w:val="22"/>
          <w:lang w:val="en-GB"/>
        </w:rPr>
        <w:t>.</w:t>
      </w:r>
    </w:p>
    <w:p w14:paraId="525AED3A" w14:textId="77777777" w:rsidR="00750823" w:rsidRDefault="00750823" w:rsidP="00750823">
      <w:pPr>
        <w:pStyle w:val="NormalWeb"/>
        <w:shd w:val="clear" w:color="auto" w:fill="FFFFFF"/>
        <w:spacing w:before="0" w:beforeAutospacing="0" w:after="0" w:afterAutospacing="0" w:line="276" w:lineRule="auto"/>
        <w:jc w:val="both"/>
        <w:rPr>
          <w:color w:val="333333"/>
          <w:sz w:val="22"/>
          <w:szCs w:val="22"/>
          <w:lang w:val="en-GB"/>
        </w:rPr>
      </w:pPr>
    </w:p>
    <w:p w14:paraId="51FFF39A" w14:textId="2EE3AD43" w:rsidR="002255B7" w:rsidRDefault="002255B7" w:rsidP="00750823">
      <w:pPr>
        <w:pStyle w:val="NormalWeb"/>
        <w:shd w:val="clear" w:color="auto" w:fill="FFFFFF"/>
        <w:spacing w:before="0" w:beforeAutospacing="0" w:after="0" w:afterAutospacing="0" w:line="276" w:lineRule="auto"/>
        <w:jc w:val="both"/>
        <w:rPr>
          <w:color w:val="333333"/>
          <w:sz w:val="22"/>
          <w:szCs w:val="22"/>
          <w:lang w:val="en-GB"/>
        </w:rPr>
      </w:pPr>
      <w:r>
        <w:rPr>
          <w:color w:val="333333"/>
          <w:sz w:val="22"/>
          <w:szCs w:val="22"/>
          <w:lang w:val="en-GB"/>
        </w:rPr>
        <w:t xml:space="preserve">At the </w:t>
      </w:r>
      <w:r w:rsidR="002B7396">
        <w:rPr>
          <w:color w:val="333333"/>
          <w:sz w:val="22"/>
          <w:szCs w:val="22"/>
          <w:lang w:val="en-GB"/>
        </w:rPr>
        <w:t xml:space="preserve">beginning </w:t>
      </w:r>
      <w:r>
        <w:rPr>
          <w:color w:val="333333"/>
          <w:sz w:val="22"/>
          <w:szCs w:val="22"/>
          <w:lang w:val="en-GB"/>
        </w:rPr>
        <w:t>of the triennium the Technical Committee was chaired by Ms Melissa Lewis</w:t>
      </w:r>
      <w:r w:rsidR="002B7396">
        <w:rPr>
          <w:color w:val="333333"/>
          <w:sz w:val="22"/>
          <w:szCs w:val="22"/>
          <w:lang w:val="en-GB"/>
        </w:rPr>
        <w:t xml:space="preserve"> (elected at the 18</w:t>
      </w:r>
      <w:r w:rsidR="002B7396" w:rsidRPr="002B7396">
        <w:rPr>
          <w:color w:val="333333"/>
          <w:sz w:val="22"/>
          <w:szCs w:val="22"/>
          <w:vertAlign w:val="superscript"/>
          <w:lang w:val="en-GB"/>
        </w:rPr>
        <w:t>th</w:t>
      </w:r>
      <w:r w:rsidR="002B7396">
        <w:rPr>
          <w:color w:val="333333"/>
          <w:sz w:val="22"/>
          <w:szCs w:val="22"/>
          <w:lang w:val="en-GB"/>
        </w:rPr>
        <w:t xml:space="preserve"> Meeting of the Committee) </w:t>
      </w:r>
      <w:r>
        <w:rPr>
          <w:color w:val="333333"/>
          <w:sz w:val="22"/>
          <w:szCs w:val="22"/>
          <w:lang w:val="en-GB"/>
        </w:rPr>
        <w:t>who stepped down from the Committee in March 2024 and was replaced by Mr Mohammed Shobrak</w:t>
      </w:r>
      <w:r w:rsidR="002B7396">
        <w:rPr>
          <w:color w:val="333333"/>
          <w:sz w:val="22"/>
          <w:szCs w:val="22"/>
          <w:lang w:val="en-GB"/>
        </w:rPr>
        <w:t xml:space="preserve"> (elected at the 19</w:t>
      </w:r>
      <w:r w:rsidR="002B7396" w:rsidRPr="002B7396">
        <w:rPr>
          <w:color w:val="333333"/>
          <w:sz w:val="22"/>
          <w:szCs w:val="22"/>
          <w:vertAlign w:val="superscript"/>
          <w:lang w:val="en-GB"/>
        </w:rPr>
        <w:t>th</w:t>
      </w:r>
      <w:r w:rsidR="002B7396">
        <w:rPr>
          <w:color w:val="333333"/>
          <w:sz w:val="22"/>
          <w:szCs w:val="22"/>
          <w:lang w:val="en-GB"/>
        </w:rPr>
        <w:t xml:space="preserve"> Meeting of the Committee)</w:t>
      </w:r>
      <w:r>
        <w:rPr>
          <w:color w:val="333333"/>
          <w:sz w:val="22"/>
          <w:szCs w:val="22"/>
          <w:lang w:val="en-GB"/>
        </w:rPr>
        <w:t>. Mr Taulant Bino served as the Vice-chair of the Committee over the entire triennium</w:t>
      </w:r>
      <w:r w:rsidR="002B7396">
        <w:rPr>
          <w:color w:val="333333"/>
          <w:sz w:val="22"/>
          <w:szCs w:val="22"/>
          <w:lang w:val="en-GB"/>
        </w:rPr>
        <w:t xml:space="preserve"> (re-elected at the 18</w:t>
      </w:r>
      <w:r w:rsidR="002B7396" w:rsidRPr="002B7396">
        <w:rPr>
          <w:color w:val="333333"/>
          <w:sz w:val="22"/>
          <w:szCs w:val="22"/>
          <w:vertAlign w:val="superscript"/>
          <w:lang w:val="en-GB"/>
        </w:rPr>
        <w:t>th</w:t>
      </w:r>
      <w:r w:rsidR="002B7396">
        <w:rPr>
          <w:color w:val="333333"/>
          <w:sz w:val="22"/>
          <w:szCs w:val="22"/>
          <w:lang w:val="en-GB"/>
        </w:rPr>
        <w:t xml:space="preserve"> Meeting of the Committee)</w:t>
      </w:r>
      <w:r>
        <w:rPr>
          <w:color w:val="333333"/>
          <w:sz w:val="22"/>
          <w:szCs w:val="22"/>
          <w:lang w:val="en-GB"/>
        </w:rPr>
        <w:t xml:space="preserve">. </w:t>
      </w:r>
    </w:p>
    <w:p w14:paraId="4C466D63" w14:textId="77777777" w:rsidR="002C6701" w:rsidRDefault="002C6701" w:rsidP="00750823">
      <w:pPr>
        <w:pStyle w:val="NormalWeb"/>
        <w:shd w:val="clear" w:color="auto" w:fill="FFFFFF"/>
        <w:spacing w:before="0" w:beforeAutospacing="0" w:after="0" w:afterAutospacing="0" w:line="276" w:lineRule="auto"/>
        <w:jc w:val="both"/>
        <w:rPr>
          <w:color w:val="333333"/>
          <w:sz w:val="22"/>
          <w:szCs w:val="22"/>
          <w:lang w:val="en-GB"/>
        </w:rPr>
      </w:pPr>
    </w:p>
    <w:p w14:paraId="3D2DC0C8" w14:textId="77777777" w:rsidR="00750823" w:rsidRDefault="00750823" w:rsidP="00750823">
      <w:pPr>
        <w:pStyle w:val="NormalWeb"/>
        <w:shd w:val="clear" w:color="auto" w:fill="FFFFFF"/>
        <w:spacing w:before="0" w:beforeAutospacing="0" w:after="0" w:afterAutospacing="0" w:line="276" w:lineRule="auto"/>
        <w:jc w:val="both"/>
        <w:rPr>
          <w:color w:val="333333"/>
          <w:sz w:val="22"/>
          <w:szCs w:val="22"/>
          <w:lang w:val="en-GB"/>
        </w:rPr>
      </w:pPr>
    </w:p>
    <w:p w14:paraId="45A08BB9" w14:textId="5515AAAD" w:rsidR="00866043" w:rsidRDefault="00C515C5" w:rsidP="00750823">
      <w:pPr>
        <w:pStyle w:val="NormalWeb"/>
        <w:shd w:val="clear" w:color="auto" w:fill="FFFFFF"/>
        <w:spacing w:before="0" w:beforeAutospacing="0" w:after="0" w:afterAutospacing="0" w:line="276" w:lineRule="auto"/>
        <w:jc w:val="both"/>
        <w:rPr>
          <w:b/>
          <w:lang w:val="en-GB"/>
        </w:rPr>
      </w:pPr>
      <w:r w:rsidRPr="00860CD7">
        <w:rPr>
          <w:b/>
          <w:lang w:val="en-GB"/>
        </w:rPr>
        <w:t xml:space="preserve">Implementation of </w:t>
      </w:r>
      <w:r w:rsidR="00666D2D" w:rsidRPr="00860CD7">
        <w:rPr>
          <w:b/>
          <w:lang w:val="en-GB"/>
        </w:rPr>
        <w:t>the Technical Committee</w:t>
      </w:r>
      <w:r w:rsidR="00666D2D" w:rsidRPr="00860CD7">
        <w:rPr>
          <w:lang w:val="en-GB"/>
        </w:rPr>
        <w:t xml:space="preserve"> </w:t>
      </w:r>
      <w:r w:rsidR="00571055" w:rsidRPr="00252018">
        <w:rPr>
          <w:b/>
          <w:bCs/>
          <w:lang w:val="en-GB"/>
        </w:rPr>
        <w:t>W</w:t>
      </w:r>
      <w:r w:rsidRPr="00860CD7">
        <w:rPr>
          <w:b/>
          <w:lang w:val="en-GB"/>
        </w:rPr>
        <w:t>ork</w:t>
      </w:r>
      <w:r w:rsidR="00571055">
        <w:rPr>
          <w:b/>
          <w:lang w:val="en-GB"/>
        </w:rPr>
        <w:t xml:space="preserve"> Plan</w:t>
      </w:r>
    </w:p>
    <w:p w14:paraId="30A8371B" w14:textId="77777777" w:rsidR="00750823" w:rsidRPr="00860CD7" w:rsidRDefault="00750823" w:rsidP="00750823">
      <w:pPr>
        <w:pStyle w:val="NormalWeb"/>
        <w:shd w:val="clear" w:color="auto" w:fill="FFFFFF"/>
        <w:spacing w:before="0" w:beforeAutospacing="0" w:after="0" w:afterAutospacing="0" w:line="276" w:lineRule="auto"/>
        <w:jc w:val="both"/>
        <w:rPr>
          <w:b/>
          <w:lang w:val="en-GB"/>
        </w:rPr>
      </w:pPr>
    </w:p>
    <w:p w14:paraId="3B1D0E3A" w14:textId="42B66921" w:rsidR="00E776BD" w:rsidRPr="00860CD7" w:rsidRDefault="00C515C5" w:rsidP="009D5FB8">
      <w:pPr>
        <w:spacing w:line="276" w:lineRule="auto"/>
        <w:jc w:val="both"/>
        <w:rPr>
          <w:sz w:val="22"/>
          <w:szCs w:val="22"/>
          <w:lang w:val="en-GB"/>
        </w:rPr>
      </w:pPr>
      <w:r w:rsidRPr="00860CD7">
        <w:rPr>
          <w:sz w:val="22"/>
          <w:szCs w:val="22"/>
          <w:lang w:val="en-GB"/>
        </w:rPr>
        <w:t xml:space="preserve">During the </w:t>
      </w:r>
      <w:r w:rsidR="00933D50">
        <w:rPr>
          <w:sz w:val="22"/>
          <w:szCs w:val="22"/>
          <w:lang w:val="en-GB"/>
        </w:rPr>
        <w:t xml:space="preserve">period </w:t>
      </w:r>
      <w:r w:rsidRPr="00860CD7">
        <w:rPr>
          <w:sz w:val="22"/>
          <w:szCs w:val="22"/>
          <w:lang w:val="en-GB"/>
        </w:rPr>
        <w:t>20</w:t>
      </w:r>
      <w:r w:rsidR="00EF226C">
        <w:rPr>
          <w:sz w:val="22"/>
          <w:szCs w:val="22"/>
          <w:lang w:val="en-GB"/>
        </w:rPr>
        <w:t>23</w:t>
      </w:r>
      <w:r w:rsidRPr="00860CD7">
        <w:rPr>
          <w:sz w:val="22"/>
          <w:szCs w:val="22"/>
          <w:lang w:val="en-GB"/>
        </w:rPr>
        <w:t>-20</w:t>
      </w:r>
      <w:r w:rsidR="000D21A6">
        <w:rPr>
          <w:sz w:val="22"/>
          <w:szCs w:val="22"/>
          <w:lang w:val="en-GB"/>
        </w:rPr>
        <w:t>2</w:t>
      </w:r>
      <w:r w:rsidR="00EF226C">
        <w:rPr>
          <w:sz w:val="22"/>
          <w:szCs w:val="22"/>
          <w:lang w:val="en-GB"/>
        </w:rPr>
        <w:t>5</w:t>
      </w:r>
      <w:r w:rsidRPr="00860CD7">
        <w:rPr>
          <w:sz w:val="22"/>
          <w:szCs w:val="22"/>
          <w:lang w:val="en-GB"/>
        </w:rPr>
        <w:t>, the Technical Committee held t</w:t>
      </w:r>
      <w:r w:rsidR="00933D50">
        <w:rPr>
          <w:sz w:val="22"/>
          <w:szCs w:val="22"/>
          <w:lang w:val="en-GB"/>
        </w:rPr>
        <w:t>hree</w:t>
      </w:r>
      <w:r w:rsidRPr="00860CD7">
        <w:rPr>
          <w:sz w:val="22"/>
          <w:szCs w:val="22"/>
          <w:lang w:val="en-GB"/>
        </w:rPr>
        <w:t xml:space="preserve"> meetings</w:t>
      </w:r>
      <w:r w:rsidR="005B3FEC">
        <w:rPr>
          <w:sz w:val="22"/>
          <w:szCs w:val="22"/>
          <w:lang w:val="en-GB"/>
        </w:rPr>
        <w:t>:</w:t>
      </w:r>
      <w:r w:rsidRPr="00860CD7">
        <w:rPr>
          <w:sz w:val="22"/>
          <w:szCs w:val="22"/>
          <w:lang w:val="en-GB"/>
        </w:rPr>
        <w:t xml:space="preserve"> </w:t>
      </w:r>
    </w:p>
    <w:p w14:paraId="64B78EA0" w14:textId="77777777" w:rsidR="008701C0" w:rsidRPr="00860CD7" w:rsidRDefault="008701C0" w:rsidP="009D5FB8">
      <w:pPr>
        <w:spacing w:line="276" w:lineRule="auto"/>
        <w:jc w:val="both"/>
        <w:rPr>
          <w:sz w:val="22"/>
          <w:szCs w:val="22"/>
          <w:lang w:val="en-GB"/>
        </w:rPr>
      </w:pPr>
    </w:p>
    <w:p w14:paraId="70E77BDF" w14:textId="385FFD36" w:rsidR="00E776BD" w:rsidRPr="005B3FEC" w:rsidRDefault="00C515C5" w:rsidP="005B3FEC">
      <w:pPr>
        <w:pStyle w:val="ListParagraph"/>
        <w:numPr>
          <w:ilvl w:val="0"/>
          <w:numId w:val="32"/>
        </w:numPr>
        <w:spacing w:line="276" w:lineRule="auto"/>
        <w:jc w:val="both"/>
        <w:rPr>
          <w:color w:val="333333"/>
          <w:sz w:val="22"/>
          <w:szCs w:val="22"/>
          <w:shd w:val="clear" w:color="auto" w:fill="FFFFFF"/>
        </w:rPr>
      </w:pPr>
      <w:r w:rsidRPr="005B3FEC">
        <w:rPr>
          <w:sz w:val="22"/>
          <w:szCs w:val="22"/>
        </w:rPr>
        <w:t>The 1</w:t>
      </w:r>
      <w:r w:rsidR="002B7396">
        <w:rPr>
          <w:sz w:val="22"/>
          <w:szCs w:val="22"/>
        </w:rPr>
        <w:t>8</w:t>
      </w:r>
      <w:r w:rsidRPr="005B3FEC">
        <w:rPr>
          <w:sz w:val="22"/>
          <w:szCs w:val="22"/>
          <w:vertAlign w:val="superscript"/>
        </w:rPr>
        <w:t>th</w:t>
      </w:r>
      <w:r w:rsidRPr="005B3FEC">
        <w:rPr>
          <w:sz w:val="22"/>
          <w:szCs w:val="22"/>
        </w:rPr>
        <w:t xml:space="preserve"> </w:t>
      </w:r>
      <w:r w:rsidR="009D5FB8" w:rsidRPr="005B3FEC">
        <w:rPr>
          <w:sz w:val="22"/>
          <w:szCs w:val="22"/>
        </w:rPr>
        <w:t>M</w:t>
      </w:r>
      <w:r w:rsidRPr="005B3FEC">
        <w:rPr>
          <w:sz w:val="22"/>
          <w:szCs w:val="22"/>
        </w:rPr>
        <w:t>eeting was held</w:t>
      </w:r>
      <w:r w:rsidR="00E776BD" w:rsidRPr="005B3FEC">
        <w:rPr>
          <w:sz w:val="22"/>
          <w:szCs w:val="22"/>
        </w:rPr>
        <w:t xml:space="preserve"> on </w:t>
      </w:r>
      <w:r w:rsidR="002B7396">
        <w:rPr>
          <w:sz w:val="22"/>
          <w:szCs w:val="22"/>
        </w:rPr>
        <w:t>14</w:t>
      </w:r>
      <w:r w:rsidR="009D5FB8" w:rsidRPr="005B3FEC">
        <w:rPr>
          <w:sz w:val="22"/>
          <w:szCs w:val="22"/>
        </w:rPr>
        <w:t>-</w:t>
      </w:r>
      <w:r w:rsidR="00E776BD" w:rsidRPr="005B3FEC">
        <w:rPr>
          <w:sz w:val="22"/>
          <w:szCs w:val="22"/>
        </w:rPr>
        <w:t>1</w:t>
      </w:r>
      <w:r w:rsidR="002B7396">
        <w:rPr>
          <w:sz w:val="22"/>
          <w:szCs w:val="22"/>
        </w:rPr>
        <w:t>6</w:t>
      </w:r>
      <w:r w:rsidR="00E776BD" w:rsidRPr="005B3FEC">
        <w:rPr>
          <w:sz w:val="22"/>
          <w:szCs w:val="22"/>
        </w:rPr>
        <w:t xml:space="preserve"> </w:t>
      </w:r>
      <w:r w:rsidR="002B7396">
        <w:rPr>
          <w:sz w:val="22"/>
          <w:szCs w:val="22"/>
        </w:rPr>
        <w:t xml:space="preserve">March </w:t>
      </w:r>
      <w:r w:rsidR="00E776BD" w:rsidRPr="005B3FEC">
        <w:rPr>
          <w:sz w:val="22"/>
          <w:szCs w:val="22"/>
        </w:rPr>
        <w:t>20</w:t>
      </w:r>
      <w:r w:rsidR="002B7396">
        <w:rPr>
          <w:sz w:val="22"/>
          <w:szCs w:val="22"/>
        </w:rPr>
        <w:t>23</w:t>
      </w:r>
      <w:r w:rsidR="00E776BD" w:rsidRPr="005B3FEC">
        <w:rPr>
          <w:sz w:val="22"/>
          <w:szCs w:val="22"/>
        </w:rPr>
        <w:t xml:space="preserve"> </w:t>
      </w:r>
      <w:r w:rsidR="002B7396">
        <w:rPr>
          <w:sz w:val="22"/>
          <w:szCs w:val="22"/>
        </w:rPr>
        <w:t>at</w:t>
      </w:r>
      <w:r w:rsidR="00E776BD" w:rsidRPr="005B3FEC">
        <w:rPr>
          <w:sz w:val="22"/>
          <w:szCs w:val="22"/>
        </w:rPr>
        <w:t xml:space="preserve"> </w:t>
      </w:r>
      <w:r w:rsidR="000D21A6" w:rsidRPr="005B3FEC">
        <w:rPr>
          <w:color w:val="333333"/>
          <w:sz w:val="22"/>
          <w:szCs w:val="22"/>
          <w:shd w:val="clear" w:color="auto" w:fill="FFFFFF"/>
        </w:rPr>
        <w:t>the UNEP/AEWA Secretariat’s premises in the UN Campus in Bonn, Germany</w:t>
      </w:r>
      <w:r w:rsidR="005B3FEC">
        <w:rPr>
          <w:color w:val="333333"/>
          <w:sz w:val="22"/>
          <w:szCs w:val="22"/>
          <w:shd w:val="clear" w:color="auto" w:fill="FFFFFF"/>
        </w:rPr>
        <w:t>;</w:t>
      </w:r>
    </w:p>
    <w:p w14:paraId="7B87FB7D" w14:textId="77777777" w:rsidR="008701C0" w:rsidRPr="00860CD7" w:rsidRDefault="008701C0" w:rsidP="009D5FB8">
      <w:pPr>
        <w:spacing w:line="276" w:lineRule="auto"/>
        <w:jc w:val="both"/>
        <w:rPr>
          <w:sz w:val="22"/>
          <w:szCs w:val="22"/>
          <w:lang w:val="en-GB"/>
        </w:rPr>
      </w:pPr>
    </w:p>
    <w:p w14:paraId="2AC7F6C1" w14:textId="6814405F" w:rsidR="00666D2D" w:rsidRDefault="00C515C5" w:rsidP="005B3FEC">
      <w:pPr>
        <w:pStyle w:val="ListParagraph"/>
        <w:numPr>
          <w:ilvl w:val="0"/>
          <w:numId w:val="32"/>
        </w:numPr>
        <w:spacing w:line="276" w:lineRule="auto"/>
        <w:jc w:val="both"/>
        <w:rPr>
          <w:sz w:val="22"/>
          <w:szCs w:val="22"/>
        </w:rPr>
      </w:pPr>
      <w:r w:rsidRPr="005B3FEC">
        <w:rPr>
          <w:sz w:val="22"/>
          <w:szCs w:val="22"/>
        </w:rPr>
        <w:t>The 1</w:t>
      </w:r>
      <w:r w:rsidR="002B7396">
        <w:rPr>
          <w:sz w:val="22"/>
          <w:szCs w:val="22"/>
        </w:rPr>
        <w:t>9</w:t>
      </w:r>
      <w:r w:rsidRPr="005B3FEC">
        <w:rPr>
          <w:sz w:val="22"/>
          <w:szCs w:val="22"/>
          <w:vertAlign w:val="superscript"/>
        </w:rPr>
        <w:t>th</w:t>
      </w:r>
      <w:r w:rsidRPr="005B3FEC">
        <w:rPr>
          <w:sz w:val="22"/>
          <w:szCs w:val="22"/>
        </w:rPr>
        <w:t xml:space="preserve"> </w:t>
      </w:r>
      <w:r w:rsidR="009D5FB8" w:rsidRPr="005B3FEC">
        <w:rPr>
          <w:sz w:val="22"/>
          <w:szCs w:val="22"/>
        </w:rPr>
        <w:t>M</w:t>
      </w:r>
      <w:r w:rsidRPr="005B3FEC">
        <w:rPr>
          <w:sz w:val="22"/>
          <w:szCs w:val="22"/>
        </w:rPr>
        <w:t xml:space="preserve">eeting was held </w:t>
      </w:r>
      <w:r w:rsidR="002B7396">
        <w:rPr>
          <w:sz w:val="22"/>
          <w:szCs w:val="22"/>
        </w:rPr>
        <w:t xml:space="preserve">virtually </w:t>
      </w:r>
      <w:r w:rsidRPr="005B3FEC">
        <w:rPr>
          <w:sz w:val="22"/>
          <w:szCs w:val="22"/>
        </w:rPr>
        <w:t xml:space="preserve">on </w:t>
      </w:r>
      <w:r w:rsidR="002B7396">
        <w:rPr>
          <w:sz w:val="22"/>
          <w:szCs w:val="22"/>
        </w:rPr>
        <w:t>12</w:t>
      </w:r>
      <w:r w:rsidR="009D5FB8" w:rsidRPr="005B3FEC">
        <w:rPr>
          <w:sz w:val="22"/>
          <w:szCs w:val="22"/>
        </w:rPr>
        <w:t>-</w:t>
      </w:r>
      <w:r w:rsidR="002B7396">
        <w:rPr>
          <w:sz w:val="22"/>
          <w:szCs w:val="22"/>
        </w:rPr>
        <w:t>14</w:t>
      </w:r>
      <w:r w:rsidRPr="005B3FEC">
        <w:rPr>
          <w:sz w:val="22"/>
          <w:szCs w:val="22"/>
        </w:rPr>
        <w:t xml:space="preserve"> </w:t>
      </w:r>
      <w:r w:rsidR="002B7396">
        <w:rPr>
          <w:sz w:val="22"/>
          <w:szCs w:val="22"/>
        </w:rPr>
        <w:t xml:space="preserve">March </w:t>
      </w:r>
      <w:r w:rsidR="00D85320" w:rsidRPr="005B3FEC">
        <w:rPr>
          <w:sz w:val="22"/>
          <w:szCs w:val="22"/>
        </w:rPr>
        <w:t>20</w:t>
      </w:r>
      <w:r w:rsidR="000D21A6" w:rsidRPr="005B3FEC">
        <w:rPr>
          <w:sz w:val="22"/>
          <w:szCs w:val="22"/>
        </w:rPr>
        <w:t>2</w:t>
      </w:r>
      <w:r w:rsidR="002B7396">
        <w:rPr>
          <w:sz w:val="22"/>
          <w:szCs w:val="22"/>
        </w:rPr>
        <w:t>4</w:t>
      </w:r>
      <w:r w:rsidR="00933D50">
        <w:rPr>
          <w:sz w:val="22"/>
          <w:szCs w:val="22"/>
        </w:rPr>
        <w:t>;</w:t>
      </w:r>
      <w:r w:rsidRPr="00196061">
        <w:rPr>
          <w:sz w:val="22"/>
          <w:szCs w:val="22"/>
        </w:rPr>
        <w:t xml:space="preserve"> </w:t>
      </w:r>
    </w:p>
    <w:p w14:paraId="57A3F4D5" w14:textId="77777777" w:rsidR="00933D50" w:rsidRPr="00933D50" w:rsidRDefault="00933D50" w:rsidP="00933D50">
      <w:pPr>
        <w:pStyle w:val="ListParagraph"/>
        <w:rPr>
          <w:sz w:val="22"/>
          <w:szCs w:val="22"/>
        </w:rPr>
      </w:pPr>
    </w:p>
    <w:p w14:paraId="31CB19A7" w14:textId="32AF87EE" w:rsidR="00933D50" w:rsidRPr="00933D50" w:rsidRDefault="00933D50" w:rsidP="00933D50">
      <w:pPr>
        <w:pStyle w:val="ListParagraph"/>
        <w:numPr>
          <w:ilvl w:val="0"/>
          <w:numId w:val="32"/>
        </w:numPr>
        <w:rPr>
          <w:sz w:val="22"/>
          <w:szCs w:val="22"/>
        </w:rPr>
      </w:pPr>
      <w:r w:rsidRPr="00933D50">
        <w:rPr>
          <w:sz w:val="22"/>
          <w:szCs w:val="22"/>
        </w:rPr>
        <w:t xml:space="preserve">The </w:t>
      </w:r>
      <w:r w:rsidR="002B7396">
        <w:rPr>
          <w:sz w:val="22"/>
          <w:szCs w:val="22"/>
        </w:rPr>
        <w:t>20</w:t>
      </w:r>
      <w:r w:rsidRPr="00933D50">
        <w:rPr>
          <w:sz w:val="22"/>
          <w:szCs w:val="22"/>
          <w:vertAlign w:val="superscript"/>
        </w:rPr>
        <w:t>th</w:t>
      </w:r>
      <w:r>
        <w:rPr>
          <w:sz w:val="22"/>
          <w:szCs w:val="22"/>
        </w:rPr>
        <w:t xml:space="preserve"> </w:t>
      </w:r>
      <w:r w:rsidRPr="00933D50">
        <w:rPr>
          <w:sz w:val="22"/>
          <w:szCs w:val="22"/>
        </w:rPr>
        <w:t xml:space="preserve">Meeting was held on </w:t>
      </w:r>
      <w:r w:rsidR="002B7396">
        <w:rPr>
          <w:sz w:val="22"/>
          <w:szCs w:val="22"/>
        </w:rPr>
        <w:t>24-28</w:t>
      </w:r>
      <w:r w:rsidRPr="00933D50">
        <w:rPr>
          <w:sz w:val="22"/>
          <w:szCs w:val="22"/>
        </w:rPr>
        <w:t xml:space="preserve"> </w:t>
      </w:r>
      <w:r>
        <w:rPr>
          <w:sz w:val="22"/>
          <w:szCs w:val="22"/>
        </w:rPr>
        <w:t xml:space="preserve">February </w:t>
      </w:r>
      <w:r w:rsidRPr="00933D50">
        <w:rPr>
          <w:sz w:val="22"/>
          <w:szCs w:val="22"/>
        </w:rPr>
        <w:t>202</w:t>
      </w:r>
      <w:r w:rsidR="002B7396">
        <w:rPr>
          <w:sz w:val="22"/>
          <w:szCs w:val="22"/>
        </w:rPr>
        <w:t>5</w:t>
      </w:r>
      <w:r w:rsidRPr="00933D50">
        <w:rPr>
          <w:sz w:val="22"/>
          <w:szCs w:val="22"/>
        </w:rPr>
        <w:t xml:space="preserve"> </w:t>
      </w:r>
      <w:r w:rsidR="002B7396">
        <w:rPr>
          <w:sz w:val="22"/>
          <w:szCs w:val="22"/>
        </w:rPr>
        <w:t xml:space="preserve">in Mikulov, the Czech Republic, hosted by the </w:t>
      </w:r>
      <w:r w:rsidR="00830DCF">
        <w:rPr>
          <w:sz w:val="22"/>
          <w:szCs w:val="22"/>
        </w:rPr>
        <w:t>Ministry of the Environment of the Czech Republic</w:t>
      </w:r>
      <w:r w:rsidRPr="00933D50">
        <w:rPr>
          <w:sz w:val="22"/>
          <w:szCs w:val="22"/>
        </w:rPr>
        <w:t xml:space="preserve">. </w:t>
      </w:r>
    </w:p>
    <w:p w14:paraId="545205D5" w14:textId="77777777" w:rsidR="008701C0" w:rsidRPr="00860CD7" w:rsidRDefault="008701C0" w:rsidP="009D5FB8">
      <w:pPr>
        <w:spacing w:line="276" w:lineRule="auto"/>
        <w:jc w:val="both"/>
        <w:rPr>
          <w:sz w:val="22"/>
          <w:szCs w:val="22"/>
          <w:lang w:val="en-GB"/>
        </w:rPr>
      </w:pPr>
    </w:p>
    <w:p w14:paraId="69B68D4D" w14:textId="138D2774" w:rsidR="00666D2D" w:rsidRPr="00860CD7" w:rsidRDefault="00EA16DD" w:rsidP="009D5FB8">
      <w:pPr>
        <w:spacing w:line="276" w:lineRule="auto"/>
        <w:jc w:val="both"/>
        <w:rPr>
          <w:sz w:val="22"/>
          <w:szCs w:val="22"/>
          <w:lang w:val="en-GB"/>
        </w:rPr>
      </w:pPr>
      <w:r>
        <w:rPr>
          <w:sz w:val="22"/>
          <w:szCs w:val="22"/>
          <w:lang w:val="en-GB"/>
        </w:rPr>
        <w:t>We are grateful to the United Kingdom</w:t>
      </w:r>
      <w:r w:rsidR="00A77397">
        <w:rPr>
          <w:sz w:val="22"/>
          <w:szCs w:val="22"/>
          <w:lang w:val="en-GB"/>
        </w:rPr>
        <w:t xml:space="preserve"> and</w:t>
      </w:r>
      <w:r>
        <w:rPr>
          <w:sz w:val="22"/>
          <w:szCs w:val="22"/>
          <w:lang w:val="en-GB"/>
        </w:rPr>
        <w:t xml:space="preserve"> Germany </w:t>
      </w:r>
      <w:r w:rsidR="00A77397">
        <w:rPr>
          <w:sz w:val="22"/>
          <w:szCs w:val="22"/>
          <w:lang w:val="en-GB"/>
        </w:rPr>
        <w:t xml:space="preserve">for supporting financially the convening of the two in-person meetings of the Technical Committee </w:t>
      </w:r>
      <w:r w:rsidR="00047DA8">
        <w:rPr>
          <w:sz w:val="22"/>
          <w:szCs w:val="22"/>
          <w:lang w:val="en-GB"/>
        </w:rPr>
        <w:t xml:space="preserve">in </w:t>
      </w:r>
      <w:r w:rsidR="00A77397">
        <w:rPr>
          <w:sz w:val="22"/>
          <w:szCs w:val="22"/>
          <w:lang w:val="en-GB"/>
        </w:rPr>
        <w:t xml:space="preserve">this triennium </w:t>
      </w:r>
      <w:r>
        <w:rPr>
          <w:sz w:val="22"/>
          <w:szCs w:val="22"/>
          <w:lang w:val="en-GB"/>
        </w:rPr>
        <w:t xml:space="preserve">and </w:t>
      </w:r>
      <w:r w:rsidR="00A77397">
        <w:rPr>
          <w:sz w:val="22"/>
          <w:szCs w:val="22"/>
          <w:lang w:val="en-GB"/>
        </w:rPr>
        <w:t xml:space="preserve">also to </w:t>
      </w:r>
      <w:r>
        <w:rPr>
          <w:sz w:val="22"/>
          <w:szCs w:val="22"/>
          <w:lang w:val="en-GB"/>
        </w:rPr>
        <w:t xml:space="preserve">the Czech Republic for </w:t>
      </w:r>
      <w:r w:rsidR="00A77397">
        <w:rPr>
          <w:sz w:val="22"/>
          <w:szCs w:val="22"/>
          <w:lang w:val="en-GB"/>
        </w:rPr>
        <w:t xml:space="preserve">hosting and co-funding the second in-person meeting. </w:t>
      </w:r>
      <w:r w:rsidR="00666D2D" w:rsidRPr="00860CD7">
        <w:rPr>
          <w:sz w:val="22"/>
          <w:szCs w:val="22"/>
          <w:lang w:val="en-GB"/>
        </w:rPr>
        <w:t xml:space="preserve">We express our thanks to the staff of the </w:t>
      </w:r>
      <w:r w:rsidR="009D5FB8" w:rsidRPr="00860CD7">
        <w:rPr>
          <w:sz w:val="22"/>
          <w:szCs w:val="22"/>
          <w:lang w:val="en-GB"/>
        </w:rPr>
        <w:t>UNEP/</w:t>
      </w:r>
      <w:r w:rsidR="00666D2D" w:rsidRPr="00860CD7">
        <w:rPr>
          <w:sz w:val="22"/>
          <w:szCs w:val="22"/>
          <w:lang w:val="en-GB"/>
        </w:rPr>
        <w:t>AEWA Secretariat</w:t>
      </w:r>
      <w:r w:rsidR="000D21A6">
        <w:rPr>
          <w:sz w:val="22"/>
          <w:szCs w:val="22"/>
          <w:lang w:val="en-GB"/>
        </w:rPr>
        <w:t xml:space="preserve"> for </w:t>
      </w:r>
      <w:r w:rsidR="00666D2D" w:rsidRPr="00860CD7">
        <w:rPr>
          <w:sz w:val="22"/>
          <w:szCs w:val="22"/>
          <w:lang w:val="en-GB"/>
        </w:rPr>
        <w:t>ensuring the effective organi</w:t>
      </w:r>
      <w:r w:rsidR="000D21A6">
        <w:rPr>
          <w:sz w:val="22"/>
          <w:szCs w:val="22"/>
          <w:lang w:val="en-GB"/>
        </w:rPr>
        <w:t>s</w:t>
      </w:r>
      <w:r w:rsidR="00666D2D" w:rsidRPr="00860CD7">
        <w:rPr>
          <w:sz w:val="22"/>
          <w:szCs w:val="22"/>
          <w:lang w:val="en-GB"/>
        </w:rPr>
        <w:t>ation</w:t>
      </w:r>
      <w:r w:rsidR="000D21A6">
        <w:rPr>
          <w:sz w:val="22"/>
          <w:szCs w:val="22"/>
          <w:lang w:val="en-GB"/>
        </w:rPr>
        <w:t xml:space="preserve"> and running of </w:t>
      </w:r>
      <w:r w:rsidR="00933D50">
        <w:rPr>
          <w:sz w:val="22"/>
          <w:szCs w:val="22"/>
          <w:lang w:val="en-GB"/>
        </w:rPr>
        <w:t xml:space="preserve">all three </w:t>
      </w:r>
      <w:r w:rsidR="000D21A6">
        <w:rPr>
          <w:sz w:val="22"/>
          <w:szCs w:val="22"/>
          <w:lang w:val="en-GB"/>
        </w:rPr>
        <w:t>meetings</w:t>
      </w:r>
      <w:r w:rsidR="00666D2D" w:rsidRPr="00860CD7">
        <w:rPr>
          <w:sz w:val="22"/>
          <w:szCs w:val="22"/>
          <w:lang w:val="en-GB"/>
        </w:rPr>
        <w:t>.</w:t>
      </w:r>
    </w:p>
    <w:p w14:paraId="73C8A290" w14:textId="77777777" w:rsidR="008701C0" w:rsidRPr="00860CD7" w:rsidRDefault="008701C0" w:rsidP="009D5FB8">
      <w:pPr>
        <w:spacing w:line="276" w:lineRule="auto"/>
        <w:jc w:val="both"/>
        <w:rPr>
          <w:sz w:val="22"/>
          <w:szCs w:val="22"/>
          <w:lang w:val="en-GB"/>
        </w:rPr>
      </w:pPr>
    </w:p>
    <w:p w14:paraId="73115D81" w14:textId="3B9EC538" w:rsidR="00C515C5" w:rsidRPr="00860CD7" w:rsidRDefault="00D85320" w:rsidP="4B8ED3B0">
      <w:pPr>
        <w:spacing w:line="276" w:lineRule="auto"/>
        <w:jc w:val="both"/>
        <w:rPr>
          <w:sz w:val="22"/>
          <w:szCs w:val="22"/>
        </w:rPr>
      </w:pPr>
      <w:r w:rsidRPr="4B8ED3B0">
        <w:rPr>
          <w:sz w:val="22"/>
          <w:szCs w:val="22"/>
        </w:rPr>
        <w:t>The</w:t>
      </w:r>
      <w:r w:rsidR="00C515C5" w:rsidRPr="4B8ED3B0">
        <w:rPr>
          <w:sz w:val="22"/>
          <w:szCs w:val="22"/>
        </w:rPr>
        <w:t xml:space="preserve"> TC Work Plan for the period 20</w:t>
      </w:r>
      <w:r w:rsidR="00830DCF" w:rsidRPr="4B8ED3B0">
        <w:rPr>
          <w:sz w:val="22"/>
          <w:szCs w:val="22"/>
        </w:rPr>
        <w:t>23</w:t>
      </w:r>
      <w:r w:rsidR="00C515C5" w:rsidRPr="4B8ED3B0">
        <w:rPr>
          <w:sz w:val="22"/>
          <w:szCs w:val="22"/>
        </w:rPr>
        <w:t>-20</w:t>
      </w:r>
      <w:r w:rsidR="000D21A6" w:rsidRPr="4B8ED3B0">
        <w:rPr>
          <w:sz w:val="22"/>
          <w:szCs w:val="22"/>
        </w:rPr>
        <w:t>2</w:t>
      </w:r>
      <w:r w:rsidR="00047DA8" w:rsidRPr="4B8ED3B0">
        <w:rPr>
          <w:sz w:val="22"/>
          <w:szCs w:val="22"/>
        </w:rPr>
        <w:t>5</w:t>
      </w:r>
      <w:r w:rsidR="00C515C5" w:rsidRPr="4B8ED3B0">
        <w:rPr>
          <w:sz w:val="22"/>
          <w:szCs w:val="22"/>
        </w:rPr>
        <w:t xml:space="preserve"> was </w:t>
      </w:r>
      <w:r w:rsidRPr="4B8ED3B0">
        <w:rPr>
          <w:sz w:val="22"/>
          <w:szCs w:val="22"/>
        </w:rPr>
        <w:t xml:space="preserve">adopted by the </w:t>
      </w:r>
      <w:r w:rsidR="00830DCF" w:rsidRPr="4B8ED3B0">
        <w:rPr>
          <w:sz w:val="22"/>
          <w:szCs w:val="22"/>
        </w:rPr>
        <w:t>8</w:t>
      </w:r>
      <w:r w:rsidRPr="4B8ED3B0">
        <w:rPr>
          <w:sz w:val="22"/>
          <w:szCs w:val="22"/>
          <w:vertAlign w:val="superscript"/>
        </w:rPr>
        <w:t>th</w:t>
      </w:r>
      <w:r w:rsidRPr="4B8ED3B0">
        <w:rPr>
          <w:sz w:val="22"/>
          <w:szCs w:val="22"/>
        </w:rPr>
        <w:t xml:space="preserve"> Session of the Meeting of the Parties (MOP</w:t>
      </w:r>
      <w:r w:rsidR="00830DCF" w:rsidRPr="4B8ED3B0">
        <w:rPr>
          <w:sz w:val="22"/>
          <w:szCs w:val="22"/>
        </w:rPr>
        <w:t>8</w:t>
      </w:r>
      <w:r w:rsidRPr="4B8ED3B0">
        <w:rPr>
          <w:sz w:val="22"/>
          <w:szCs w:val="22"/>
        </w:rPr>
        <w:t xml:space="preserve">) </w:t>
      </w:r>
      <w:r w:rsidR="002C13CF" w:rsidRPr="4B8ED3B0">
        <w:rPr>
          <w:sz w:val="22"/>
          <w:szCs w:val="22"/>
        </w:rPr>
        <w:t xml:space="preserve">in </w:t>
      </w:r>
      <w:r w:rsidR="00830DCF" w:rsidRPr="4B8ED3B0">
        <w:rPr>
          <w:sz w:val="22"/>
          <w:szCs w:val="22"/>
        </w:rPr>
        <w:t xml:space="preserve">September </w:t>
      </w:r>
      <w:r w:rsidR="002C13CF" w:rsidRPr="4B8ED3B0">
        <w:rPr>
          <w:sz w:val="22"/>
          <w:szCs w:val="22"/>
        </w:rPr>
        <w:t>20</w:t>
      </w:r>
      <w:r w:rsidR="00830DCF" w:rsidRPr="4B8ED3B0">
        <w:rPr>
          <w:sz w:val="22"/>
          <w:szCs w:val="22"/>
        </w:rPr>
        <w:t>22</w:t>
      </w:r>
      <w:r w:rsidR="006118F0" w:rsidRPr="4B8ED3B0">
        <w:rPr>
          <w:sz w:val="22"/>
          <w:szCs w:val="22"/>
        </w:rPr>
        <w:t xml:space="preserve">. </w:t>
      </w:r>
      <w:r w:rsidR="002C13CF" w:rsidRPr="4B8ED3B0">
        <w:rPr>
          <w:sz w:val="22"/>
          <w:szCs w:val="22"/>
        </w:rPr>
        <w:t xml:space="preserve"> </w:t>
      </w:r>
      <w:r w:rsidR="002C2BA1" w:rsidRPr="4B8ED3B0">
        <w:rPr>
          <w:sz w:val="22"/>
          <w:szCs w:val="22"/>
        </w:rPr>
        <w:t xml:space="preserve">The </w:t>
      </w:r>
      <w:r w:rsidR="00C515C5" w:rsidRPr="4B8ED3B0">
        <w:rPr>
          <w:sz w:val="22"/>
          <w:szCs w:val="22"/>
        </w:rPr>
        <w:t xml:space="preserve">tasks were organised </w:t>
      </w:r>
      <w:r w:rsidR="005B3FEC" w:rsidRPr="4B8ED3B0">
        <w:rPr>
          <w:sz w:val="22"/>
          <w:szCs w:val="22"/>
        </w:rPr>
        <w:t xml:space="preserve">under </w:t>
      </w:r>
      <w:r w:rsidR="00C515C5" w:rsidRPr="4B8ED3B0">
        <w:rPr>
          <w:sz w:val="22"/>
          <w:szCs w:val="22"/>
        </w:rPr>
        <w:t xml:space="preserve">eight Working Groups (Table 1), each with a </w:t>
      </w:r>
      <w:r w:rsidR="00571055" w:rsidRPr="4B8ED3B0">
        <w:rPr>
          <w:sz w:val="22"/>
          <w:szCs w:val="22"/>
        </w:rPr>
        <w:t xml:space="preserve">chair </w:t>
      </w:r>
      <w:r w:rsidR="00C515C5" w:rsidRPr="4B8ED3B0">
        <w:rPr>
          <w:sz w:val="22"/>
          <w:szCs w:val="22"/>
        </w:rPr>
        <w:t>responsible for supervising the implementation of planned tasks.</w:t>
      </w:r>
      <w:r w:rsidR="004646C2" w:rsidRPr="4B8ED3B0">
        <w:rPr>
          <w:sz w:val="22"/>
          <w:szCs w:val="22"/>
        </w:rPr>
        <w:t xml:space="preserve"> </w:t>
      </w:r>
      <w:r w:rsidR="00830DCF" w:rsidRPr="4B8ED3B0">
        <w:rPr>
          <w:sz w:val="22"/>
          <w:szCs w:val="22"/>
        </w:rPr>
        <w:t xml:space="preserve">Due to capacity constraints at the Secretariat, no supporting </w:t>
      </w:r>
      <w:r w:rsidR="00571055" w:rsidRPr="4B8ED3B0">
        <w:rPr>
          <w:sz w:val="22"/>
          <w:szCs w:val="22"/>
        </w:rPr>
        <w:t xml:space="preserve">staff </w:t>
      </w:r>
      <w:r w:rsidR="00571055" w:rsidRPr="4B8ED3B0">
        <w:rPr>
          <w:sz w:val="22"/>
          <w:szCs w:val="22"/>
        </w:rPr>
        <w:lastRenderedPageBreak/>
        <w:t xml:space="preserve">member </w:t>
      </w:r>
      <w:r w:rsidR="00830DCF" w:rsidRPr="4B8ED3B0">
        <w:rPr>
          <w:sz w:val="22"/>
          <w:szCs w:val="22"/>
        </w:rPr>
        <w:t>was assigned to any Working Group</w:t>
      </w:r>
      <w:r w:rsidR="00571055" w:rsidRPr="4B8ED3B0">
        <w:rPr>
          <w:sz w:val="22"/>
          <w:szCs w:val="22"/>
        </w:rPr>
        <w:t xml:space="preserve">. </w:t>
      </w:r>
      <w:r w:rsidR="006118F0" w:rsidRPr="4B8ED3B0">
        <w:rPr>
          <w:sz w:val="22"/>
          <w:szCs w:val="22"/>
        </w:rPr>
        <w:t>The Work Plan was further developed and refined by the TC at its 1</w:t>
      </w:r>
      <w:r w:rsidR="00830DCF" w:rsidRPr="4B8ED3B0">
        <w:rPr>
          <w:sz w:val="22"/>
          <w:szCs w:val="22"/>
        </w:rPr>
        <w:t>8</w:t>
      </w:r>
      <w:r w:rsidR="006118F0" w:rsidRPr="4B8ED3B0">
        <w:rPr>
          <w:sz w:val="22"/>
          <w:szCs w:val="22"/>
          <w:vertAlign w:val="superscript"/>
        </w:rPr>
        <w:t>th</w:t>
      </w:r>
      <w:r w:rsidR="006118F0" w:rsidRPr="4B8ED3B0">
        <w:rPr>
          <w:sz w:val="22"/>
          <w:szCs w:val="22"/>
        </w:rPr>
        <w:t xml:space="preserve"> Meeting in </w:t>
      </w:r>
      <w:r w:rsidR="00830DCF" w:rsidRPr="4B8ED3B0">
        <w:rPr>
          <w:sz w:val="22"/>
          <w:szCs w:val="22"/>
        </w:rPr>
        <w:t xml:space="preserve">March </w:t>
      </w:r>
      <w:r w:rsidR="006118F0" w:rsidRPr="4B8ED3B0">
        <w:rPr>
          <w:sz w:val="22"/>
          <w:szCs w:val="22"/>
        </w:rPr>
        <w:t>20</w:t>
      </w:r>
      <w:r w:rsidR="00830DCF" w:rsidRPr="4B8ED3B0">
        <w:rPr>
          <w:sz w:val="22"/>
          <w:szCs w:val="22"/>
        </w:rPr>
        <w:t>23</w:t>
      </w:r>
      <w:r w:rsidR="006118F0" w:rsidRPr="4B8ED3B0">
        <w:rPr>
          <w:sz w:val="22"/>
          <w:szCs w:val="22"/>
        </w:rPr>
        <w:t xml:space="preserve"> (Table 2</w:t>
      </w:r>
      <w:r w:rsidR="00F64007" w:rsidRPr="4B8ED3B0">
        <w:rPr>
          <w:sz w:val="22"/>
          <w:szCs w:val="22"/>
        </w:rPr>
        <w:t xml:space="preserve"> on page 7</w:t>
      </w:r>
      <w:r w:rsidR="006118F0" w:rsidRPr="4B8ED3B0">
        <w:rPr>
          <w:sz w:val="22"/>
          <w:szCs w:val="22"/>
        </w:rPr>
        <w:t>).</w:t>
      </w:r>
    </w:p>
    <w:p w14:paraId="7C3D0CFB" w14:textId="77777777" w:rsidR="008701C0" w:rsidRPr="00860CD7" w:rsidRDefault="008701C0" w:rsidP="009D5FB8">
      <w:pPr>
        <w:spacing w:line="276" w:lineRule="auto"/>
        <w:jc w:val="both"/>
        <w:rPr>
          <w:color w:val="333333"/>
          <w:sz w:val="22"/>
          <w:szCs w:val="22"/>
          <w:lang w:val="en-GB"/>
        </w:rPr>
      </w:pPr>
    </w:p>
    <w:p w14:paraId="4D27E169" w14:textId="2145D585" w:rsidR="00C515C5" w:rsidRPr="00860CD7" w:rsidRDefault="00666D2D" w:rsidP="009D5FB8">
      <w:pPr>
        <w:spacing w:line="276" w:lineRule="auto"/>
        <w:jc w:val="both"/>
        <w:rPr>
          <w:color w:val="333333"/>
          <w:sz w:val="22"/>
          <w:szCs w:val="22"/>
          <w:lang w:val="en-GB"/>
        </w:rPr>
      </w:pPr>
      <w:r w:rsidRPr="00860CD7">
        <w:rPr>
          <w:sz w:val="22"/>
          <w:szCs w:val="22"/>
          <w:lang w:val="en-GB"/>
        </w:rPr>
        <w:t>Intersessionally, the TC worked</w:t>
      </w:r>
      <w:r w:rsidR="00C515C5" w:rsidRPr="00860CD7">
        <w:rPr>
          <w:sz w:val="22"/>
          <w:szCs w:val="22"/>
          <w:lang w:val="en-GB"/>
        </w:rPr>
        <w:t xml:space="preserve"> on the implementation of </w:t>
      </w:r>
      <w:r w:rsidRPr="00860CD7">
        <w:rPr>
          <w:sz w:val="22"/>
          <w:szCs w:val="22"/>
          <w:lang w:val="en-GB"/>
        </w:rPr>
        <w:t xml:space="preserve">the </w:t>
      </w:r>
      <w:r w:rsidR="000B4FCF">
        <w:rPr>
          <w:sz w:val="22"/>
          <w:szCs w:val="22"/>
          <w:lang w:val="en-GB"/>
        </w:rPr>
        <w:t>W</w:t>
      </w:r>
      <w:r w:rsidRPr="00860CD7">
        <w:rPr>
          <w:sz w:val="22"/>
          <w:szCs w:val="22"/>
          <w:lang w:val="en-GB"/>
        </w:rPr>
        <w:t xml:space="preserve">ork </w:t>
      </w:r>
      <w:r w:rsidR="000B4FCF">
        <w:rPr>
          <w:sz w:val="22"/>
          <w:szCs w:val="22"/>
          <w:lang w:val="en-GB"/>
        </w:rPr>
        <w:t>P</w:t>
      </w:r>
      <w:r w:rsidR="00C515C5" w:rsidRPr="00860CD7">
        <w:rPr>
          <w:sz w:val="22"/>
          <w:szCs w:val="22"/>
          <w:lang w:val="en-GB"/>
        </w:rPr>
        <w:t>lan via the </w:t>
      </w:r>
      <w:hyperlink r:id="rId11" w:history="1">
        <w:r w:rsidR="00C515C5" w:rsidRPr="00860CD7">
          <w:rPr>
            <w:rStyle w:val="Hyperlink"/>
            <w:color w:val="auto"/>
            <w:sz w:val="22"/>
            <w:szCs w:val="22"/>
            <w:u w:val="none"/>
            <w:lang w:val="en-GB"/>
          </w:rPr>
          <w:t>AEWA Technical Committee Workspace</w:t>
        </w:r>
      </w:hyperlink>
      <w:r w:rsidR="00C515C5" w:rsidRPr="00860CD7">
        <w:rPr>
          <w:sz w:val="22"/>
          <w:szCs w:val="22"/>
          <w:lang w:val="en-GB"/>
        </w:rPr>
        <w:t xml:space="preserve">, which is a web-based, password-protected communication space and working area for the TC that </w:t>
      </w:r>
      <w:r w:rsidR="00C515C5" w:rsidRPr="00822509">
        <w:rPr>
          <w:sz w:val="22"/>
          <w:szCs w:val="22"/>
          <w:lang w:val="en-GB"/>
        </w:rPr>
        <w:t>provides easy access</w:t>
      </w:r>
      <w:r w:rsidR="00C515C5" w:rsidRPr="00822509">
        <w:rPr>
          <w:color w:val="333333"/>
          <w:sz w:val="22"/>
          <w:szCs w:val="22"/>
          <w:lang w:val="en-GB"/>
        </w:rPr>
        <w:t xml:space="preserve"> to documents, enables correspondence and discussions, as well as archiving all the work of the TC.</w:t>
      </w:r>
      <w:r w:rsidR="00453984" w:rsidRPr="00822509">
        <w:rPr>
          <w:color w:val="333333"/>
          <w:sz w:val="22"/>
          <w:szCs w:val="22"/>
          <w:lang w:val="en-GB"/>
        </w:rPr>
        <w:t xml:space="preserve"> </w:t>
      </w:r>
    </w:p>
    <w:p w14:paraId="1A12E3F1" w14:textId="77777777" w:rsidR="001965D4" w:rsidRPr="00860CD7" w:rsidRDefault="001965D4" w:rsidP="009D5FB8">
      <w:pPr>
        <w:tabs>
          <w:tab w:val="left" w:pos="2085"/>
        </w:tabs>
        <w:spacing w:line="276" w:lineRule="auto"/>
        <w:rPr>
          <w:b/>
          <w:sz w:val="22"/>
          <w:szCs w:val="22"/>
          <w:lang w:val="en-GB"/>
        </w:rPr>
      </w:pPr>
    </w:p>
    <w:p w14:paraId="12459B8B" w14:textId="6F4A4165" w:rsidR="00747884" w:rsidRPr="00D5785F" w:rsidRDefault="00747884" w:rsidP="00D5785F">
      <w:pPr>
        <w:tabs>
          <w:tab w:val="left" w:pos="2085"/>
        </w:tabs>
        <w:spacing w:line="276" w:lineRule="auto"/>
        <w:rPr>
          <w:i/>
          <w:sz w:val="22"/>
          <w:szCs w:val="22"/>
          <w:lang w:val="en-GB"/>
        </w:rPr>
      </w:pPr>
      <w:r w:rsidRPr="00F53879">
        <w:rPr>
          <w:i/>
          <w:sz w:val="22"/>
          <w:szCs w:val="22"/>
          <w:lang w:val="en-GB"/>
        </w:rPr>
        <w:t>Table 1. Technical Committee Working Groups and their membership (20</w:t>
      </w:r>
      <w:r w:rsidR="00830DCF" w:rsidRPr="00F53879">
        <w:rPr>
          <w:i/>
          <w:sz w:val="22"/>
          <w:szCs w:val="22"/>
          <w:lang w:val="en-GB"/>
        </w:rPr>
        <w:t>23-</w:t>
      </w:r>
      <w:r w:rsidR="00AA5F48" w:rsidRPr="00F53879">
        <w:rPr>
          <w:i/>
          <w:sz w:val="22"/>
          <w:szCs w:val="22"/>
          <w:lang w:val="en-GB"/>
        </w:rPr>
        <w:t>202</w:t>
      </w:r>
      <w:r w:rsidR="00830DCF" w:rsidRPr="00F53879">
        <w:rPr>
          <w:i/>
          <w:sz w:val="22"/>
          <w:szCs w:val="22"/>
          <w:lang w:val="en-GB"/>
        </w:rPr>
        <w:t>5</w:t>
      </w:r>
      <w:r w:rsidRPr="00F53879">
        <w:rPr>
          <w:i/>
          <w:sz w:val="22"/>
          <w:szCs w:val="22"/>
          <w:lang w:val="en-GB"/>
        </w:rPr>
        <w:t>)</w:t>
      </w:r>
      <w:r w:rsidR="00F53879">
        <w:rPr>
          <w:i/>
          <w:sz w:val="22"/>
          <w:szCs w:val="22"/>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7367DB" w:rsidRPr="00860CD7" w14:paraId="123FE466" w14:textId="77777777" w:rsidTr="00AD5604">
        <w:trPr>
          <w:tblHeader/>
        </w:trPr>
        <w:tc>
          <w:tcPr>
            <w:tcW w:w="2802" w:type="dxa"/>
            <w:tcBorders>
              <w:top w:val="single" w:sz="4" w:space="0" w:color="auto"/>
              <w:left w:val="single" w:sz="4" w:space="0" w:color="auto"/>
              <w:bottom w:val="single" w:sz="4" w:space="0" w:color="auto"/>
              <w:right w:val="single" w:sz="4" w:space="0" w:color="auto"/>
            </w:tcBorders>
            <w:shd w:val="clear" w:color="auto" w:fill="E7E6E6"/>
            <w:hideMark/>
          </w:tcPr>
          <w:p w14:paraId="136CD7A6" w14:textId="77777777" w:rsidR="00747884" w:rsidRPr="00860CD7" w:rsidRDefault="00747884" w:rsidP="009D5FB8">
            <w:pPr>
              <w:pStyle w:val="EndnoteText"/>
              <w:spacing w:after="120" w:line="276" w:lineRule="auto"/>
              <w:ind w:left="851" w:hanging="851"/>
              <w:rPr>
                <w:b/>
                <w:sz w:val="22"/>
                <w:szCs w:val="22"/>
                <w:lang w:val="en-GB" w:eastAsia="en-US"/>
              </w:rPr>
            </w:pPr>
            <w:r w:rsidRPr="00860CD7">
              <w:rPr>
                <w:b/>
                <w:sz w:val="22"/>
                <w:szCs w:val="22"/>
                <w:lang w:val="en-GB" w:eastAsia="en-US"/>
              </w:rPr>
              <w:t>Working Group</w:t>
            </w:r>
          </w:p>
        </w:tc>
        <w:tc>
          <w:tcPr>
            <w:tcW w:w="7052" w:type="dxa"/>
            <w:tcBorders>
              <w:top w:val="single" w:sz="4" w:space="0" w:color="auto"/>
              <w:left w:val="single" w:sz="4" w:space="0" w:color="auto"/>
              <w:bottom w:val="single" w:sz="4" w:space="0" w:color="auto"/>
              <w:right w:val="single" w:sz="4" w:space="0" w:color="auto"/>
            </w:tcBorders>
            <w:shd w:val="clear" w:color="auto" w:fill="E7E6E6"/>
            <w:hideMark/>
          </w:tcPr>
          <w:p w14:paraId="5199BEF7" w14:textId="77777777" w:rsidR="00747884" w:rsidRPr="00860CD7" w:rsidRDefault="00747884" w:rsidP="009D5FB8">
            <w:pPr>
              <w:pStyle w:val="EndnoteText"/>
              <w:spacing w:after="120" w:line="276" w:lineRule="auto"/>
              <w:ind w:left="851" w:hanging="851"/>
              <w:rPr>
                <w:b/>
                <w:sz w:val="22"/>
                <w:szCs w:val="22"/>
                <w:lang w:val="en-GB" w:eastAsia="en-US"/>
              </w:rPr>
            </w:pPr>
            <w:r w:rsidRPr="00860CD7">
              <w:rPr>
                <w:b/>
                <w:sz w:val="22"/>
                <w:szCs w:val="22"/>
                <w:lang w:val="en-GB" w:eastAsia="en-US"/>
              </w:rPr>
              <w:t>Members</w:t>
            </w:r>
          </w:p>
        </w:tc>
      </w:tr>
      <w:tr w:rsidR="007367DB" w:rsidRPr="00860CD7" w14:paraId="28D42FAF"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3829C84A" w14:textId="77777777" w:rsidR="00747884" w:rsidRPr="00860CD7" w:rsidRDefault="00747884" w:rsidP="009D5FB8">
            <w:pPr>
              <w:pStyle w:val="EndnoteText"/>
              <w:spacing w:line="276" w:lineRule="auto"/>
              <w:ind w:left="284" w:hanging="284"/>
              <w:rPr>
                <w:sz w:val="22"/>
                <w:szCs w:val="22"/>
                <w:lang w:val="en-GB" w:eastAsia="en-US"/>
              </w:rPr>
            </w:pPr>
            <w:r w:rsidRPr="00860CD7">
              <w:rPr>
                <w:sz w:val="22"/>
                <w:szCs w:val="22"/>
                <w:lang w:val="en-GB" w:eastAsia="en-US"/>
              </w:rPr>
              <w:t>1. Field of Application</w:t>
            </w:r>
          </w:p>
        </w:tc>
        <w:tc>
          <w:tcPr>
            <w:tcW w:w="7052" w:type="dxa"/>
            <w:tcBorders>
              <w:top w:val="single" w:sz="4" w:space="0" w:color="auto"/>
              <w:left w:val="single" w:sz="4" w:space="0" w:color="auto"/>
              <w:bottom w:val="single" w:sz="4" w:space="0" w:color="auto"/>
              <w:right w:val="single" w:sz="4" w:space="0" w:color="auto"/>
            </w:tcBorders>
            <w:hideMark/>
          </w:tcPr>
          <w:p w14:paraId="35F5914E" w14:textId="3BD1A8F3" w:rsidR="00747884" w:rsidRPr="00860CD7" w:rsidRDefault="00A1701F" w:rsidP="009D5FB8">
            <w:pPr>
              <w:pStyle w:val="EndnoteText"/>
              <w:spacing w:after="120" w:line="276" w:lineRule="auto"/>
              <w:ind w:left="851" w:hanging="851"/>
              <w:rPr>
                <w:color w:val="FF0000"/>
                <w:sz w:val="22"/>
                <w:szCs w:val="22"/>
                <w:lang w:val="en-GB" w:eastAsia="en-US"/>
              </w:rPr>
            </w:pPr>
            <w:r>
              <w:rPr>
                <w:b/>
                <w:sz w:val="22"/>
                <w:szCs w:val="22"/>
                <w:lang w:val="en-GB" w:eastAsia="en-US"/>
              </w:rPr>
              <w:t>Melissa Lewis/Doug Harebottle</w:t>
            </w:r>
            <w:r w:rsidR="00A402C0">
              <w:rPr>
                <w:b/>
                <w:sz w:val="22"/>
                <w:szCs w:val="22"/>
                <w:lang w:val="en-GB" w:eastAsia="en-US"/>
              </w:rPr>
              <w:t xml:space="preserve"> </w:t>
            </w:r>
            <w:r w:rsidR="00747884" w:rsidRPr="00860CD7">
              <w:rPr>
                <w:b/>
                <w:sz w:val="22"/>
                <w:szCs w:val="22"/>
                <w:lang w:val="en-GB" w:eastAsia="en-US"/>
              </w:rPr>
              <w:t>(</w:t>
            </w:r>
            <w:r w:rsidR="00571055">
              <w:rPr>
                <w:b/>
                <w:sz w:val="22"/>
                <w:szCs w:val="22"/>
                <w:lang w:val="en-GB" w:eastAsia="en-US"/>
              </w:rPr>
              <w:t>Chair</w:t>
            </w:r>
            <w:r w:rsidR="00747884" w:rsidRPr="00860CD7">
              <w:rPr>
                <w:b/>
                <w:sz w:val="22"/>
                <w:szCs w:val="22"/>
                <w:lang w:val="en-GB" w:eastAsia="en-US"/>
              </w:rPr>
              <w:t>),</w:t>
            </w:r>
            <w:r w:rsidR="00747884" w:rsidRPr="00860CD7">
              <w:rPr>
                <w:sz w:val="22"/>
                <w:szCs w:val="22"/>
                <w:lang w:val="en-GB" w:eastAsia="en-US"/>
              </w:rPr>
              <w:t xml:space="preserve"> Szabolcs Nagy, </w:t>
            </w:r>
            <w:r>
              <w:rPr>
                <w:sz w:val="22"/>
                <w:szCs w:val="22"/>
                <w:lang w:val="en-GB" w:eastAsia="en-US"/>
              </w:rPr>
              <w:t xml:space="preserve">Nils Bunnefeld, Emmanuel </w:t>
            </w:r>
            <w:r w:rsidRPr="00A1701F">
              <w:rPr>
                <w:sz w:val="22"/>
                <w:szCs w:val="22"/>
                <w:lang w:val="en-GB" w:eastAsia="en-US"/>
              </w:rPr>
              <w:t>Kasimbazi</w:t>
            </w:r>
            <w:r>
              <w:rPr>
                <w:sz w:val="22"/>
                <w:szCs w:val="22"/>
                <w:lang w:val="en-GB" w:eastAsia="en-US"/>
              </w:rPr>
              <w:t>,</w:t>
            </w:r>
            <w:r w:rsidRPr="00A1701F">
              <w:rPr>
                <w:sz w:val="22"/>
                <w:szCs w:val="22"/>
                <w:lang w:val="en-GB" w:eastAsia="en-US"/>
              </w:rPr>
              <w:t xml:space="preserve"> </w:t>
            </w:r>
            <w:r>
              <w:rPr>
                <w:sz w:val="22"/>
                <w:szCs w:val="22"/>
                <w:lang w:val="en-GB" w:eastAsia="en-US"/>
              </w:rPr>
              <w:t xml:space="preserve">Maria Dias, David Stroud, </w:t>
            </w:r>
            <w:r w:rsidR="00747884" w:rsidRPr="00860CD7">
              <w:rPr>
                <w:sz w:val="22"/>
                <w:szCs w:val="22"/>
                <w:lang w:val="en-GB" w:eastAsia="en-US"/>
              </w:rPr>
              <w:t>Nicola Crockford,</w:t>
            </w:r>
            <w:r w:rsidR="00747884" w:rsidRPr="00860CD7">
              <w:rPr>
                <w:b/>
                <w:sz w:val="22"/>
                <w:szCs w:val="22"/>
                <w:lang w:val="en-GB" w:eastAsia="en-US"/>
              </w:rPr>
              <w:t xml:space="preserve"> </w:t>
            </w:r>
            <w:r w:rsidRPr="00A1701F">
              <w:rPr>
                <w:sz w:val="22"/>
                <w:szCs w:val="22"/>
                <w:lang w:val="en-GB" w:eastAsia="en-US"/>
              </w:rPr>
              <w:t>C</w:t>
            </w:r>
            <w:r>
              <w:rPr>
                <w:sz w:val="22"/>
                <w:szCs w:val="22"/>
                <w:lang w:val="en-GB" w:eastAsia="en-US"/>
              </w:rPr>
              <w:t xml:space="preserve">y Griffin, </w:t>
            </w:r>
            <w:r w:rsidR="00747884" w:rsidRPr="00860CD7">
              <w:rPr>
                <w:sz w:val="22"/>
                <w:szCs w:val="22"/>
                <w:lang w:val="en-GB" w:eastAsia="en-US"/>
              </w:rPr>
              <w:t>Sergey Dereliev</w:t>
            </w:r>
            <w:r>
              <w:rPr>
                <w:sz w:val="22"/>
                <w:szCs w:val="22"/>
                <w:lang w:val="en-GB" w:eastAsia="en-US"/>
              </w:rPr>
              <w:t>, Bruno Portier</w:t>
            </w:r>
          </w:p>
        </w:tc>
      </w:tr>
      <w:tr w:rsidR="007367DB" w:rsidRPr="00860CD7" w14:paraId="39B52347"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6F3617F3" w14:textId="77777777" w:rsidR="00747884" w:rsidRPr="00860CD7" w:rsidRDefault="00747884" w:rsidP="009D5FB8">
            <w:pPr>
              <w:pStyle w:val="EndnoteText"/>
              <w:spacing w:line="276" w:lineRule="auto"/>
              <w:ind w:left="284" w:hanging="284"/>
              <w:rPr>
                <w:sz w:val="22"/>
                <w:szCs w:val="22"/>
                <w:lang w:val="en-GB" w:eastAsia="en-US"/>
              </w:rPr>
            </w:pPr>
            <w:r w:rsidRPr="00860CD7">
              <w:rPr>
                <w:sz w:val="22"/>
                <w:szCs w:val="22"/>
                <w:lang w:val="en-GB" w:eastAsia="en-US"/>
              </w:rPr>
              <w:t>2. Species Conservation</w:t>
            </w:r>
          </w:p>
        </w:tc>
        <w:tc>
          <w:tcPr>
            <w:tcW w:w="7052" w:type="dxa"/>
            <w:tcBorders>
              <w:top w:val="single" w:sz="4" w:space="0" w:color="auto"/>
              <w:left w:val="single" w:sz="4" w:space="0" w:color="auto"/>
              <w:bottom w:val="single" w:sz="4" w:space="0" w:color="auto"/>
              <w:right w:val="single" w:sz="4" w:space="0" w:color="auto"/>
            </w:tcBorders>
            <w:hideMark/>
          </w:tcPr>
          <w:p w14:paraId="0941BB25" w14:textId="6BAA3737" w:rsidR="00747884" w:rsidRPr="00860CD7" w:rsidRDefault="00A77E8A" w:rsidP="009D5FB8">
            <w:pPr>
              <w:pStyle w:val="EndnoteText"/>
              <w:spacing w:after="120" w:line="276" w:lineRule="auto"/>
              <w:ind w:left="851" w:hanging="851"/>
              <w:rPr>
                <w:color w:val="FF0000"/>
                <w:sz w:val="22"/>
                <w:szCs w:val="22"/>
                <w:lang w:val="en-GB" w:eastAsia="en-US"/>
              </w:rPr>
            </w:pPr>
            <w:r>
              <w:rPr>
                <w:b/>
                <w:sz w:val="22"/>
                <w:szCs w:val="22"/>
                <w:lang w:val="en-GB" w:eastAsia="en-US"/>
              </w:rPr>
              <w:t>Maria Dias</w:t>
            </w:r>
            <w:r w:rsidR="00747884" w:rsidRPr="00860CD7">
              <w:rPr>
                <w:b/>
                <w:sz w:val="22"/>
                <w:szCs w:val="22"/>
                <w:lang w:val="en-GB" w:eastAsia="en-US"/>
              </w:rPr>
              <w:t xml:space="preserve"> (</w:t>
            </w:r>
            <w:r w:rsidR="00F53879">
              <w:rPr>
                <w:b/>
                <w:sz w:val="22"/>
                <w:szCs w:val="22"/>
                <w:lang w:val="en-GB" w:eastAsia="en-US"/>
              </w:rPr>
              <w:t>Chair</w:t>
            </w:r>
            <w:r w:rsidR="00747884" w:rsidRPr="00860CD7">
              <w:rPr>
                <w:b/>
                <w:sz w:val="22"/>
                <w:szCs w:val="22"/>
                <w:lang w:val="en-GB" w:eastAsia="en-US"/>
              </w:rPr>
              <w:t>),</w:t>
            </w:r>
            <w:r w:rsidR="00747884" w:rsidRPr="00860CD7">
              <w:rPr>
                <w:sz w:val="22"/>
                <w:szCs w:val="22"/>
                <w:lang w:val="en-GB" w:eastAsia="en-US"/>
              </w:rPr>
              <w:t xml:space="preserve"> </w:t>
            </w:r>
            <w:r w:rsidR="00AE1069">
              <w:rPr>
                <w:sz w:val="22"/>
                <w:szCs w:val="22"/>
                <w:lang w:val="en-GB" w:eastAsia="en-US"/>
              </w:rPr>
              <w:t xml:space="preserve">Szabolcs Nagy, </w:t>
            </w:r>
            <w:r>
              <w:rPr>
                <w:color w:val="333333"/>
                <w:sz w:val="22"/>
                <w:szCs w:val="22"/>
              </w:rPr>
              <w:t xml:space="preserve">Zurab </w:t>
            </w:r>
            <w:r w:rsidRPr="00275603">
              <w:rPr>
                <w:color w:val="333333"/>
                <w:sz w:val="22"/>
                <w:szCs w:val="22"/>
              </w:rPr>
              <w:t>Javakhishvili</w:t>
            </w:r>
            <w:r>
              <w:rPr>
                <w:color w:val="333333"/>
                <w:sz w:val="22"/>
                <w:szCs w:val="22"/>
              </w:rPr>
              <w:t xml:space="preserve">, </w:t>
            </w:r>
            <w:r w:rsidRPr="00B65DF4">
              <w:rPr>
                <w:sz w:val="22"/>
                <w:szCs w:val="22"/>
                <w:lang w:val="en-GB" w:eastAsia="en-US"/>
              </w:rPr>
              <w:t xml:space="preserve">Iben Hove </w:t>
            </w:r>
            <w:r w:rsidRPr="00A77E8A">
              <w:rPr>
                <w:sz w:val="22"/>
                <w:szCs w:val="22"/>
                <w:lang w:val="en-GB" w:eastAsia="en-US"/>
              </w:rPr>
              <w:t>Sørensen/</w:t>
            </w:r>
            <w:r w:rsidRPr="00A77E8A">
              <w:rPr>
                <w:color w:val="333333"/>
                <w:sz w:val="22"/>
                <w:szCs w:val="22"/>
              </w:rPr>
              <w:t>Alexandra Kalandarishvili,</w:t>
            </w:r>
            <w:r w:rsidRPr="00A77E8A">
              <w:rPr>
                <w:sz w:val="22"/>
                <w:szCs w:val="22"/>
                <w:lang w:val="en-GB" w:eastAsia="en-US"/>
              </w:rPr>
              <w:t xml:space="preserve"> Melissa Lewis, Nils Bunnefeld, Jesper Madsen, Hichem Azafzaf, </w:t>
            </w:r>
            <w:r>
              <w:rPr>
                <w:sz w:val="22"/>
                <w:szCs w:val="22"/>
                <w:lang w:val="en-GB" w:eastAsia="en-US"/>
              </w:rPr>
              <w:t xml:space="preserve">Mohammed Shobrak, Doug Harebottle, </w:t>
            </w:r>
            <w:r w:rsidRPr="00A77E8A">
              <w:rPr>
                <w:sz w:val="22"/>
                <w:szCs w:val="22"/>
                <w:lang w:val="en-GB" w:eastAsia="en-US"/>
              </w:rPr>
              <w:t xml:space="preserve">David Stroud, Ruth Cromie, Ian Mitchell, Matt Parsons, </w:t>
            </w:r>
            <w:r w:rsidR="0043665B">
              <w:rPr>
                <w:sz w:val="22"/>
                <w:szCs w:val="22"/>
                <w:lang w:val="en-GB" w:eastAsia="en-US"/>
              </w:rPr>
              <w:t xml:space="preserve">Preben Clausen, </w:t>
            </w:r>
            <w:r w:rsidRPr="00A77E8A">
              <w:rPr>
                <w:sz w:val="22"/>
                <w:szCs w:val="22"/>
                <w:lang w:val="en-GB" w:eastAsia="en-US"/>
              </w:rPr>
              <w:t xml:space="preserve">Cy Griffin, Nicola Crockford, </w:t>
            </w:r>
            <w:r w:rsidR="00747884" w:rsidRPr="00A77E8A">
              <w:rPr>
                <w:sz w:val="22"/>
                <w:szCs w:val="22"/>
                <w:lang w:val="en-GB" w:eastAsia="en-US"/>
              </w:rPr>
              <w:t>Sergey Dereliev</w:t>
            </w:r>
            <w:r w:rsidRPr="00A77E8A">
              <w:rPr>
                <w:sz w:val="22"/>
                <w:szCs w:val="22"/>
                <w:lang w:val="en-GB" w:eastAsia="en-US"/>
              </w:rPr>
              <w:t>, Evelyn Moloko</w:t>
            </w:r>
          </w:p>
        </w:tc>
      </w:tr>
      <w:tr w:rsidR="007367DB" w:rsidRPr="00860CD7" w14:paraId="0AF33C7A"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75173467" w14:textId="77777777" w:rsidR="00747884" w:rsidRPr="00860CD7" w:rsidRDefault="00747884" w:rsidP="009D5FB8">
            <w:pPr>
              <w:pStyle w:val="EndnoteText"/>
              <w:spacing w:line="276" w:lineRule="auto"/>
              <w:ind w:left="284" w:hanging="284"/>
              <w:rPr>
                <w:sz w:val="22"/>
                <w:szCs w:val="22"/>
                <w:lang w:val="en-GB" w:eastAsia="en-US"/>
              </w:rPr>
            </w:pPr>
            <w:r w:rsidRPr="00860CD7">
              <w:rPr>
                <w:sz w:val="22"/>
                <w:szCs w:val="22"/>
                <w:lang w:val="en-GB" w:eastAsia="en-US"/>
              </w:rPr>
              <w:t>3. Habitat Conservation</w:t>
            </w:r>
          </w:p>
        </w:tc>
        <w:tc>
          <w:tcPr>
            <w:tcW w:w="7052" w:type="dxa"/>
            <w:tcBorders>
              <w:top w:val="single" w:sz="4" w:space="0" w:color="auto"/>
              <w:left w:val="single" w:sz="4" w:space="0" w:color="auto"/>
              <w:bottom w:val="single" w:sz="4" w:space="0" w:color="auto"/>
              <w:right w:val="single" w:sz="4" w:space="0" w:color="auto"/>
            </w:tcBorders>
            <w:hideMark/>
          </w:tcPr>
          <w:p w14:paraId="16425CEA" w14:textId="2CEB0F56" w:rsidR="00747884" w:rsidRPr="00860CD7" w:rsidRDefault="006B1624" w:rsidP="009D5FB8">
            <w:pPr>
              <w:pStyle w:val="EndnoteText"/>
              <w:spacing w:after="120" w:line="276" w:lineRule="auto"/>
              <w:ind w:left="851" w:hanging="851"/>
              <w:rPr>
                <w:sz w:val="22"/>
                <w:szCs w:val="22"/>
                <w:lang w:val="en-GB" w:eastAsia="en-US"/>
              </w:rPr>
            </w:pPr>
            <w:r>
              <w:rPr>
                <w:b/>
                <w:sz w:val="22"/>
                <w:szCs w:val="22"/>
                <w:lang w:val="en-GB" w:eastAsia="en-US"/>
              </w:rPr>
              <w:t xml:space="preserve">Szabolcs Nagy </w:t>
            </w:r>
            <w:r w:rsidR="00747884" w:rsidRPr="00860CD7">
              <w:rPr>
                <w:b/>
                <w:sz w:val="22"/>
                <w:szCs w:val="22"/>
                <w:lang w:val="en-GB" w:eastAsia="en-US"/>
              </w:rPr>
              <w:t>(Chair),</w:t>
            </w:r>
            <w:r w:rsidR="00747884" w:rsidRPr="00860CD7">
              <w:rPr>
                <w:sz w:val="22"/>
                <w:szCs w:val="22"/>
                <w:lang w:val="en-GB" w:eastAsia="en-US"/>
              </w:rPr>
              <w:t xml:space="preserve"> </w:t>
            </w:r>
            <w:r w:rsidR="0043665B" w:rsidRPr="0043665B">
              <w:rPr>
                <w:sz w:val="22"/>
                <w:szCs w:val="22"/>
                <w:lang w:val="en-GB" w:eastAsia="en-US"/>
              </w:rPr>
              <w:t>R</w:t>
            </w:r>
            <w:r w:rsidR="0043665B">
              <w:rPr>
                <w:sz w:val="22"/>
                <w:szCs w:val="22"/>
                <w:lang w:val="en-GB" w:eastAsia="en-US"/>
              </w:rPr>
              <w:t xml:space="preserve">ichard </w:t>
            </w:r>
            <w:r w:rsidR="0043665B" w:rsidRPr="0043665B">
              <w:rPr>
                <w:sz w:val="22"/>
                <w:szCs w:val="22"/>
                <w:lang w:val="en-GB" w:eastAsia="en-US"/>
              </w:rPr>
              <w:t>H</w:t>
            </w:r>
            <w:r w:rsidR="0043665B">
              <w:rPr>
                <w:sz w:val="22"/>
                <w:szCs w:val="22"/>
                <w:lang w:val="en-GB" w:eastAsia="en-US"/>
              </w:rPr>
              <w:t>earn</w:t>
            </w:r>
            <w:r w:rsidR="0043665B" w:rsidRPr="0043665B">
              <w:rPr>
                <w:sz w:val="22"/>
                <w:szCs w:val="22"/>
                <w:lang w:val="en-GB" w:eastAsia="en-US"/>
              </w:rPr>
              <w:t>, M</w:t>
            </w:r>
            <w:r w:rsidR="0043665B">
              <w:rPr>
                <w:sz w:val="22"/>
                <w:szCs w:val="22"/>
                <w:lang w:val="en-GB" w:eastAsia="en-US"/>
              </w:rPr>
              <w:t xml:space="preserve">aria </w:t>
            </w:r>
            <w:r w:rsidR="0043665B" w:rsidRPr="0043665B">
              <w:rPr>
                <w:sz w:val="22"/>
                <w:szCs w:val="22"/>
                <w:lang w:val="en-GB" w:eastAsia="en-US"/>
              </w:rPr>
              <w:t>D</w:t>
            </w:r>
            <w:r w:rsidR="0043665B">
              <w:rPr>
                <w:sz w:val="22"/>
                <w:szCs w:val="22"/>
                <w:lang w:val="en-GB" w:eastAsia="en-US"/>
              </w:rPr>
              <w:t>ias</w:t>
            </w:r>
            <w:r w:rsidR="0043665B" w:rsidRPr="0043665B">
              <w:rPr>
                <w:sz w:val="22"/>
                <w:szCs w:val="22"/>
                <w:lang w:val="en-GB" w:eastAsia="en-US"/>
              </w:rPr>
              <w:t>, N</w:t>
            </w:r>
            <w:r w:rsidR="0043665B">
              <w:rPr>
                <w:sz w:val="22"/>
                <w:szCs w:val="22"/>
                <w:lang w:val="en-GB" w:eastAsia="en-US"/>
              </w:rPr>
              <w:t xml:space="preserve">ils </w:t>
            </w:r>
            <w:r w:rsidR="0043665B" w:rsidRPr="0043665B">
              <w:rPr>
                <w:sz w:val="22"/>
                <w:szCs w:val="22"/>
                <w:lang w:val="en-GB" w:eastAsia="en-US"/>
              </w:rPr>
              <w:t>B</w:t>
            </w:r>
            <w:r w:rsidR="0043665B">
              <w:rPr>
                <w:sz w:val="22"/>
                <w:szCs w:val="22"/>
                <w:lang w:val="en-GB" w:eastAsia="en-US"/>
              </w:rPr>
              <w:t>unnefeld</w:t>
            </w:r>
            <w:r w:rsidR="0043665B" w:rsidRPr="0043665B">
              <w:rPr>
                <w:sz w:val="22"/>
                <w:szCs w:val="22"/>
                <w:lang w:val="en-GB" w:eastAsia="en-US"/>
              </w:rPr>
              <w:t>, C</w:t>
            </w:r>
            <w:r w:rsidR="0043665B">
              <w:rPr>
                <w:sz w:val="22"/>
                <w:szCs w:val="22"/>
                <w:lang w:val="en-GB" w:eastAsia="en-US"/>
              </w:rPr>
              <w:t xml:space="preserve">hris </w:t>
            </w:r>
            <w:r w:rsidR="0043665B" w:rsidRPr="0043665B">
              <w:rPr>
                <w:sz w:val="22"/>
                <w:szCs w:val="22"/>
                <w:lang w:val="en-GB" w:eastAsia="en-US"/>
              </w:rPr>
              <w:t>R</w:t>
            </w:r>
            <w:r w:rsidR="0043665B">
              <w:rPr>
                <w:sz w:val="22"/>
                <w:szCs w:val="22"/>
                <w:lang w:val="en-GB" w:eastAsia="en-US"/>
              </w:rPr>
              <w:t>ostron</w:t>
            </w:r>
            <w:r w:rsidR="0043665B" w:rsidRPr="0043665B">
              <w:rPr>
                <w:sz w:val="22"/>
                <w:szCs w:val="22"/>
                <w:lang w:val="en-GB" w:eastAsia="en-US"/>
              </w:rPr>
              <w:t>, D</w:t>
            </w:r>
            <w:r w:rsidR="0043665B">
              <w:rPr>
                <w:sz w:val="22"/>
                <w:szCs w:val="22"/>
                <w:lang w:val="en-GB" w:eastAsia="en-US"/>
              </w:rPr>
              <w:t xml:space="preserve">avid </w:t>
            </w:r>
            <w:r w:rsidR="0043665B" w:rsidRPr="0043665B">
              <w:rPr>
                <w:sz w:val="22"/>
                <w:szCs w:val="22"/>
                <w:lang w:val="en-GB" w:eastAsia="en-US"/>
              </w:rPr>
              <w:t>S</w:t>
            </w:r>
            <w:r w:rsidR="0043665B">
              <w:rPr>
                <w:sz w:val="22"/>
                <w:szCs w:val="22"/>
                <w:lang w:val="en-GB" w:eastAsia="en-US"/>
              </w:rPr>
              <w:t>troud</w:t>
            </w:r>
            <w:r w:rsidR="0043665B" w:rsidRPr="0043665B">
              <w:rPr>
                <w:sz w:val="22"/>
                <w:szCs w:val="22"/>
                <w:lang w:val="en-GB" w:eastAsia="en-US"/>
              </w:rPr>
              <w:t xml:space="preserve">, </w:t>
            </w:r>
            <w:r w:rsidR="0043665B">
              <w:rPr>
                <w:sz w:val="22"/>
                <w:szCs w:val="22"/>
                <w:lang w:val="en-GB" w:eastAsia="en-US"/>
              </w:rPr>
              <w:t>Sebastien Le Bel</w:t>
            </w:r>
            <w:r w:rsidR="0043665B" w:rsidRPr="0043665B">
              <w:rPr>
                <w:sz w:val="22"/>
                <w:szCs w:val="22"/>
                <w:lang w:val="en-GB" w:eastAsia="en-US"/>
              </w:rPr>
              <w:t xml:space="preserve">, </w:t>
            </w:r>
            <w:r w:rsidR="0043665B" w:rsidRPr="00860CD7">
              <w:rPr>
                <w:sz w:val="22"/>
                <w:szCs w:val="22"/>
                <w:lang w:val="en-GB" w:eastAsia="en-US"/>
              </w:rPr>
              <w:t>Nicola Crockford,</w:t>
            </w:r>
            <w:r w:rsidR="0043665B">
              <w:rPr>
                <w:sz w:val="22"/>
                <w:szCs w:val="22"/>
                <w:lang w:val="en-GB" w:eastAsia="en-US"/>
              </w:rPr>
              <w:t xml:space="preserve"> </w:t>
            </w:r>
            <w:r w:rsidR="0043665B" w:rsidRPr="0043665B">
              <w:rPr>
                <w:sz w:val="22"/>
                <w:szCs w:val="22"/>
                <w:lang w:val="en-GB" w:eastAsia="en-US"/>
              </w:rPr>
              <w:t>P</w:t>
            </w:r>
            <w:r w:rsidR="0043665B">
              <w:rPr>
                <w:sz w:val="22"/>
                <w:szCs w:val="22"/>
                <w:lang w:val="en-GB" w:eastAsia="en-US"/>
              </w:rPr>
              <w:t xml:space="preserve">reben </w:t>
            </w:r>
            <w:r w:rsidR="0043665B" w:rsidRPr="0043665B">
              <w:rPr>
                <w:sz w:val="22"/>
                <w:szCs w:val="22"/>
                <w:lang w:val="en-GB" w:eastAsia="en-US"/>
              </w:rPr>
              <w:t>C</w:t>
            </w:r>
            <w:r w:rsidR="0043665B">
              <w:rPr>
                <w:sz w:val="22"/>
                <w:szCs w:val="22"/>
                <w:lang w:val="en-GB" w:eastAsia="en-US"/>
              </w:rPr>
              <w:t>lausen</w:t>
            </w:r>
            <w:r w:rsidR="0043665B" w:rsidRPr="0043665B">
              <w:rPr>
                <w:sz w:val="22"/>
                <w:szCs w:val="22"/>
                <w:lang w:val="en-GB" w:eastAsia="en-US"/>
              </w:rPr>
              <w:t xml:space="preserve">, </w:t>
            </w:r>
            <w:r w:rsidR="00FE59E5">
              <w:rPr>
                <w:sz w:val="22"/>
                <w:szCs w:val="22"/>
                <w:lang w:val="en-GB" w:eastAsia="en-US"/>
              </w:rPr>
              <w:t xml:space="preserve">Cy Griffin, </w:t>
            </w:r>
            <w:r w:rsidR="0043665B" w:rsidRPr="0043665B">
              <w:rPr>
                <w:sz w:val="22"/>
                <w:szCs w:val="22"/>
                <w:lang w:val="en-GB" w:eastAsia="en-US"/>
              </w:rPr>
              <w:t>F</w:t>
            </w:r>
            <w:r w:rsidR="0043665B">
              <w:rPr>
                <w:sz w:val="22"/>
                <w:szCs w:val="22"/>
                <w:lang w:val="en-GB" w:eastAsia="en-US"/>
              </w:rPr>
              <w:t xml:space="preserve">lorian </w:t>
            </w:r>
            <w:r w:rsidR="0043665B" w:rsidRPr="0043665B">
              <w:rPr>
                <w:sz w:val="22"/>
                <w:szCs w:val="22"/>
                <w:lang w:val="en-GB" w:eastAsia="en-US"/>
              </w:rPr>
              <w:t>K</w:t>
            </w:r>
            <w:r w:rsidR="0043665B">
              <w:rPr>
                <w:sz w:val="22"/>
                <w:szCs w:val="22"/>
                <w:lang w:val="en-GB" w:eastAsia="en-US"/>
              </w:rPr>
              <w:t>eil</w:t>
            </w:r>
          </w:p>
        </w:tc>
      </w:tr>
      <w:tr w:rsidR="007367DB" w:rsidRPr="00860CD7" w14:paraId="7B6762F8"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3896B76B" w14:textId="77777777" w:rsidR="002C6701" w:rsidRDefault="00747884" w:rsidP="009D5FB8">
            <w:pPr>
              <w:spacing w:line="276" w:lineRule="auto"/>
              <w:rPr>
                <w:sz w:val="22"/>
                <w:szCs w:val="22"/>
                <w:lang w:val="en-GB"/>
              </w:rPr>
            </w:pPr>
            <w:r w:rsidRPr="00860CD7">
              <w:rPr>
                <w:sz w:val="22"/>
                <w:szCs w:val="22"/>
                <w:lang w:val="en-GB"/>
              </w:rPr>
              <w:t xml:space="preserve">4. Management of Human </w:t>
            </w:r>
          </w:p>
          <w:p w14:paraId="3063C207" w14:textId="6DBC1620" w:rsidR="00747884" w:rsidRPr="00860CD7" w:rsidRDefault="002C6701" w:rsidP="009D5FB8">
            <w:pPr>
              <w:spacing w:line="276" w:lineRule="auto"/>
              <w:rPr>
                <w:sz w:val="22"/>
                <w:szCs w:val="22"/>
                <w:lang w:val="en-GB"/>
              </w:rPr>
            </w:pPr>
            <w:r>
              <w:rPr>
                <w:sz w:val="22"/>
                <w:szCs w:val="22"/>
                <w:lang w:val="en-GB"/>
              </w:rPr>
              <w:t xml:space="preserve">   </w:t>
            </w:r>
            <w:r w:rsidR="00747884" w:rsidRPr="00860CD7">
              <w:rPr>
                <w:sz w:val="22"/>
                <w:szCs w:val="22"/>
                <w:lang w:val="en-GB"/>
              </w:rPr>
              <w:t>Activities</w:t>
            </w:r>
          </w:p>
          <w:p w14:paraId="7E1758BC" w14:textId="77777777" w:rsidR="00747884" w:rsidRPr="00860CD7" w:rsidRDefault="00747884" w:rsidP="009D5FB8">
            <w:pPr>
              <w:pStyle w:val="EndnoteText"/>
              <w:spacing w:line="276" w:lineRule="auto"/>
              <w:ind w:left="284" w:hanging="284"/>
              <w:rPr>
                <w:sz w:val="22"/>
                <w:szCs w:val="22"/>
                <w:lang w:val="en-GB" w:eastAsia="en-US"/>
              </w:rPr>
            </w:pPr>
          </w:p>
        </w:tc>
        <w:tc>
          <w:tcPr>
            <w:tcW w:w="7052" w:type="dxa"/>
            <w:tcBorders>
              <w:top w:val="single" w:sz="4" w:space="0" w:color="auto"/>
              <w:left w:val="single" w:sz="4" w:space="0" w:color="auto"/>
              <w:bottom w:val="single" w:sz="4" w:space="0" w:color="auto"/>
              <w:right w:val="single" w:sz="4" w:space="0" w:color="auto"/>
            </w:tcBorders>
            <w:hideMark/>
          </w:tcPr>
          <w:p w14:paraId="60B42E77" w14:textId="799A096D" w:rsidR="00747884" w:rsidRPr="00860CD7" w:rsidRDefault="00C11E4E" w:rsidP="009D5FB8">
            <w:pPr>
              <w:pStyle w:val="EndnoteText"/>
              <w:spacing w:after="120" w:line="276" w:lineRule="auto"/>
              <w:ind w:left="851" w:hanging="851"/>
              <w:rPr>
                <w:sz w:val="22"/>
                <w:szCs w:val="22"/>
                <w:lang w:val="en-GB" w:eastAsia="en-US"/>
              </w:rPr>
            </w:pPr>
            <w:r>
              <w:rPr>
                <w:b/>
                <w:sz w:val="22"/>
                <w:szCs w:val="22"/>
                <w:lang w:val="en-GB" w:eastAsia="en-US"/>
              </w:rPr>
              <w:t xml:space="preserve">Taulant Bino </w:t>
            </w:r>
            <w:r w:rsidR="00747884" w:rsidRPr="00860CD7">
              <w:rPr>
                <w:b/>
                <w:sz w:val="22"/>
                <w:szCs w:val="22"/>
                <w:lang w:val="en-GB" w:eastAsia="en-US"/>
              </w:rPr>
              <w:t>(Chair),</w:t>
            </w:r>
            <w:r w:rsidR="00747884" w:rsidRPr="00860CD7">
              <w:rPr>
                <w:sz w:val="22"/>
                <w:szCs w:val="22"/>
                <w:lang w:val="en-GB" w:eastAsia="en-US"/>
              </w:rPr>
              <w:t xml:space="preserve"> </w:t>
            </w:r>
            <w:r w:rsidR="00FE59E5" w:rsidRPr="00FE59E5">
              <w:rPr>
                <w:sz w:val="22"/>
                <w:szCs w:val="22"/>
                <w:lang w:val="en-GB" w:eastAsia="en-US"/>
              </w:rPr>
              <w:t>M</w:t>
            </w:r>
            <w:r w:rsidR="00FE59E5">
              <w:rPr>
                <w:sz w:val="22"/>
                <w:szCs w:val="22"/>
                <w:lang w:val="en-GB" w:eastAsia="en-US"/>
              </w:rPr>
              <w:t xml:space="preserve">elissa </w:t>
            </w:r>
            <w:r w:rsidR="00FE59E5" w:rsidRPr="00FE59E5">
              <w:rPr>
                <w:sz w:val="22"/>
                <w:szCs w:val="22"/>
                <w:lang w:val="en-GB" w:eastAsia="en-US"/>
              </w:rPr>
              <w:t>L</w:t>
            </w:r>
            <w:r w:rsidR="00FE59E5">
              <w:rPr>
                <w:sz w:val="22"/>
                <w:szCs w:val="22"/>
                <w:lang w:val="en-GB" w:eastAsia="en-US"/>
              </w:rPr>
              <w:t>ewis</w:t>
            </w:r>
            <w:r w:rsidR="00FE59E5" w:rsidRPr="00FE59E5">
              <w:rPr>
                <w:sz w:val="22"/>
                <w:szCs w:val="22"/>
                <w:lang w:val="en-GB" w:eastAsia="en-US"/>
              </w:rPr>
              <w:t>, N</w:t>
            </w:r>
            <w:r w:rsidR="00FE59E5">
              <w:rPr>
                <w:sz w:val="22"/>
                <w:szCs w:val="22"/>
                <w:lang w:val="en-GB" w:eastAsia="en-US"/>
              </w:rPr>
              <w:t xml:space="preserve">ils </w:t>
            </w:r>
            <w:r w:rsidR="00FE59E5" w:rsidRPr="00FE59E5">
              <w:rPr>
                <w:sz w:val="22"/>
                <w:szCs w:val="22"/>
                <w:lang w:val="en-GB" w:eastAsia="en-US"/>
              </w:rPr>
              <w:t>B</w:t>
            </w:r>
            <w:r w:rsidR="00FE59E5">
              <w:rPr>
                <w:sz w:val="22"/>
                <w:szCs w:val="22"/>
                <w:lang w:val="en-GB" w:eastAsia="en-US"/>
              </w:rPr>
              <w:t>unnefeld</w:t>
            </w:r>
            <w:r w:rsidR="00FE59E5" w:rsidRPr="00FE59E5">
              <w:rPr>
                <w:sz w:val="22"/>
                <w:szCs w:val="22"/>
                <w:lang w:val="en-GB" w:eastAsia="en-US"/>
              </w:rPr>
              <w:t>, M</w:t>
            </w:r>
            <w:r w:rsidR="00FE59E5">
              <w:rPr>
                <w:sz w:val="22"/>
                <w:szCs w:val="22"/>
                <w:lang w:val="en-GB" w:eastAsia="en-US"/>
              </w:rPr>
              <w:t xml:space="preserve">aria </w:t>
            </w:r>
            <w:r w:rsidR="00FE59E5" w:rsidRPr="00FE59E5">
              <w:rPr>
                <w:sz w:val="22"/>
                <w:szCs w:val="22"/>
                <w:lang w:val="en-GB" w:eastAsia="en-US"/>
              </w:rPr>
              <w:t>D</w:t>
            </w:r>
            <w:r w:rsidR="00FE59E5">
              <w:rPr>
                <w:sz w:val="22"/>
                <w:szCs w:val="22"/>
                <w:lang w:val="en-GB" w:eastAsia="en-US"/>
              </w:rPr>
              <w:t>ias</w:t>
            </w:r>
            <w:r w:rsidR="00FE59E5" w:rsidRPr="00FE59E5">
              <w:rPr>
                <w:sz w:val="22"/>
                <w:szCs w:val="22"/>
                <w:lang w:val="en-GB" w:eastAsia="en-US"/>
              </w:rPr>
              <w:t>, H</w:t>
            </w:r>
            <w:r w:rsidR="00FE59E5">
              <w:rPr>
                <w:sz w:val="22"/>
                <w:szCs w:val="22"/>
                <w:lang w:val="en-GB" w:eastAsia="en-US"/>
              </w:rPr>
              <w:t xml:space="preserve">ichem </w:t>
            </w:r>
            <w:r w:rsidR="00FE59E5" w:rsidRPr="00FE59E5">
              <w:rPr>
                <w:sz w:val="22"/>
                <w:szCs w:val="22"/>
                <w:lang w:val="en-GB" w:eastAsia="en-US"/>
              </w:rPr>
              <w:t>A</w:t>
            </w:r>
            <w:r w:rsidR="00FE59E5">
              <w:rPr>
                <w:sz w:val="22"/>
                <w:szCs w:val="22"/>
                <w:lang w:val="en-GB" w:eastAsia="en-US"/>
              </w:rPr>
              <w:t>zafzaf</w:t>
            </w:r>
            <w:r w:rsidR="00FE59E5" w:rsidRPr="00FE59E5">
              <w:rPr>
                <w:sz w:val="22"/>
                <w:szCs w:val="22"/>
                <w:lang w:val="en-GB" w:eastAsia="en-US"/>
              </w:rPr>
              <w:t>, J</w:t>
            </w:r>
            <w:r w:rsidR="00FE59E5">
              <w:rPr>
                <w:sz w:val="22"/>
                <w:szCs w:val="22"/>
                <w:lang w:val="en-GB" w:eastAsia="en-US"/>
              </w:rPr>
              <w:t xml:space="preserve">esper </w:t>
            </w:r>
            <w:r w:rsidR="00FE59E5" w:rsidRPr="00FE59E5">
              <w:rPr>
                <w:sz w:val="22"/>
                <w:szCs w:val="22"/>
                <w:lang w:val="en-GB" w:eastAsia="en-US"/>
              </w:rPr>
              <w:t>M</w:t>
            </w:r>
            <w:r w:rsidR="00FE59E5">
              <w:rPr>
                <w:sz w:val="22"/>
                <w:szCs w:val="22"/>
                <w:lang w:val="en-GB" w:eastAsia="en-US"/>
              </w:rPr>
              <w:t>adsen</w:t>
            </w:r>
            <w:r w:rsidR="00FE59E5" w:rsidRPr="00FE59E5">
              <w:rPr>
                <w:sz w:val="22"/>
                <w:szCs w:val="22"/>
                <w:lang w:val="en-GB" w:eastAsia="en-US"/>
              </w:rPr>
              <w:t>,</w:t>
            </w:r>
            <w:r w:rsidR="00FE59E5">
              <w:rPr>
                <w:sz w:val="22"/>
                <w:szCs w:val="22"/>
                <w:lang w:val="en-GB" w:eastAsia="en-US"/>
              </w:rPr>
              <w:t xml:space="preserve"> Mohammed Shobrak,</w:t>
            </w:r>
            <w:r w:rsidR="00FE59E5" w:rsidRPr="00FE59E5">
              <w:rPr>
                <w:sz w:val="22"/>
                <w:szCs w:val="22"/>
                <w:lang w:val="en-GB" w:eastAsia="en-US"/>
              </w:rPr>
              <w:t xml:space="preserve"> D</w:t>
            </w:r>
            <w:r w:rsidR="00FE59E5">
              <w:rPr>
                <w:sz w:val="22"/>
                <w:szCs w:val="22"/>
                <w:lang w:val="en-GB" w:eastAsia="en-US"/>
              </w:rPr>
              <w:t xml:space="preserve">avid </w:t>
            </w:r>
            <w:r w:rsidR="00FE59E5" w:rsidRPr="00FE59E5">
              <w:rPr>
                <w:sz w:val="22"/>
                <w:szCs w:val="22"/>
                <w:lang w:val="en-GB" w:eastAsia="en-US"/>
              </w:rPr>
              <w:t>S</w:t>
            </w:r>
            <w:r w:rsidR="00FE59E5">
              <w:rPr>
                <w:sz w:val="22"/>
                <w:szCs w:val="22"/>
                <w:lang w:val="en-GB" w:eastAsia="en-US"/>
              </w:rPr>
              <w:t>troud</w:t>
            </w:r>
            <w:r w:rsidR="00FE59E5" w:rsidRPr="00FE59E5">
              <w:rPr>
                <w:sz w:val="22"/>
                <w:szCs w:val="22"/>
                <w:lang w:val="en-GB" w:eastAsia="en-US"/>
              </w:rPr>
              <w:t>, R</w:t>
            </w:r>
            <w:r w:rsidR="00FE59E5">
              <w:rPr>
                <w:sz w:val="22"/>
                <w:szCs w:val="22"/>
                <w:lang w:val="en-GB" w:eastAsia="en-US"/>
              </w:rPr>
              <w:t xml:space="preserve">uth </w:t>
            </w:r>
            <w:r w:rsidR="00FE59E5" w:rsidRPr="00FE59E5">
              <w:rPr>
                <w:sz w:val="22"/>
                <w:szCs w:val="22"/>
                <w:lang w:val="en-GB" w:eastAsia="en-US"/>
              </w:rPr>
              <w:t>C</w:t>
            </w:r>
            <w:r w:rsidR="00FE59E5">
              <w:rPr>
                <w:sz w:val="22"/>
                <w:szCs w:val="22"/>
                <w:lang w:val="en-GB" w:eastAsia="en-US"/>
              </w:rPr>
              <w:t>romie</w:t>
            </w:r>
            <w:r w:rsidR="00FE59E5" w:rsidRPr="00FE59E5">
              <w:rPr>
                <w:sz w:val="22"/>
                <w:szCs w:val="22"/>
                <w:lang w:val="en-GB" w:eastAsia="en-US"/>
              </w:rPr>
              <w:t>, N</w:t>
            </w:r>
            <w:r w:rsidR="00FE59E5">
              <w:rPr>
                <w:sz w:val="22"/>
                <w:szCs w:val="22"/>
                <w:lang w:val="en-GB" w:eastAsia="en-US"/>
              </w:rPr>
              <w:t xml:space="preserve">icola </w:t>
            </w:r>
            <w:r w:rsidR="00FE59E5" w:rsidRPr="00FE59E5">
              <w:rPr>
                <w:sz w:val="22"/>
                <w:szCs w:val="22"/>
                <w:lang w:val="en-GB" w:eastAsia="en-US"/>
              </w:rPr>
              <w:t>C</w:t>
            </w:r>
            <w:r w:rsidR="00FE59E5">
              <w:rPr>
                <w:sz w:val="22"/>
                <w:szCs w:val="22"/>
                <w:lang w:val="en-GB" w:eastAsia="en-US"/>
              </w:rPr>
              <w:t>crockford</w:t>
            </w:r>
            <w:r w:rsidR="00FE59E5" w:rsidRPr="00FE59E5">
              <w:rPr>
                <w:sz w:val="22"/>
                <w:szCs w:val="22"/>
                <w:lang w:val="en-GB" w:eastAsia="en-US"/>
              </w:rPr>
              <w:t>, S</w:t>
            </w:r>
            <w:r w:rsidR="00FE59E5">
              <w:rPr>
                <w:sz w:val="22"/>
                <w:szCs w:val="22"/>
                <w:lang w:val="en-GB" w:eastAsia="en-US"/>
              </w:rPr>
              <w:t xml:space="preserve">imon </w:t>
            </w:r>
            <w:r w:rsidR="00FE59E5" w:rsidRPr="00FE59E5">
              <w:rPr>
                <w:sz w:val="22"/>
                <w:szCs w:val="22"/>
                <w:lang w:val="en-GB" w:eastAsia="en-US"/>
              </w:rPr>
              <w:t>M</w:t>
            </w:r>
            <w:r w:rsidR="00FE59E5">
              <w:rPr>
                <w:sz w:val="22"/>
                <w:szCs w:val="22"/>
                <w:lang w:val="en-GB" w:eastAsia="en-US"/>
              </w:rPr>
              <w:t>ackown, Preben Clausen</w:t>
            </w:r>
          </w:p>
        </w:tc>
      </w:tr>
      <w:tr w:rsidR="007367DB" w:rsidRPr="00860CD7" w14:paraId="4FAB3F04"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484CB8D5" w14:textId="77777777" w:rsidR="00747884" w:rsidRPr="00860CD7" w:rsidRDefault="00747884" w:rsidP="009D5FB8">
            <w:pPr>
              <w:pStyle w:val="EndnoteText"/>
              <w:spacing w:line="276" w:lineRule="auto"/>
              <w:ind w:left="284" w:hanging="284"/>
              <w:rPr>
                <w:sz w:val="22"/>
                <w:szCs w:val="22"/>
                <w:lang w:val="en-GB" w:eastAsia="en-US"/>
              </w:rPr>
            </w:pPr>
            <w:r w:rsidRPr="00860CD7">
              <w:rPr>
                <w:sz w:val="22"/>
                <w:szCs w:val="22"/>
                <w:lang w:val="en-GB" w:eastAsia="en-US"/>
              </w:rPr>
              <w:t>5. Research and Monitoring</w:t>
            </w:r>
          </w:p>
        </w:tc>
        <w:tc>
          <w:tcPr>
            <w:tcW w:w="7052" w:type="dxa"/>
            <w:tcBorders>
              <w:top w:val="single" w:sz="4" w:space="0" w:color="auto"/>
              <w:left w:val="single" w:sz="4" w:space="0" w:color="auto"/>
              <w:bottom w:val="single" w:sz="4" w:space="0" w:color="auto"/>
              <w:right w:val="single" w:sz="4" w:space="0" w:color="auto"/>
            </w:tcBorders>
            <w:hideMark/>
          </w:tcPr>
          <w:p w14:paraId="425B9D38" w14:textId="53666454" w:rsidR="00747884" w:rsidRPr="00860CD7" w:rsidRDefault="0074557B" w:rsidP="009D5FB8">
            <w:pPr>
              <w:pStyle w:val="EndnoteText"/>
              <w:spacing w:after="120" w:line="276" w:lineRule="auto"/>
              <w:ind w:left="851" w:hanging="851"/>
              <w:rPr>
                <w:sz w:val="22"/>
                <w:szCs w:val="22"/>
                <w:lang w:val="en-GB" w:eastAsia="en-US"/>
              </w:rPr>
            </w:pPr>
            <w:r>
              <w:rPr>
                <w:b/>
                <w:sz w:val="22"/>
                <w:szCs w:val="22"/>
                <w:lang w:val="en-GB" w:eastAsia="en-US"/>
              </w:rPr>
              <w:t>Richard Hearn/</w:t>
            </w:r>
            <w:r>
              <w:t xml:space="preserve"> </w:t>
            </w:r>
            <w:r w:rsidRPr="0074557B">
              <w:rPr>
                <w:b/>
                <w:sz w:val="22"/>
                <w:szCs w:val="22"/>
                <w:lang w:val="en-GB" w:eastAsia="en-US"/>
              </w:rPr>
              <w:t xml:space="preserve">Zurab Javakhishvili </w:t>
            </w:r>
            <w:r w:rsidR="00747884" w:rsidRPr="00860CD7">
              <w:rPr>
                <w:b/>
                <w:sz w:val="22"/>
                <w:szCs w:val="22"/>
                <w:lang w:val="en-GB" w:eastAsia="en-US"/>
              </w:rPr>
              <w:t>(Chair),</w:t>
            </w:r>
            <w:r w:rsidR="00747884" w:rsidRPr="00860CD7">
              <w:rPr>
                <w:sz w:val="22"/>
                <w:szCs w:val="22"/>
                <w:lang w:val="en-GB" w:eastAsia="en-US"/>
              </w:rPr>
              <w:t xml:space="preserve"> </w:t>
            </w:r>
            <w:r w:rsidRPr="0074557B">
              <w:rPr>
                <w:sz w:val="22"/>
                <w:szCs w:val="22"/>
                <w:lang w:val="en-GB" w:eastAsia="en-US"/>
              </w:rPr>
              <w:t>N</w:t>
            </w:r>
            <w:r>
              <w:rPr>
                <w:sz w:val="22"/>
                <w:szCs w:val="22"/>
                <w:lang w:val="en-GB" w:eastAsia="en-US"/>
              </w:rPr>
              <w:t xml:space="preserve">ils </w:t>
            </w:r>
            <w:r w:rsidRPr="0074557B">
              <w:rPr>
                <w:sz w:val="22"/>
                <w:szCs w:val="22"/>
                <w:lang w:val="en-GB" w:eastAsia="en-US"/>
              </w:rPr>
              <w:t>B</w:t>
            </w:r>
            <w:r>
              <w:rPr>
                <w:sz w:val="22"/>
                <w:szCs w:val="22"/>
                <w:lang w:val="en-GB" w:eastAsia="en-US"/>
              </w:rPr>
              <w:t>unnefeld</w:t>
            </w:r>
            <w:r w:rsidRPr="0074557B">
              <w:rPr>
                <w:sz w:val="22"/>
                <w:szCs w:val="22"/>
                <w:lang w:val="en-GB" w:eastAsia="en-US"/>
              </w:rPr>
              <w:t>, M</w:t>
            </w:r>
            <w:r>
              <w:rPr>
                <w:sz w:val="22"/>
                <w:szCs w:val="22"/>
                <w:lang w:val="en-GB" w:eastAsia="en-US"/>
              </w:rPr>
              <w:t xml:space="preserve">elissa </w:t>
            </w:r>
            <w:r w:rsidRPr="0074557B">
              <w:rPr>
                <w:sz w:val="22"/>
                <w:szCs w:val="22"/>
                <w:lang w:val="en-GB" w:eastAsia="en-US"/>
              </w:rPr>
              <w:t>L</w:t>
            </w:r>
            <w:r>
              <w:rPr>
                <w:sz w:val="22"/>
                <w:szCs w:val="22"/>
                <w:lang w:val="en-GB" w:eastAsia="en-US"/>
              </w:rPr>
              <w:t>ewis</w:t>
            </w:r>
            <w:r w:rsidRPr="0074557B">
              <w:rPr>
                <w:sz w:val="22"/>
                <w:szCs w:val="22"/>
                <w:lang w:val="en-GB" w:eastAsia="en-US"/>
              </w:rPr>
              <w:t xml:space="preserve">, </w:t>
            </w:r>
            <w:r>
              <w:rPr>
                <w:sz w:val="22"/>
                <w:szCs w:val="22"/>
                <w:lang w:val="en-GB" w:eastAsia="en-US"/>
              </w:rPr>
              <w:t xml:space="preserve">Jesper Madsen, Nicola Crockford, </w:t>
            </w:r>
            <w:r w:rsidRPr="0074557B">
              <w:rPr>
                <w:sz w:val="22"/>
                <w:szCs w:val="22"/>
                <w:lang w:val="en-GB" w:eastAsia="en-US"/>
              </w:rPr>
              <w:t>Iben Hove Sørensen, D</w:t>
            </w:r>
            <w:r>
              <w:rPr>
                <w:sz w:val="22"/>
                <w:szCs w:val="22"/>
                <w:lang w:val="en-GB" w:eastAsia="en-US"/>
              </w:rPr>
              <w:t>avid Stroud, Sergey Dereliev</w:t>
            </w:r>
            <w:r w:rsidRPr="0074557B">
              <w:rPr>
                <w:sz w:val="22"/>
                <w:szCs w:val="22"/>
                <w:lang w:val="en-GB" w:eastAsia="en-US"/>
              </w:rPr>
              <w:t xml:space="preserve"> </w:t>
            </w:r>
          </w:p>
        </w:tc>
      </w:tr>
      <w:tr w:rsidR="007367DB" w:rsidRPr="00860CD7" w14:paraId="2C61316B"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779D55D7" w14:textId="77777777" w:rsidR="00747884" w:rsidRPr="00860CD7" w:rsidRDefault="00747884" w:rsidP="009D5FB8">
            <w:pPr>
              <w:pStyle w:val="EndnoteText"/>
              <w:spacing w:line="276" w:lineRule="auto"/>
              <w:ind w:left="284" w:hanging="284"/>
              <w:rPr>
                <w:sz w:val="22"/>
                <w:szCs w:val="22"/>
                <w:lang w:val="en-GB" w:eastAsia="en-US"/>
              </w:rPr>
            </w:pPr>
            <w:r w:rsidRPr="00860CD7">
              <w:rPr>
                <w:sz w:val="22"/>
                <w:szCs w:val="22"/>
                <w:lang w:val="en-GB" w:eastAsia="en-US"/>
              </w:rPr>
              <w:t>6. Education and Information</w:t>
            </w:r>
          </w:p>
        </w:tc>
        <w:tc>
          <w:tcPr>
            <w:tcW w:w="7052" w:type="dxa"/>
            <w:tcBorders>
              <w:top w:val="single" w:sz="4" w:space="0" w:color="auto"/>
              <w:left w:val="single" w:sz="4" w:space="0" w:color="auto"/>
              <w:bottom w:val="single" w:sz="4" w:space="0" w:color="auto"/>
              <w:right w:val="single" w:sz="4" w:space="0" w:color="auto"/>
            </w:tcBorders>
            <w:hideMark/>
          </w:tcPr>
          <w:p w14:paraId="69F30DB1" w14:textId="194C38FD" w:rsidR="00747884" w:rsidRPr="00860CD7" w:rsidRDefault="0074557B" w:rsidP="009D5FB8">
            <w:pPr>
              <w:pStyle w:val="EndnoteText"/>
              <w:spacing w:after="120" w:line="276" w:lineRule="auto"/>
              <w:ind w:left="851" w:hanging="851"/>
              <w:rPr>
                <w:sz w:val="22"/>
                <w:szCs w:val="22"/>
                <w:lang w:val="en-GB" w:eastAsia="en-US"/>
              </w:rPr>
            </w:pPr>
            <w:r>
              <w:rPr>
                <w:b/>
                <w:sz w:val="22"/>
                <w:szCs w:val="22"/>
                <w:lang w:val="en-GB" w:eastAsia="en-US"/>
              </w:rPr>
              <w:t>Chris Rostron</w:t>
            </w:r>
            <w:r w:rsidR="00747884" w:rsidRPr="00860CD7">
              <w:rPr>
                <w:b/>
                <w:sz w:val="22"/>
                <w:szCs w:val="22"/>
                <w:lang w:val="en-GB" w:eastAsia="en-US"/>
              </w:rPr>
              <w:t xml:space="preserve"> (Chair), </w:t>
            </w:r>
            <w:r w:rsidRPr="0074557B">
              <w:rPr>
                <w:sz w:val="22"/>
                <w:szCs w:val="22"/>
                <w:lang w:val="en-GB" w:eastAsia="en-US"/>
              </w:rPr>
              <w:t>M</w:t>
            </w:r>
            <w:r>
              <w:rPr>
                <w:sz w:val="22"/>
                <w:szCs w:val="22"/>
                <w:lang w:val="en-GB" w:eastAsia="en-US"/>
              </w:rPr>
              <w:t xml:space="preserve">elissa </w:t>
            </w:r>
            <w:r w:rsidRPr="0074557B">
              <w:rPr>
                <w:sz w:val="22"/>
                <w:szCs w:val="22"/>
                <w:lang w:val="en-GB" w:eastAsia="en-US"/>
              </w:rPr>
              <w:t>L</w:t>
            </w:r>
            <w:r>
              <w:rPr>
                <w:sz w:val="22"/>
                <w:szCs w:val="22"/>
                <w:lang w:val="en-GB" w:eastAsia="en-US"/>
              </w:rPr>
              <w:t>ewis</w:t>
            </w:r>
            <w:r w:rsidRPr="0074557B">
              <w:rPr>
                <w:sz w:val="22"/>
                <w:szCs w:val="22"/>
                <w:lang w:val="en-GB" w:eastAsia="en-US"/>
              </w:rPr>
              <w:t>, R</w:t>
            </w:r>
            <w:r>
              <w:rPr>
                <w:sz w:val="22"/>
                <w:szCs w:val="22"/>
                <w:lang w:val="en-GB" w:eastAsia="en-US"/>
              </w:rPr>
              <w:t xml:space="preserve">ichard </w:t>
            </w:r>
            <w:r w:rsidRPr="0074557B">
              <w:rPr>
                <w:sz w:val="22"/>
                <w:szCs w:val="22"/>
                <w:lang w:val="en-GB" w:eastAsia="en-US"/>
              </w:rPr>
              <w:t>H</w:t>
            </w:r>
            <w:r>
              <w:rPr>
                <w:sz w:val="22"/>
                <w:szCs w:val="22"/>
                <w:lang w:val="en-GB" w:eastAsia="en-US"/>
              </w:rPr>
              <w:t>earn</w:t>
            </w:r>
            <w:r w:rsidRPr="0074557B">
              <w:rPr>
                <w:sz w:val="22"/>
                <w:szCs w:val="22"/>
                <w:lang w:val="en-GB" w:eastAsia="en-US"/>
              </w:rPr>
              <w:t xml:space="preserve">, </w:t>
            </w:r>
            <w:r w:rsidR="00F53879">
              <w:rPr>
                <w:sz w:val="22"/>
                <w:szCs w:val="22"/>
                <w:lang w:val="en-GB" w:eastAsia="en-US"/>
              </w:rPr>
              <w:t xml:space="preserve">Mohammed Shobrak, </w:t>
            </w:r>
            <w:r w:rsidR="00F53879" w:rsidRPr="00F53879">
              <w:rPr>
                <w:sz w:val="22"/>
                <w:szCs w:val="22"/>
                <w:lang w:val="en-GB" w:eastAsia="en-US"/>
              </w:rPr>
              <w:t>Khady Gueye</w:t>
            </w:r>
            <w:r w:rsidR="00F53879">
              <w:rPr>
                <w:sz w:val="22"/>
                <w:szCs w:val="22"/>
                <w:lang w:val="en-GB" w:eastAsia="en-US"/>
              </w:rPr>
              <w:t>,</w:t>
            </w:r>
            <w:r w:rsidR="00F53879" w:rsidRPr="00F53879">
              <w:rPr>
                <w:sz w:val="22"/>
                <w:szCs w:val="22"/>
                <w:lang w:val="en-GB" w:eastAsia="en-US"/>
              </w:rPr>
              <w:t xml:space="preserve"> </w:t>
            </w:r>
            <w:r w:rsidRPr="0074557B">
              <w:rPr>
                <w:sz w:val="22"/>
                <w:szCs w:val="22"/>
                <w:lang w:val="en-GB" w:eastAsia="en-US"/>
              </w:rPr>
              <w:t>D</w:t>
            </w:r>
            <w:r>
              <w:rPr>
                <w:sz w:val="22"/>
                <w:szCs w:val="22"/>
                <w:lang w:val="en-GB" w:eastAsia="en-US"/>
              </w:rPr>
              <w:t xml:space="preserve">avid </w:t>
            </w:r>
            <w:r w:rsidRPr="0074557B">
              <w:rPr>
                <w:sz w:val="22"/>
                <w:szCs w:val="22"/>
                <w:lang w:val="en-GB" w:eastAsia="en-US"/>
              </w:rPr>
              <w:t>S</w:t>
            </w:r>
            <w:r>
              <w:rPr>
                <w:sz w:val="22"/>
                <w:szCs w:val="22"/>
                <w:lang w:val="en-GB" w:eastAsia="en-US"/>
              </w:rPr>
              <w:t>troud</w:t>
            </w:r>
            <w:r w:rsidRPr="0074557B">
              <w:rPr>
                <w:sz w:val="22"/>
                <w:szCs w:val="22"/>
                <w:lang w:val="en-GB" w:eastAsia="en-US"/>
              </w:rPr>
              <w:t>,</w:t>
            </w:r>
            <w:r w:rsidR="00F53879">
              <w:rPr>
                <w:sz w:val="22"/>
                <w:szCs w:val="22"/>
                <w:lang w:val="en-GB" w:eastAsia="en-US"/>
              </w:rPr>
              <w:t xml:space="preserve"> Nicola Crockford, </w:t>
            </w:r>
            <w:r w:rsidR="00747884" w:rsidRPr="007367DB">
              <w:rPr>
                <w:sz w:val="22"/>
                <w:szCs w:val="22"/>
                <w:lang w:val="en-GB" w:eastAsia="en-US"/>
              </w:rPr>
              <w:t>Florian Keil</w:t>
            </w:r>
            <w:r w:rsidR="00F53879">
              <w:rPr>
                <w:sz w:val="22"/>
                <w:szCs w:val="22"/>
                <w:lang w:val="en-GB" w:eastAsia="en-US"/>
              </w:rPr>
              <w:t>, Sergey Dereliev</w:t>
            </w:r>
          </w:p>
        </w:tc>
      </w:tr>
      <w:tr w:rsidR="007367DB" w:rsidRPr="00860CD7" w14:paraId="24F85B00"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27B1A1DA" w14:textId="77777777" w:rsidR="00747884" w:rsidRPr="00860CD7" w:rsidRDefault="00747884" w:rsidP="009D5FB8">
            <w:pPr>
              <w:pStyle w:val="EndnoteText"/>
              <w:spacing w:line="276" w:lineRule="auto"/>
              <w:ind w:left="284" w:hanging="284"/>
              <w:rPr>
                <w:sz w:val="22"/>
                <w:szCs w:val="22"/>
                <w:lang w:val="en-GB" w:eastAsia="en-US"/>
              </w:rPr>
            </w:pPr>
            <w:r w:rsidRPr="00860CD7">
              <w:rPr>
                <w:sz w:val="22"/>
                <w:szCs w:val="22"/>
                <w:lang w:val="en-GB" w:eastAsia="en-US"/>
              </w:rPr>
              <w:t>7. Implementation</w:t>
            </w:r>
          </w:p>
        </w:tc>
        <w:tc>
          <w:tcPr>
            <w:tcW w:w="7052" w:type="dxa"/>
            <w:tcBorders>
              <w:top w:val="single" w:sz="4" w:space="0" w:color="auto"/>
              <w:left w:val="single" w:sz="4" w:space="0" w:color="auto"/>
              <w:bottom w:val="single" w:sz="4" w:space="0" w:color="auto"/>
              <w:right w:val="single" w:sz="4" w:space="0" w:color="auto"/>
            </w:tcBorders>
            <w:hideMark/>
          </w:tcPr>
          <w:p w14:paraId="649AE2B6" w14:textId="334C05CB" w:rsidR="00747884" w:rsidRPr="00860CD7" w:rsidRDefault="00F53879" w:rsidP="009D5FB8">
            <w:pPr>
              <w:pStyle w:val="EndnoteText"/>
              <w:spacing w:after="120" w:line="276" w:lineRule="auto"/>
              <w:ind w:left="851" w:hanging="851"/>
              <w:rPr>
                <w:sz w:val="22"/>
                <w:szCs w:val="22"/>
                <w:lang w:val="en-GB" w:eastAsia="en-US"/>
              </w:rPr>
            </w:pPr>
            <w:r w:rsidRPr="00F53879">
              <w:rPr>
                <w:b/>
                <w:sz w:val="22"/>
                <w:szCs w:val="22"/>
                <w:lang w:val="en-GB" w:eastAsia="en-US"/>
              </w:rPr>
              <w:t xml:space="preserve">Iben Hove Sørensen/Alexandra Kalandarishvili </w:t>
            </w:r>
            <w:r w:rsidR="00747884" w:rsidRPr="00860CD7">
              <w:rPr>
                <w:b/>
                <w:sz w:val="22"/>
                <w:szCs w:val="22"/>
                <w:lang w:val="en-GB" w:eastAsia="en-US"/>
              </w:rPr>
              <w:t>(Chair),</w:t>
            </w:r>
            <w:r w:rsidR="00747884" w:rsidRPr="00860CD7">
              <w:rPr>
                <w:sz w:val="22"/>
                <w:szCs w:val="22"/>
                <w:lang w:val="en-GB" w:eastAsia="en-US"/>
              </w:rPr>
              <w:t xml:space="preserve"> </w:t>
            </w:r>
            <w:r w:rsidRPr="00F53879">
              <w:rPr>
                <w:sz w:val="22"/>
                <w:szCs w:val="22"/>
                <w:lang w:val="en-GB" w:eastAsia="en-US"/>
              </w:rPr>
              <w:t>S</w:t>
            </w:r>
            <w:r>
              <w:rPr>
                <w:sz w:val="22"/>
                <w:szCs w:val="22"/>
                <w:lang w:val="en-GB" w:eastAsia="en-US"/>
              </w:rPr>
              <w:t xml:space="preserve">zabolcs </w:t>
            </w:r>
            <w:r w:rsidRPr="00F53879">
              <w:rPr>
                <w:sz w:val="22"/>
                <w:szCs w:val="22"/>
                <w:lang w:val="en-GB" w:eastAsia="en-US"/>
              </w:rPr>
              <w:t>N</w:t>
            </w:r>
            <w:r>
              <w:rPr>
                <w:sz w:val="22"/>
                <w:szCs w:val="22"/>
                <w:lang w:val="en-GB" w:eastAsia="en-US"/>
              </w:rPr>
              <w:t>agy</w:t>
            </w:r>
            <w:r w:rsidRPr="00F53879">
              <w:rPr>
                <w:sz w:val="22"/>
                <w:szCs w:val="22"/>
                <w:lang w:val="en-GB" w:eastAsia="en-US"/>
              </w:rPr>
              <w:t>, M</w:t>
            </w:r>
            <w:r>
              <w:rPr>
                <w:sz w:val="22"/>
                <w:szCs w:val="22"/>
                <w:lang w:val="en-GB" w:eastAsia="en-US"/>
              </w:rPr>
              <w:t xml:space="preserve">elissa </w:t>
            </w:r>
            <w:r w:rsidRPr="00F53879">
              <w:rPr>
                <w:sz w:val="22"/>
                <w:szCs w:val="22"/>
                <w:lang w:val="en-GB" w:eastAsia="en-US"/>
              </w:rPr>
              <w:t>L</w:t>
            </w:r>
            <w:r>
              <w:rPr>
                <w:sz w:val="22"/>
                <w:szCs w:val="22"/>
                <w:lang w:val="en-GB" w:eastAsia="en-US"/>
              </w:rPr>
              <w:t>ewis</w:t>
            </w:r>
            <w:r w:rsidRPr="00F53879">
              <w:rPr>
                <w:sz w:val="22"/>
                <w:szCs w:val="22"/>
                <w:lang w:val="en-GB" w:eastAsia="en-US"/>
              </w:rPr>
              <w:t>, Emmanuel Kasimbazi, R</w:t>
            </w:r>
            <w:r>
              <w:rPr>
                <w:sz w:val="22"/>
                <w:szCs w:val="22"/>
                <w:lang w:val="en-GB" w:eastAsia="en-US"/>
              </w:rPr>
              <w:t xml:space="preserve">ichard </w:t>
            </w:r>
            <w:r w:rsidRPr="00F53879">
              <w:rPr>
                <w:sz w:val="22"/>
                <w:szCs w:val="22"/>
                <w:lang w:val="en-GB" w:eastAsia="en-US"/>
              </w:rPr>
              <w:t>H</w:t>
            </w:r>
            <w:r>
              <w:rPr>
                <w:sz w:val="22"/>
                <w:szCs w:val="22"/>
                <w:lang w:val="en-GB" w:eastAsia="en-US"/>
              </w:rPr>
              <w:t>earn</w:t>
            </w:r>
            <w:r w:rsidRPr="00F53879">
              <w:rPr>
                <w:sz w:val="22"/>
                <w:szCs w:val="22"/>
                <w:lang w:val="en-GB" w:eastAsia="en-US"/>
              </w:rPr>
              <w:t>, J</w:t>
            </w:r>
            <w:r>
              <w:rPr>
                <w:sz w:val="22"/>
                <w:szCs w:val="22"/>
                <w:lang w:val="en-GB" w:eastAsia="en-US"/>
              </w:rPr>
              <w:t xml:space="preserve">esper </w:t>
            </w:r>
            <w:r w:rsidRPr="00F53879">
              <w:rPr>
                <w:sz w:val="22"/>
                <w:szCs w:val="22"/>
                <w:lang w:val="en-GB" w:eastAsia="en-US"/>
              </w:rPr>
              <w:t>M</w:t>
            </w:r>
            <w:r>
              <w:rPr>
                <w:sz w:val="22"/>
                <w:szCs w:val="22"/>
                <w:lang w:val="en-GB" w:eastAsia="en-US"/>
              </w:rPr>
              <w:t>adsen</w:t>
            </w:r>
            <w:r w:rsidRPr="00F53879">
              <w:rPr>
                <w:sz w:val="22"/>
                <w:szCs w:val="22"/>
                <w:lang w:val="en-GB" w:eastAsia="en-US"/>
              </w:rPr>
              <w:t>, M</w:t>
            </w:r>
            <w:r>
              <w:rPr>
                <w:sz w:val="22"/>
                <w:szCs w:val="22"/>
                <w:lang w:val="en-GB" w:eastAsia="en-US"/>
              </w:rPr>
              <w:t xml:space="preserve">aria </w:t>
            </w:r>
            <w:r w:rsidRPr="00F53879">
              <w:rPr>
                <w:sz w:val="22"/>
                <w:szCs w:val="22"/>
                <w:lang w:val="en-GB" w:eastAsia="en-US"/>
              </w:rPr>
              <w:t>D</w:t>
            </w:r>
            <w:r>
              <w:rPr>
                <w:sz w:val="22"/>
                <w:szCs w:val="22"/>
                <w:lang w:val="en-GB" w:eastAsia="en-US"/>
              </w:rPr>
              <w:t>ias</w:t>
            </w:r>
            <w:r w:rsidRPr="00F53879">
              <w:rPr>
                <w:sz w:val="22"/>
                <w:szCs w:val="22"/>
                <w:lang w:val="en-GB" w:eastAsia="en-US"/>
              </w:rPr>
              <w:t>, N</w:t>
            </w:r>
            <w:r>
              <w:rPr>
                <w:sz w:val="22"/>
                <w:szCs w:val="22"/>
                <w:lang w:val="en-GB" w:eastAsia="en-US"/>
              </w:rPr>
              <w:t xml:space="preserve">ils </w:t>
            </w:r>
            <w:r w:rsidRPr="00F53879">
              <w:rPr>
                <w:sz w:val="22"/>
                <w:szCs w:val="22"/>
                <w:lang w:val="en-GB" w:eastAsia="en-US"/>
              </w:rPr>
              <w:t>B</w:t>
            </w:r>
            <w:r>
              <w:rPr>
                <w:sz w:val="22"/>
                <w:szCs w:val="22"/>
                <w:lang w:val="en-GB" w:eastAsia="en-US"/>
              </w:rPr>
              <w:t>unnefeld</w:t>
            </w:r>
            <w:r w:rsidRPr="00F53879">
              <w:rPr>
                <w:sz w:val="22"/>
                <w:szCs w:val="22"/>
                <w:lang w:val="en-GB" w:eastAsia="en-US"/>
              </w:rPr>
              <w:t>, T</w:t>
            </w:r>
            <w:r>
              <w:rPr>
                <w:sz w:val="22"/>
                <w:szCs w:val="22"/>
                <w:lang w:val="en-GB" w:eastAsia="en-US"/>
              </w:rPr>
              <w:t xml:space="preserve">aulant </w:t>
            </w:r>
            <w:r w:rsidRPr="00F53879">
              <w:rPr>
                <w:sz w:val="22"/>
                <w:szCs w:val="22"/>
                <w:lang w:val="en-GB" w:eastAsia="en-US"/>
              </w:rPr>
              <w:t>B</w:t>
            </w:r>
            <w:r>
              <w:rPr>
                <w:sz w:val="22"/>
                <w:szCs w:val="22"/>
                <w:lang w:val="en-GB" w:eastAsia="en-US"/>
              </w:rPr>
              <w:t>ino</w:t>
            </w:r>
            <w:r w:rsidRPr="00F53879">
              <w:rPr>
                <w:sz w:val="22"/>
                <w:szCs w:val="22"/>
                <w:lang w:val="en-GB" w:eastAsia="en-US"/>
              </w:rPr>
              <w:t>, C</w:t>
            </w:r>
            <w:r>
              <w:rPr>
                <w:sz w:val="22"/>
                <w:szCs w:val="22"/>
                <w:lang w:val="en-GB" w:eastAsia="en-US"/>
              </w:rPr>
              <w:t xml:space="preserve">hris </w:t>
            </w:r>
            <w:r w:rsidRPr="00F53879">
              <w:rPr>
                <w:sz w:val="22"/>
                <w:szCs w:val="22"/>
                <w:lang w:val="en-GB" w:eastAsia="en-US"/>
              </w:rPr>
              <w:t>R</w:t>
            </w:r>
            <w:r>
              <w:rPr>
                <w:sz w:val="22"/>
                <w:szCs w:val="22"/>
                <w:lang w:val="en-GB" w:eastAsia="en-US"/>
              </w:rPr>
              <w:t>ostron</w:t>
            </w:r>
            <w:r w:rsidRPr="00F53879">
              <w:rPr>
                <w:sz w:val="22"/>
                <w:szCs w:val="22"/>
                <w:lang w:val="en-GB" w:eastAsia="en-US"/>
              </w:rPr>
              <w:t>,</w:t>
            </w:r>
            <w:r>
              <w:rPr>
                <w:sz w:val="22"/>
                <w:szCs w:val="22"/>
                <w:lang w:val="en-GB" w:eastAsia="en-US"/>
              </w:rPr>
              <w:t xml:space="preserve"> Mohammed Shobrak,</w:t>
            </w:r>
            <w:r w:rsidRPr="00F53879">
              <w:rPr>
                <w:sz w:val="22"/>
                <w:szCs w:val="22"/>
                <w:lang w:val="en-GB" w:eastAsia="en-US"/>
              </w:rPr>
              <w:t xml:space="preserve"> </w:t>
            </w:r>
            <w:r>
              <w:rPr>
                <w:sz w:val="22"/>
                <w:szCs w:val="22"/>
                <w:lang w:val="en-GB" w:eastAsia="en-US"/>
              </w:rPr>
              <w:t xml:space="preserve">Doug Harebottle, </w:t>
            </w:r>
            <w:r w:rsidRPr="00F53879">
              <w:rPr>
                <w:sz w:val="22"/>
                <w:szCs w:val="22"/>
                <w:lang w:val="en-GB" w:eastAsia="en-US"/>
              </w:rPr>
              <w:t>Khady Gueye</w:t>
            </w:r>
            <w:r>
              <w:rPr>
                <w:sz w:val="22"/>
                <w:szCs w:val="22"/>
                <w:lang w:val="en-GB" w:eastAsia="en-US"/>
              </w:rPr>
              <w:t>,</w:t>
            </w:r>
            <w:r w:rsidRPr="00F53879">
              <w:rPr>
                <w:sz w:val="22"/>
                <w:szCs w:val="22"/>
                <w:lang w:val="en-GB" w:eastAsia="en-US"/>
              </w:rPr>
              <w:t xml:space="preserve"> D</w:t>
            </w:r>
            <w:r>
              <w:rPr>
                <w:sz w:val="22"/>
                <w:szCs w:val="22"/>
                <w:lang w:val="en-GB" w:eastAsia="en-US"/>
              </w:rPr>
              <w:t xml:space="preserve">avis </w:t>
            </w:r>
            <w:r w:rsidRPr="00F53879">
              <w:rPr>
                <w:sz w:val="22"/>
                <w:szCs w:val="22"/>
                <w:lang w:val="en-GB" w:eastAsia="en-US"/>
              </w:rPr>
              <w:t>S</w:t>
            </w:r>
            <w:r>
              <w:rPr>
                <w:sz w:val="22"/>
                <w:szCs w:val="22"/>
                <w:lang w:val="en-GB" w:eastAsia="en-US"/>
              </w:rPr>
              <w:t>troud</w:t>
            </w:r>
            <w:r w:rsidRPr="00F53879">
              <w:rPr>
                <w:sz w:val="22"/>
                <w:szCs w:val="22"/>
                <w:lang w:val="en-GB" w:eastAsia="en-US"/>
              </w:rPr>
              <w:t>, C</w:t>
            </w:r>
            <w:r>
              <w:rPr>
                <w:sz w:val="22"/>
                <w:szCs w:val="22"/>
                <w:lang w:val="en-GB" w:eastAsia="en-US"/>
              </w:rPr>
              <w:t xml:space="preserve">y </w:t>
            </w:r>
            <w:r w:rsidRPr="00F53879">
              <w:rPr>
                <w:sz w:val="22"/>
                <w:szCs w:val="22"/>
                <w:lang w:val="en-GB" w:eastAsia="en-US"/>
              </w:rPr>
              <w:t>G</w:t>
            </w:r>
            <w:r>
              <w:rPr>
                <w:sz w:val="22"/>
                <w:szCs w:val="22"/>
                <w:lang w:val="en-GB" w:eastAsia="en-US"/>
              </w:rPr>
              <w:t>riffin</w:t>
            </w:r>
            <w:r w:rsidRPr="00F53879">
              <w:rPr>
                <w:sz w:val="22"/>
                <w:szCs w:val="22"/>
                <w:lang w:val="en-GB" w:eastAsia="en-US"/>
              </w:rPr>
              <w:t>, N</w:t>
            </w:r>
            <w:r>
              <w:rPr>
                <w:sz w:val="22"/>
                <w:szCs w:val="22"/>
                <w:lang w:val="en-GB" w:eastAsia="en-US"/>
              </w:rPr>
              <w:t xml:space="preserve">icola </w:t>
            </w:r>
            <w:r w:rsidRPr="00F53879">
              <w:rPr>
                <w:sz w:val="22"/>
                <w:szCs w:val="22"/>
                <w:lang w:val="en-GB" w:eastAsia="en-US"/>
              </w:rPr>
              <w:t>C</w:t>
            </w:r>
            <w:r>
              <w:rPr>
                <w:sz w:val="22"/>
                <w:szCs w:val="22"/>
                <w:lang w:val="en-GB" w:eastAsia="en-US"/>
              </w:rPr>
              <w:t>rockford</w:t>
            </w:r>
            <w:r w:rsidRPr="00F53879">
              <w:rPr>
                <w:sz w:val="22"/>
                <w:szCs w:val="22"/>
                <w:lang w:val="en-GB" w:eastAsia="en-US"/>
              </w:rPr>
              <w:t>, P</w:t>
            </w:r>
            <w:r>
              <w:rPr>
                <w:sz w:val="22"/>
                <w:szCs w:val="22"/>
                <w:lang w:val="en-GB" w:eastAsia="en-US"/>
              </w:rPr>
              <w:t xml:space="preserve">reben </w:t>
            </w:r>
            <w:r w:rsidRPr="00F53879">
              <w:rPr>
                <w:sz w:val="22"/>
                <w:szCs w:val="22"/>
                <w:lang w:val="en-GB" w:eastAsia="en-US"/>
              </w:rPr>
              <w:t>C</w:t>
            </w:r>
            <w:r>
              <w:rPr>
                <w:sz w:val="22"/>
                <w:szCs w:val="22"/>
                <w:lang w:val="en-GB" w:eastAsia="en-US"/>
              </w:rPr>
              <w:t>lausen</w:t>
            </w:r>
            <w:r w:rsidRPr="00F53879">
              <w:rPr>
                <w:sz w:val="22"/>
                <w:szCs w:val="22"/>
                <w:lang w:val="en-GB" w:eastAsia="en-US"/>
              </w:rPr>
              <w:t>, S</w:t>
            </w:r>
            <w:r>
              <w:rPr>
                <w:sz w:val="22"/>
                <w:szCs w:val="22"/>
                <w:lang w:val="en-GB" w:eastAsia="en-US"/>
              </w:rPr>
              <w:t xml:space="preserve">imon </w:t>
            </w:r>
            <w:r w:rsidRPr="00F53879">
              <w:rPr>
                <w:sz w:val="22"/>
                <w:szCs w:val="22"/>
                <w:lang w:val="en-GB" w:eastAsia="en-US"/>
              </w:rPr>
              <w:t>M</w:t>
            </w:r>
            <w:r>
              <w:rPr>
                <w:sz w:val="22"/>
                <w:szCs w:val="22"/>
                <w:lang w:val="en-GB" w:eastAsia="en-US"/>
              </w:rPr>
              <w:t>ackown</w:t>
            </w:r>
            <w:r w:rsidRPr="00F53879">
              <w:rPr>
                <w:sz w:val="22"/>
                <w:szCs w:val="22"/>
                <w:lang w:val="en-GB" w:eastAsia="en-US"/>
              </w:rPr>
              <w:t xml:space="preserve">, </w:t>
            </w:r>
            <w:r>
              <w:rPr>
                <w:sz w:val="22"/>
                <w:szCs w:val="22"/>
                <w:lang w:val="en-GB" w:eastAsia="en-US"/>
              </w:rPr>
              <w:t xml:space="preserve">Florian Keil, </w:t>
            </w:r>
            <w:r w:rsidR="00747884" w:rsidRPr="00860CD7">
              <w:rPr>
                <w:sz w:val="22"/>
                <w:szCs w:val="22"/>
                <w:lang w:val="en-GB" w:eastAsia="en-US"/>
              </w:rPr>
              <w:t>Sergey Dereliev</w:t>
            </w:r>
          </w:p>
        </w:tc>
      </w:tr>
      <w:tr w:rsidR="007367DB" w:rsidRPr="00860CD7" w14:paraId="4A803472" w14:textId="77777777" w:rsidTr="00AD5604">
        <w:tc>
          <w:tcPr>
            <w:tcW w:w="2802" w:type="dxa"/>
            <w:tcBorders>
              <w:top w:val="single" w:sz="4" w:space="0" w:color="auto"/>
              <w:left w:val="single" w:sz="4" w:space="0" w:color="auto"/>
              <w:bottom w:val="single" w:sz="4" w:space="0" w:color="auto"/>
              <w:right w:val="single" w:sz="4" w:space="0" w:color="auto"/>
            </w:tcBorders>
            <w:hideMark/>
          </w:tcPr>
          <w:p w14:paraId="314A6FE8" w14:textId="77777777" w:rsidR="002C6701" w:rsidRDefault="00747884" w:rsidP="009D5FB8">
            <w:pPr>
              <w:spacing w:line="276" w:lineRule="auto"/>
              <w:rPr>
                <w:sz w:val="22"/>
                <w:szCs w:val="22"/>
                <w:lang w:val="en-GB"/>
              </w:rPr>
            </w:pPr>
            <w:r w:rsidRPr="00860CD7">
              <w:rPr>
                <w:sz w:val="22"/>
                <w:szCs w:val="22"/>
                <w:lang w:val="en-GB"/>
              </w:rPr>
              <w:t>8. Strategic, reporting,</w:t>
            </w:r>
            <w:r w:rsidR="002C6701">
              <w:rPr>
                <w:sz w:val="22"/>
                <w:szCs w:val="22"/>
                <w:lang w:val="en-GB"/>
              </w:rPr>
              <w:t xml:space="preserve"> </w:t>
            </w:r>
          </w:p>
          <w:p w14:paraId="66C7E4A4" w14:textId="6AEEA256" w:rsidR="00747884" w:rsidRPr="00860CD7" w:rsidRDefault="002C6701" w:rsidP="009D5FB8">
            <w:pPr>
              <w:spacing w:line="276" w:lineRule="auto"/>
              <w:rPr>
                <w:sz w:val="22"/>
                <w:szCs w:val="22"/>
                <w:lang w:val="en-GB"/>
              </w:rPr>
            </w:pPr>
            <w:r>
              <w:rPr>
                <w:sz w:val="22"/>
                <w:szCs w:val="22"/>
                <w:lang w:val="en-GB"/>
              </w:rPr>
              <w:t xml:space="preserve">   </w:t>
            </w:r>
            <w:r w:rsidR="00747884" w:rsidRPr="00860CD7">
              <w:rPr>
                <w:sz w:val="22"/>
                <w:szCs w:val="22"/>
                <w:lang w:val="en-GB"/>
              </w:rPr>
              <w:t xml:space="preserve"> emerging and other issues</w:t>
            </w:r>
          </w:p>
          <w:p w14:paraId="1D9B5906" w14:textId="77777777" w:rsidR="00747884" w:rsidRPr="00860CD7" w:rsidRDefault="00747884" w:rsidP="009D5FB8">
            <w:pPr>
              <w:pStyle w:val="EndnoteText"/>
              <w:spacing w:line="276" w:lineRule="auto"/>
              <w:ind w:left="284" w:hanging="284"/>
              <w:rPr>
                <w:sz w:val="22"/>
                <w:szCs w:val="22"/>
                <w:lang w:val="en-GB" w:eastAsia="en-US"/>
              </w:rPr>
            </w:pPr>
          </w:p>
        </w:tc>
        <w:tc>
          <w:tcPr>
            <w:tcW w:w="7052" w:type="dxa"/>
            <w:tcBorders>
              <w:top w:val="single" w:sz="4" w:space="0" w:color="auto"/>
              <w:left w:val="single" w:sz="4" w:space="0" w:color="auto"/>
              <w:bottom w:val="single" w:sz="4" w:space="0" w:color="auto"/>
              <w:right w:val="single" w:sz="4" w:space="0" w:color="auto"/>
            </w:tcBorders>
            <w:hideMark/>
          </w:tcPr>
          <w:p w14:paraId="6BB2EECE" w14:textId="3E52BDD4" w:rsidR="00747884" w:rsidRPr="00860CD7" w:rsidRDefault="00F53879" w:rsidP="009D5FB8">
            <w:pPr>
              <w:pStyle w:val="EndnoteText"/>
              <w:spacing w:after="120" w:line="276" w:lineRule="auto"/>
              <w:ind w:left="851" w:hanging="851"/>
              <w:rPr>
                <w:sz w:val="22"/>
                <w:szCs w:val="22"/>
                <w:lang w:val="en-GB" w:eastAsia="en-US"/>
              </w:rPr>
            </w:pPr>
            <w:r>
              <w:rPr>
                <w:b/>
                <w:sz w:val="22"/>
                <w:szCs w:val="22"/>
                <w:lang w:val="en-GB" w:eastAsia="en-US"/>
              </w:rPr>
              <w:t xml:space="preserve">Hichem Azafzaf </w:t>
            </w:r>
            <w:r w:rsidR="00747884" w:rsidRPr="00860CD7">
              <w:rPr>
                <w:b/>
                <w:sz w:val="22"/>
                <w:szCs w:val="22"/>
                <w:lang w:val="en-GB" w:eastAsia="en-US"/>
              </w:rPr>
              <w:t>(Chair),</w:t>
            </w:r>
            <w:r w:rsidR="00747884" w:rsidRPr="00860CD7">
              <w:rPr>
                <w:sz w:val="22"/>
                <w:szCs w:val="22"/>
                <w:lang w:val="en-GB" w:eastAsia="en-US"/>
              </w:rPr>
              <w:t xml:space="preserve"> </w:t>
            </w:r>
            <w:r w:rsidRPr="00860CD7">
              <w:rPr>
                <w:sz w:val="22"/>
                <w:szCs w:val="22"/>
                <w:lang w:val="en-GB" w:eastAsia="en-US"/>
              </w:rPr>
              <w:t xml:space="preserve">Szabolcs Nagy, </w:t>
            </w:r>
            <w:r w:rsidRPr="00F53879">
              <w:rPr>
                <w:sz w:val="22"/>
                <w:szCs w:val="22"/>
                <w:lang w:val="en-GB" w:eastAsia="en-US"/>
              </w:rPr>
              <w:t>C</w:t>
            </w:r>
            <w:r>
              <w:rPr>
                <w:sz w:val="22"/>
                <w:szCs w:val="22"/>
                <w:lang w:val="en-GB" w:eastAsia="en-US"/>
              </w:rPr>
              <w:t xml:space="preserve">hris </w:t>
            </w:r>
            <w:r w:rsidRPr="00F53879">
              <w:rPr>
                <w:sz w:val="22"/>
                <w:szCs w:val="22"/>
                <w:lang w:val="en-GB" w:eastAsia="en-US"/>
              </w:rPr>
              <w:t>R</w:t>
            </w:r>
            <w:r>
              <w:rPr>
                <w:sz w:val="22"/>
                <w:szCs w:val="22"/>
                <w:lang w:val="en-GB" w:eastAsia="en-US"/>
              </w:rPr>
              <w:t>ostron</w:t>
            </w:r>
            <w:r w:rsidRPr="00F53879">
              <w:rPr>
                <w:sz w:val="22"/>
                <w:szCs w:val="22"/>
                <w:lang w:val="en-GB" w:eastAsia="en-US"/>
              </w:rPr>
              <w:t>, M</w:t>
            </w:r>
            <w:r>
              <w:rPr>
                <w:sz w:val="22"/>
                <w:szCs w:val="22"/>
                <w:lang w:val="en-GB" w:eastAsia="en-US"/>
              </w:rPr>
              <w:t xml:space="preserve">elissa </w:t>
            </w:r>
            <w:r w:rsidRPr="00F53879">
              <w:rPr>
                <w:sz w:val="22"/>
                <w:szCs w:val="22"/>
                <w:lang w:val="en-GB" w:eastAsia="en-US"/>
              </w:rPr>
              <w:t>L</w:t>
            </w:r>
            <w:r>
              <w:rPr>
                <w:sz w:val="22"/>
                <w:szCs w:val="22"/>
                <w:lang w:val="en-GB" w:eastAsia="en-US"/>
              </w:rPr>
              <w:t>ewis</w:t>
            </w:r>
            <w:r w:rsidRPr="00F53879">
              <w:rPr>
                <w:sz w:val="22"/>
                <w:szCs w:val="22"/>
                <w:lang w:val="en-GB" w:eastAsia="en-US"/>
              </w:rPr>
              <w:t>, R</w:t>
            </w:r>
            <w:r>
              <w:rPr>
                <w:sz w:val="22"/>
                <w:szCs w:val="22"/>
                <w:lang w:val="en-GB" w:eastAsia="en-US"/>
              </w:rPr>
              <w:t xml:space="preserve">ichard </w:t>
            </w:r>
            <w:r w:rsidRPr="00F53879">
              <w:rPr>
                <w:sz w:val="22"/>
                <w:szCs w:val="22"/>
                <w:lang w:val="en-GB" w:eastAsia="en-US"/>
              </w:rPr>
              <w:t>H</w:t>
            </w:r>
            <w:r>
              <w:rPr>
                <w:sz w:val="22"/>
                <w:szCs w:val="22"/>
                <w:lang w:val="en-GB" w:eastAsia="en-US"/>
              </w:rPr>
              <w:t>earn</w:t>
            </w:r>
            <w:r w:rsidRPr="00F53879">
              <w:rPr>
                <w:sz w:val="22"/>
                <w:szCs w:val="22"/>
                <w:lang w:val="en-GB" w:eastAsia="en-US"/>
              </w:rPr>
              <w:t xml:space="preserve">, Zurab Javakhishvili, Iben Hove Sørensen, </w:t>
            </w:r>
            <w:r>
              <w:rPr>
                <w:sz w:val="22"/>
                <w:szCs w:val="22"/>
                <w:lang w:val="en-GB" w:eastAsia="en-US"/>
              </w:rPr>
              <w:t xml:space="preserve">Jesper Madsen, </w:t>
            </w:r>
            <w:r w:rsidRPr="00F53879">
              <w:rPr>
                <w:sz w:val="22"/>
                <w:szCs w:val="22"/>
                <w:lang w:val="en-GB" w:eastAsia="en-US"/>
              </w:rPr>
              <w:t>D</w:t>
            </w:r>
            <w:r>
              <w:rPr>
                <w:sz w:val="22"/>
                <w:szCs w:val="22"/>
                <w:lang w:val="en-GB" w:eastAsia="en-US"/>
              </w:rPr>
              <w:t xml:space="preserve">avid </w:t>
            </w:r>
            <w:r w:rsidRPr="00F53879">
              <w:rPr>
                <w:sz w:val="22"/>
                <w:szCs w:val="22"/>
                <w:lang w:val="en-GB" w:eastAsia="en-US"/>
              </w:rPr>
              <w:t>S</w:t>
            </w:r>
            <w:r>
              <w:rPr>
                <w:sz w:val="22"/>
                <w:szCs w:val="22"/>
                <w:lang w:val="en-GB" w:eastAsia="en-US"/>
              </w:rPr>
              <w:t>troud</w:t>
            </w:r>
            <w:r w:rsidRPr="00F53879">
              <w:rPr>
                <w:sz w:val="22"/>
                <w:szCs w:val="22"/>
                <w:lang w:val="en-GB" w:eastAsia="en-US"/>
              </w:rPr>
              <w:t>, R</w:t>
            </w:r>
            <w:r>
              <w:rPr>
                <w:sz w:val="22"/>
                <w:szCs w:val="22"/>
                <w:lang w:val="en-GB" w:eastAsia="en-US"/>
              </w:rPr>
              <w:t xml:space="preserve">uth </w:t>
            </w:r>
            <w:r w:rsidRPr="00F53879">
              <w:rPr>
                <w:sz w:val="22"/>
                <w:szCs w:val="22"/>
                <w:lang w:val="en-GB" w:eastAsia="en-US"/>
              </w:rPr>
              <w:t>C</w:t>
            </w:r>
            <w:r>
              <w:rPr>
                <w:sz w:val="22"/>
                <w:szCs w:val="22"/>
                <w:lang w:val="en-GB" w:eastAsia="en-US"/>
              </w:rPr>
              <w:t>romie</w:t>
            </w:r>
            <w:r w:rsidRPr="00F53879">
              <w:rPr>
                <w:sz w:val="22"/>
                <w:szCs w:val="22"/>
                <w:lang w:val="en-GB" w:eastAsia="en-US"/>
              </w:rPr>
              <w:t>, N</w:t>
            </w:r>
            <w:r>
              <w:rPr>
                <w:sz w:val="22"/>
                <w:szCs w:val="22"/>
                <w:lang w:val="en-GB" w:eastAsia="en-US"/>
              </w:rPr>
              <w:t xml:space="preserve">icola </w:t>
            </w:r>
            <w:r w:rsidRPr="00F53879">
              <w:rPr>
                <w:sz w:val="22"/>
                <w:szCs w:val="22"/>
                <w:lang w:val="en-GB" w:eastAsia="en-US"/>
              </w:rPr>
              <w:t>C</w:t>
            </w:r>
            <w:r>
              <w:rPr>
                <w:sz w:val="22"/>
                <w:szCs w:val="22"/>
                <w:lang w:val="en-GB" w:eastAsia="en-US"/>
              </w:rPr>
              <w:t>rockford</w:t>
            </w:r>
            <w:r w:rsidRPr="00F53879">
              <w:rPr>
                <w:sz w:val="22"/>
                <w:szCs w:val="22"/>
                <w:lang w:val="en-GB" w:eastAsia="en-US"/>
              </w:rPr>
              <w:t xml:space="preserve">, </w:t>
            </w:r>
            <w:r w:rsidR="00890E45">
              <w:rPr>
                <w:sz w:val="22"/>
                <w:szCs w:val="22"/>
                <w:lang w:val="en-GB" w:eastAsia="en-US"/>
              </w:rPr>
              <w:t xml:space="preserve">Nick Davidson, </w:t>
            </w:r>
            <w:r w:rsidRPr="00F53879">
              <w:rPr>
                <w:sz w:val="22"/>
                <w:szCs w:val="22"/>
                <w:lang w:val="en-GB" w:eastAsia="en-US"/>
              </w:rPr>
              <w:t>P</w:t>
            </w:r>
            <w:r w:rsidR="00890E45">
              <w:rPr>
                <w:sz w:val="22"/>
                <w:szCs w:val="22"/>
                <w:lang w:val="en-GB" w:eastAsia="en-US"/>
              </w:rPr>
              <w:t xml:space="preserve">reben </w:t>
            </w:r>
            <w:r w:rsidRPr="00F53879">
              <w:rPr>
                <w:sz w:val="22"/>
                <w:szCs w:val="22"/>
                <w:lang w:val="en-GB" w:eastAsia="en-US"/>
              </w:rPr>
              <w:t>C</w:t>
            </w:r>
            <w:r w:rsidR="00890E45">
              <w:rPr>
                <w:sz w:val="22"/>
                <w:szCs w:val="22"/>
                <w:lang w:val="en-GB" w:eastAsia="en-US"/>
              </w:rPr>
              <w:t>lausen</w:t>
            </w:r>
            <w:r w:rsidRPr="00F53879">
              <w:rPr>
                <w:sz w:val="22"/>
                <w:szCs w:val="22"/>
                <w:lang w:val="en-GB" w:eastAsia="en-US"/>
              </w:rPr>
              <w:t xml:space="preserve">, </w:t>
            </w:r>
            <w:r w:rsidR="00890E45">
              <w:rPr>
                <w:sz w:val="22"/>
                <w:szCs w:val="22"/>
                <w:lang w:val="en-GB" w:eastAsia="en-US"/>
              </w:rPr>
              <w:t xml:space="preserve">Cy Griffin, </w:t>
            </w:r>
            <w:r w:rsidR="00747884" w:rsidRPr="00860CD7">
              <w:rPr>
                <w:sz w:val="22"/>
                <w:szCs w:val="22"/>
                <w:lang w:val="en-GB" w:eastAsia="en-US"/>
              </w:rPr>
              <w:t>Evelyn Moloko</w:t>
            </w:r>
            <w:r w:rsidR="00522F1E">
              <w:rPr>
                <w:sz w:val="22"/>
                <w:szCs w:val="22"/>
                <w:lang w:val="en-GB" w:eastAsia="en-US"/>
              </w:rPr>
              <w:t>,</w:t>
            </w:r>
            <w:r w:rsidR="00747884" w:rsidRPr="00860CD7">
              <w:rPr>
                <w:sz w:val="22"/>
                <w:szCs w:val="22"/>
                <w:lang w:val="en-GB" w:eastAsia="en-US"/>
              </w:rPr>
              <w:t xml:space="preserve"> Sergey Dereliev</w:t>
            </w:r>
          </w:p>
        </w:tc>
      </w:tr>
    </w:tbl>
    <w:p w14:paraId="562FC549" w14:textId="20E0F8C3" w:rsidR="00747884" w:rsidRDefault="00747884" w:rsidP="009D5FB8">
      <w:pPr>
        <w:spacing w:line="276" w:lineRule="auto"/>
        <w:rPr>
          <w:sz w:val="22"/>
          <w:szCs w:val="22"/>
          <w:lang w:val="en-GB"/>
        </w:rPr>
      </w:pPr>
    </w:p>
    <w:p w14:paraId="71B41C84" w14:textId="77777777" w:rsidR="00B65DF4" w:rsidRPr="00860CD7" w:rsidRDefault="00B65DF4" w:rsidP="009D5FB8">
      <w:pPr>
        <w:spacing w:line="276" w:lineRule="auto"/>
        <w:rPr>
          <w:sz w:val="22"/>
          <w:szCs w:val="22"/>
          <w:lang w:val="en-GB"/>
        </w:rPr>
      </w:pPr>
    </w:p>
    <w:p w14:paraId="01B06C99" w14:textId="0F1D02CC" w:rsidR="002C2BA1" w:rsidRDefault="002C2BA1" w:rsidP="00750823">
      <w:pPr>
        <w:pStyle w:val="Heading1"/>
        <w:numPr>
          <w:ilvl w:val="0"/>
          <w:numId w:val="0"/>
        </w:numPr>
        <w:tabs>
          <w:tab w:val="left" w:pos="1296"/>
        </w:tabs>
        <w:spacing w:line="276" w:lineRule="auto"/>
        <w:jc w:val="both"/>
      </w:pPr>
      <w:r w:rsidRPr="005F499D">
        <w:t>D</w:t>
      </w:r>
      <w:r w:rsidR="00747884" w:rsidRPr="005F499D">
        <w:t>elivery of the T</w:t>
      </w:r>
      <w:r w:rsidR="00522F1E">
        <w:t xml:space="preserve">echnical </w:t>
      </w:r>
      <w:r w:rsidR="00747884" w:rsidRPr="005F499D">
        <w:t>C</w:t>
      </w:r>
      <w:r w:rsidR="00522F1E">
        <w:t>ommittee</w:t>
      </w:r>
      <w:r w:rsidR="00747884" w:rsidRPr="005F499D">
        <w:t xml:space="preserve"> Work </w:t>
      </w:r>
      <w:r w:rsidR="00522F1E">
        <w:t xml:space="preserve">Plan </w:t>
      </w:r>
      <w:r w:rsidR="00747884" w:rsidRPr="005F499D">
        <w:t>20</w:t>
      </w:r>
      <w:r w:rsidR="004F104E">
        <w:t>23</w:t>
      </w:r>
      <w:r w:rsidRPr="005F499D">
        <w:t>-</w:t>
      </w:r>
      <w:r w:rsidR="00747884" w:rsidRPr="005F499D">
        <w:t>20</w:t>
      </w:r>
      <w:r w:rsidR="00522F1E">
        <w:t>2</w:t>
      </w:r>
      <w:r w:rsidR="004F104E">
        <w:t>5</w:t>
      </w:r>
    </w:p>
    <w:p w14:paraId="39ED6E97" w14:textId="77777777" w:rsidR="00750823" w:rsidRPr="00750823" w:rsidRDefault="00750823" w:rsidP="00750823">
      <w:pPr>
        <w:rPr>
          <w:lang w:val="en-GB"/>
        </w:rPr>
      </w:pPr>
    </w:p>
    <w:p w14:paraId="3E383802" w14:textId="5EBB010B" w:rsidR="00114D93" w:rsidRDefault="00114D93" w:rsidP="00114D93">
      <w:pPr>
        <w:spacing w:line="276" w:lineRule="auto"/>
        <w:jc w:val="both"/>
        <w:rPr>
          <w:sz w:val="22"/>
          <w:szCs w:val="22"/>
        </w:rPr>
      </w:pPr>
      <w:r w:rsidRPr="00A25C80">
        <w:rPr>
          <w:sz w:val="22"/>
          <w:szCs w:val="22"/>
        </w:rPr>
        <w:t xml:space="preserve">Of the 48 tasks on the TC </w:t>
      </w:r>
      <w:r w:rsidR="000B4FCF">
        <w:rPr>
          <w:sz w:val="22"/>
          <w:szCs w:val="22"/>
        </w:rPr>
        <w:t>W</w:t>
      </w:r>
      <w:r w:rsidRPr="00A25C80">
        <w:rPr>
          <w:sz w:val="22"/>
          <w:szCs w:val="22"/>
        </w:rPr>
        <w:t>ork</w:t>
      </w:r>
      <w:r w:rsidR="000B4FCF">
        <w:rPr>
          <w:sz w:val="22"/>
          <w:szCs w:val="22"/>
        </w:rPr>
        <w:t xml:space="preserve"> P</w:t>
      </w:r>
      <w:r w:rsidRPr="00A25C80">
        <w:rPr>
          <w:sz w:val="22"/>
          <w:szCs w:val="22"/>
        </w:rPr>
        <w:t xml:space="preserve">lan in the current triennium, </w:t>
      </w:r>
      <w:r w:rsidR="004F104E">
        <w:rPr>
          <w:sz w:val="22"/>
          <w:szCs w:val="22"/>
        </w:rPr>
        <w:t>19</w:t>
      </w:r>
      <w:r w:rsidRPr="00A25C80">
        <w:rPr>
          <w:sz w:val="22"/>
          <w:szCs w:val="22"/>
        </w:rPr>
        <w:t xml:space="preserve"> tasks </w:t>
      </w:r>
      <w:r w:rsidR="005A4646" w:rsidRPr="00A25C80">
        <w:rPr>
          <w:sz w:val="22"/>
          <w:szCs w:val="22"/>
        </w:rPr>
        <w:t>(4</w:t>
      </w:r>
      <w:r w:rsidR="004F104E">
        <w:rPr>
          <w:sz w:val="22"/>
          <w:szCs w:val="22"/>
        </w:rPr>
        <w:t>0</w:t>
      </w:r>
      <w:r w:rsidR="005A4646" w:rsidRPr="00A25C80">
        <w:rPr>
          <w:sz w:val="22"/>
          <w:szCs w:val="22"/>
        </w:rPr>
        <w:t xml:space="preserve">%) </w:t>
      </w:r>
      <w:r w:rsidRPr="00A25C80">
        <w:rPr>
          <w:sz w:val="22"/>
          <w:szCs w:val="22"/>
        </w:rPr>
        <w:t xml:space="preserve">were identified to be of essential priority with another 12 tasks </w:t>
      </w:r>
      <w:r w:rsidR="005A4646" w:rsidRPr="00A25C80">
        <w:rPr>
          <w:sz w:val="22"/>
          <w:szCs w:val="22"/>
        </w:rPr>
        <w:t xml:space="preserve">(25%) </w:t>
      </w:r>
      <w:r w:rsidR="00A07708" w:rsidRPr="00A25C80">
        <w:rPr>
          <w:sz w:val="22"/>
          <w:szCs w:val="22"/>
        </w:rPr>
        <w:t xml:space="preserve">of </w:t>
      </w:r>
      <w:r w:rsidRPr="00A25C80">
        <w:rPr>
          <w:sz w:val="22"/>
          <w:szCs w:val="22"/>
        </w:rPr>
        <w:t xml:space="preserve">high priority. Of the remaining, </w:t>
      </w:r>
      <w:r w:rsidR="004F104E">
        <w:rPr>
          <w:sz w:val="22"/>
          <w:szCs w:val="22"/>
        </w:rPr>
        <w:t>two</w:t>
      </w:r>
      <w:r w:rsidRPr="00A25C80">
        <w:rPr>
          <w:sz w:val="22"/>
          <w:szCs w:val="22"/>
        </w:rPr>
        <w:t xml:space="preserve"> task</w:t>
      </w:r>
      <w:r w:rsidR="004F104E">
        <w:rPr>
          <w:sz w:val="22"/>
          <w:szCs w:val="22"/>
        </w:rPr>
        <w:t>s</w:t>
      </w:r>
      <w:r w:rsidRPr="00A25C80">
        <w:rPr>
          <w:sz w:val="22"/>
          <w:szCs w:val="22"/>
        </w:rPr>
        <w:t xml:space="preserve"> </w:t>
      </w:r>
      <w:r w:rsidR="005A4646" w:rsidRPr="00A25C80">
        <w:rPr>
          <w:sz w:val="22"/>
          <w:szCs w:val="22"/>
        </w:rPr>
        <w:t>(</w:t>
      </w:r>
      <w:r w:rsidR="004F104E">
        <w:rPr>
          <w:sz w:val="22"/>
          <w:szCs w:val="22"/>
        </w:rPr>
        <w:t>4</w:t>
      </w:r>
      <w:r w:rsidR="005A4646" w:rsidRPr="00A25C80">
        <w:rPr>
          <w:sz w:val="22"/>
          <w:szCs w:val="22"/>
        </w:rPr>
        <w:t xml:space="preserve">%) </w:t>
      </w:r>
      <w:r w:rsidRPr="00A25C80">
        <w:rPr>
          <w:sz w:val="22"/>
          <w:szCs w:val="22"/>
        </w:rPr>
        <w:t>w</w:t>
      </w:r>
      <w:r w:rsidR="000B4FCF">
        <w:rPr>
          <w:sz w:val="22"/>
          <w:szCs w:val="22"/>
        </w:rPr>
        <w:t>ere</w:t>
      </w:r>
      <w:r w:rsidRPr="00A25C80">
        <w:rPr>
          <w:sz w:val="22"/>
          <w:szCs w:val="22"/>
        </w:rPr>
        <w:t xml:space="preserve"> tagged as medium priority, </w:t>
      </w:r>
      <w:r w:rsidR="004F104E">
        <w:rPr>
          <w:sz w:val="22"/>
          <w:szCs w:val="22"/>
        </w:rPr>
        <w:t xml:space="preserve">seven </w:t>
      </w:r>
      <w:r w:rsidRPr="00A25C80">
        <w:rPr>
          <w:sz w:val="22"/>
          <w:szCs w:val="22"/>
        </w:rPr>
        <w:t xml:space="preserve">tasks </w:t>
      </w:r>
      <w:r w:rsidR="005A4646" w:rsidRPr="00A25C80">
        <w:rPr>
          <w:sz w:val="22"/>
          <w:szCs w:val="22"/>
        </w:rPr>
        <w:t>(</w:t>
      </w:r>
      <w:r w:rsidR="004F104E">
        <w:rPr>
          <w:sz w:val="22"/>
          <w:szCs w:val="22"/>
        </w:rPr>
        <w:t>14</w:t>
      </w:r>
      <w:r w:rsidR="005A4646" w:rsidRPr="00A25C80">
        <w:rPr>
          <w:sz w:val="22"/>
          <w:szCs w:val="22"/>
        </w:rPr>
        <w:t xml:space="preserve">%) </w:t>
      </w:r>
      <w:r w:rsidRPr="00A25C80">
        <w:rPr>
          <w:sz w:val="22"/>
          <w:szCs w:val="22"/>
        </w:rPr>
        <w:t>as other priority and eight tasks</w:t>
      </w:r>
      <w:r w:rsidR="005A4646" w:rsidRPr="00A25C80">
        <w:rPr>
          <w:sz w:val="22"/>
          <w:szCs w:val="22"/>
        </w:rPr>
        <w:t xml:space="preserve"> (17%)</w:t>
      </w:r>
      <w:r w:rsidRPr="00A25C80">
        <w:rPr>
          <w:sz w:val="22"/>
          <w:szCs w:val="22"/>
        </w:rPr>
        <w:t xml:space="preserve"> as not requir</w:t>
      </w:r>
      <w:r w:rsidR="00514B29" w:rsidRPr="00A25C80">
        <w:rPr>
          <w:sz w:val="22"/>
          <w:szCs w:val="22"/>
        </w:rPr>
        <w:t>ing</w:t>
      </w:r>
      <w:r w:rsidRPr="00A25C80">
        <w:rPr>
          <w:sz w:val="22"/>
          <w:szCs w:val="22"/>
        </w:rPr>
        <w:t xml:space="preserve"> (immediate) action</w:t>
      </w:r>
      <w:r w:rsidR="001E63FE" w:rsidRPr="00A25C80">
        <w:rPr>
          <w:sz w:val="22"/>
          <w:szCs w:val="22"/>
        </w:rPr>
        <w:t xml:space="preserve"> (Figure 1)</w:t>
      </w:r>
      <w:r w:rsidRPr="00A25C80">
        <w:rPr>
          <w:sz w:val="22"/>
          <w:szCs w:val="22"/>
        </w:rPr>
        <w:t>.</w:t>
      </w:r>
      <w:r>
        <w:rPr>
          <w:sz w:val="22"/>
          <w:szCs w:val="22"/>
        </w:rPr>
        <w:t xml:space="preserve"> </w:t>
      </w:r>
    </w:p>
    <w:p w14:paraId="65953FEC" w14:textId="39212534" w:rsidR="006233CA" w:rsidRDefault="006233CA" w:rsidP="00114D93">
      <w:pPr>
        <w:spacing w:line="276" w:lineRule="auto"/>
        <w:jc w:val="both"/>
        <w:rPr>
          <w:sz w:val="22"/>
          <w:szCs w:val="22"/>
        </w:rPr>
      </w:pPr>
    </w:p>
    <w:p w14:paraId="479D0F23" w14:textId="77777777" w:rsidR="0071121F" w:rsidRDefault="0071121F" w:rsidP="00114D93">
      <w:pPr>
        <w:spacing w:line="276" w:lineRule="auto"/>
        <w:jc w:val="both"/>
        <w:rPr>
          <w:sz w:val="22"/>
          <w:szCs w:val="22"/>
        </w:rPr>
      </w:pPr>
    </w:p>
    <w:p w14:paraId="7175888D" w14:textId="77777777" w:rsidR="001E63FE" w:rsidRDefault="001E63FE" w:rsidP="001E63FE">
      <w:pPr>
        <w:spacing w:line="276" w:lineRule="auto"/>
        <w:jc w:val="center"/>
      </w:pPr>
      <w:r>
        <w:rPr>
          <w:noProof/>
          <w:lang w:val="en-GB" w:eastAsia="en-GB"/>
        </w:rPr>
        <w:drawing>
          <wp:inline distT="0" distB="0" distL="0" distR="0" wp14:anchorId="7D3777C0" wp14:editId="2D7A716A">
            <wp:extent cx="4572000" cy="1130300"/>
            <wp:effectExtent l="0" t="0" r="0" b="12700"/>
            <wp:docPr id="4" name="Chart 4">
              <a:extLst xmlns:a="http://schemas.openxmlformats.org/drawingml/2006/main">
                <a:ext uri="{FF2B5EF4-FFF2-40B4-BE49-F238E27FC236}">
                  <a16:creationId xmlns:a16="http://schemas.microsoft.com/office/drawing/2014/main" id="{CEA26B0B-6C81-404A-AFD9-E271BDDC7E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E63FE">
        <w:t xml:space="preserve"> </w:t>
      </w:r>
    </w:p>
    <w:p w14:paraId="75FF87A7" w14:textId="77777777" w:rsidR="00B65DF4" w:rsidRDefault="00B65DF4" w:rsidP="00A25C80">
      <w:pPr>
        <w:spacing w:line="276" w:lineRule="auto"/>
        <w:rPr>
          <w:i/>
          <w:iCs/>
          <w:sz w:val="22"/>
          <w:szCs w:val="22"/>
        </w:rPr>
      </w:pPr>
    </w:p>
    <w:p w14:paraId="3CCBE558" w14:textId="152F13D8" w:rsidR="001E63FE" w:rsidRPr="001E63FE" w:rsidRDefault="001E63FE" w:rsidP="00A25C80">
      <w:pPr>
        <w:spacing w:line="276" w:lineRule="auto"/>
        <w:rPr>
          <w:i/>
          <w:iCs/>
          <w:sz w:val="22"/>
          <w:szCs w:val="22"/>
        </w:rPr>
      </w:pPr>
      <w:r w:rsidRPr="00A25C80">
        <w:rPr>
          <w:i/>
          <w:iCs/>
          <w:sz w:val="22"/>
          <w:szCs w:val="22"/>
        </w:rPr>
        <w:t>Figure 1. Prioritisation of the 48 tasks in the TC Work Plan</w:t>
      </w:r>
      <w:r w:rsidR="000B4FCF">
        <w:rPr>
          <w:i/>
          <w:iCs/>
          <w:sz w:val="22"/>
          <w:szCs w:val="22"/>
        </w:rPr>
        <w:t xml:space="preserve"> 2023-2025</w:t>
      </w:r>
      <w:r w:rsidRPr="00A25C80">
        <w:rPr>
          <w:i/>
          <w:iCs/>
          <w:sz w:val="22"/>
          <w:szCs w:val="22"/>
        </w:rPr>
        <w:t>.</w:t>
      </w:r>
    </w:p>
    <w:p w14:paraId="75CAEFCA" w14:textId="3E8D515A" w:rsidR="00B65DF4" w:rsidRDefault="00B65DF4" w:rsidP="00114D93">
      <w:pPr>
        <w:spacing w:line="276" w:lineRule="auto"/>
        <w:jc w:val="both"/>
        <w:rPr>
          <w:sz w:val="22"/>
          <w:szCs w:val="22"/>
        </w:rPr>
      </w:pPr>
    </w:p>
    <w:p w14:paraId="4E76AEA1" w14:textId="77777777" w:rsidR="0071121F" w:rsidRDefault="0071121F" w:rsidP="00114D93">
      <w:pPr>
        <w:spacing w:line="276" w:lineRule="auto"/>
        <w:jc w:val="both"/>
        <w:rPr>
          <w:sz w:val="22"/>
          <w:szCs w:val="22"/>
        </w:rPr>
      </w:pPr>
    </w:p>
    <w:p w14:paraId="16B608C0" w14:textId="29BE2CFC" w:rsidR="006233CA" w:rsidRDefault="006233CA" w:rsidP="00114D93">
      <w:pPr>
        <w:spacing w:line="276" w:lineRule="auto"/>
        <w:jc w:val="both"/>
        <w:rPr>
          <w:sz w:val="22"/>
          <w:szCs w:val="22"/>
        </w:rPr>
      </w:pPr>
      <w:r w:rsidRPr="00453984">
        <w:rPr>
          <w:sz w:val="22"/>
          <w:szCs w:val="22"/>
        </w:rPr>
        <w:t xml:space="preserve">Of the tasks requiring </w:t>
      </w:r>
      <w:r w:rsidR="00514B29" w:rsidRPr="00453984">
        <w:rPr>
          <w:sz w:val="22"/>
          <w:szCs w:val="22"/>
        </w:rPr>
        <w:t xml:space="preserve">immediate </w:t>
      </w:r>
      <w:r w:rsidRPr="00453984">
        <w:rPr>
          <w:sz w:val="22"/>
          <w:szCs w:val="22"/>
        </w:rPr>
        <w:t xml:space="preserve">action by the Technical Committee (40 tasks), </w:t>
      </w:r>
      <w:r w:rsidR="004F104E">
        <w:rPr>
          <w:sz w:val="22"/>
          <w:szCs w:val="22"/>
        </w:rPr>
        <w:t>17</w:t>
      </w:r>
      <w:r w:rsidR="008074FD" w:rsidRPr="00B267C6">
        <w:rPr>
          <w:sz w:val="22"/>
          <w:szCs w:val="22"/>
        </w:rPr>
        <w:t xml:space="preserve"> </w:t>
      </w:r>
      <w:r w:rsidRPr="00B267C6">
        <w:rPr>
          <w:sz w:val="22"/>
          <w:szCs w:val="22"/>
        </w:rPr>
        <w:t xml:space="preserve">were fully implemented, while another </w:t>
      </w:r>
      <w:r w:rsidR="004F104E">
        <w:rPr>
          <w:sz w:val="22"/>
          <w:szCs w:val="22"/>
        </w:rPr>
        <w:t>nine</w:t>
      </w:r>
      <w:r w:rsidR="008074FD" w:rsidRPr="00B267C6">
        <w:rPr>
          <w:sz w:val="22"/>
          <w:szCs w:val="22"/>
        </w:rPr>
        <w:t xml:space="preserve"> </w:t>
      </w:r>
      <w:r w:rsidRPr="00B267C6">
        <w:rPr>
          <w:sz w:val="22"/>
          <w:szCs w:val="22"/>
        </w:rPr>
        <w:t xml:space="preserve">were only partially implemented and the remaining </w:t>
      </w:r>
      <w:r w:rsidR="004F104E">
        <w:rPr>
          <w:sz w:val="22"/>
          <w:szCs w:val="22"/>
        </w:rPr>
        <w:t>14</w:t>
      </w:r>
      <w:r w:rsidR="008074FD" w:rsidRPr="00B267C6">
        <w:rPr>
          <w:sz w:val="22"/>
          <w:szCs w:val="22"/>
        </w:rPr>
        <w:t xml:space="preserve"> </w:t>
      </w:r>
      <w:r w:rsidRPr="00B267C6">
        <w:rPr>
          <w:sz w:val="22"/>
          <w:szCs w:val="22"/>
        </w:rPr>
        <w:t>tasks were not implemented</w:t>
      </w:r>
      <w:r w:rsidR="00A07708">
        <w:rPr>
          <w:sz w:val="22"/>
          <w:szCs w:val="22"/>
        </w:rPr>
        <w:t xml:space="preserve"> (Figure </w:t>
      </w:r>
      <w:r w:rsidR="001E63FE">
        <w:rPr>
          <w:sz w:val="22"/>
          <w:szCs w:val="22"/>
        </w:rPr>
        <w:t>2</w:t>
      </w:r>
      <w:r w:rsidR="00A07708">
        <w:rPr>
          <w:sz w:val="22"/>
          <w:szCs w:val="22"/>
        </w:rPr>
        <w:t>)</w:t>
      </w:r>
      <w:r w:rsidRPr="00453984">
        <w:rPr>
          <w:sz w:val="22"/>
          <w:szCs w:val="22"/>
        </w:rPr>
        <w:t>.</w:t>
      </w:r>
    </w:p>
    <w:p w14:paraId="276F1CD8" w14:textId="76A9F740" w:rsidR="00A07708" w:rsidRDefault="00A07708" w:rsidP="00114D93">
      <w:pPr>
        <w:spacing w:line="276" w:lineRule="auto"/>
        <w:jc w:val="both"/>
        <w:rPr>
          <w:sz w:val="22"/>
          <w:szCs w:val="22"/>
        </w:rPr>
      </w:pPr>
    </w:p>
    <w:p w14:paraId="717F3BAC" w14:textId="77777777" w:rsidR="0071121F" w:rsidRDefault="0071121F" w:rsidP="00114D93">
      <w:pPr>
        <w:spacing w:line="276" w:lineRule="auto"/>
        <w:jc w:val="both"/>
        <w:rPr>
          <w:sz w:val="22"/>
          <w:szCs w:val="22"/>
        </w:rPr>
      </w:pPr>
    </w:p>
    <w:p w14:paraId="0FC25EC6" w14:textId="6397C20E" w:rsidR="00A07708" w:rsidRDefault="00A07708" w:rsidP="00A07708">
      <w:pPr>
        <w:spacing w:line="276" w:lineRule="auto"/>
        <w:jc w:val="center"/>
        <w:rPr>
          <w:sz w:val="22"/>
          <w:szCs w:val="22"/>
        </w:rPr>
      </w:pPr>
      <w:r>
        <w:rPr>
          <w:noProof/>
          <w:lang w:val="en-GB" w:eastAsia="en-GB"/>
        </w:rPr>
        <w:drawing>
          <wp:inline distT="0" distB="0" distL="0" distR="0" wp14:anchorId="4FFC735E" wp14:editId="781F858B">
            <wp:extent cx="4572000" cy="2743200"/>
            <wp:effectExtent l="0" t="0" r="0" b="0"/>
            <wp:docPr id="2" name="Chart 2">
              <a:extLst xmlns:a="http://schemas.openxmlformats.org/drawingml/2006/main">
                <a:ext uri="{FF2B5EF4-FFF2-40B4-BE49-F238E27FC236}">
                  <a16:creationId xmlns:a16="http://schemas.microsoft.com/office/drawing/2014/main" id="{EA8F8214-72B1-41AB-A72C-4BEF89C1F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29CB5A" w14:textId="77777777" w:rsidR="00A25C80" w:rsidRDefault="00A25C80" w:rsidP="00114D93">
      <w:pPr>
        <w:spacing w:line="276" w:lineRule="auto"/>
        <w:jc w:val="both"/>
        <w:rPr>
          <w:i/>
          <w:iCs/>
          <w:sz w:val="22"/>
          <w:szCs w:val="22"/>
        </w:rPr>
      </w:pPr>
      <w:bookmarkStart w:id="1" w:name="_Hlk77870651"/>
    </w:p>
    <w:p w14:paraId="5281121C" w14:textId="4A25E849" w:rsidR="00A07708" w:rsidRPr="00A07708" w:rsidRDefault="00A07708" w:rsidP="00114D93">
      <w:pPr>
        <w:spacing w:line="276" w:lineRule="auto"/>
        <w:jc w:val="both"/>
        <w:rPr>
          <w:i/>
          <w:iCs/>
          <w:sz w:val="22"/>
          <w:szCs w:val="22"/>
        </w:rPr>
      </w:pPr>
      <w:r w:rsidRPr="00B267C6">
        <w:rPr>
          <w:i/>
          <w:iCs/>
          <w:sz w:val="22"/>
          <w:szCs w:val="22"/>
        </w:rPr>
        <w:t xml:space="preserve">Figure </w:t>
      </w:r>
      <w:r w:rsidR="001E63FE" w:rsidRPr="00B267C6">
        <w:rPr>
          <w:i/>
          <w:iCs/>
          <w:sz w:val="22"/>
          <w:szCs w:val="22"/>
        </w:rPr>
        <w:t>2</w:t>
      </w:r>
      <w:r w:rsidRPr="00B267C6">
        <w:rPr>
          <w:i/>
          <w:iCs/>
          <w:sz w:val="22"/>
          <w:szCs w:val="22"/>
        </w:rPr>
        <w:t>. Status of implementation of the 40 tasks in the TC Work Plan</w:t>
      </w:r>
      <w:r w:rsidR="000B4FCF">
        <w:rPr>
          <w:i/>
          <w:iCs/>
          <w:sz w:val="22"/>
          <w:szCs w:val="22"/>
        </w:rPr>
        <w:t xml:space="preserve"> 2023-2025</w:t>
      </w:r>
      <w:r w:rsidRPr="00B267C6">
        <w:rPr>
          <w:i/>
          <w:iCs/>
          <w:sz w:val="22"/>
          <w:szCs w:val="22"/>
        </w:rPr>
        <w:t xml:space="preserve"> requiring immediate action.</w:t>
      </w:r>
    </w:p>
    <w:bookmarkEnd w:id="1"/>
    <w:p w14:paraId="789EF7A3" w14:textId="0192B772" w:rsidR="00A07708" w:rsidRDefault="00A07708" w:rsidP="00114D93">
      <w:pPr>
        <w:spacing w:line="276" w:lineRule="auto"/>
        <w:jc w:val="both"/>
        <w:rPr>
          <w:sz w:val="22"/>
          <w:szCs w:val="22"/>
        </w:rPr>
      </w:pPr>
    </w:p>
    <w:p w14:paraId="749441B7" w14:textId="77777777" w:rsidR="0071121F" w:rsidRDefault="0071121F" w:rsidP="00114D93">
      <w:pPr>
        <w:spacing w:line="276" w:lineRule="auto"/>
        <w:jc w:val="both"/>
        <w:rPr>
          <w:sz w:val="22"/>
          <w:szCs w:val="22"/>
        </w:rPr>
      </w:pPr>
    </w:p>
    <w:p w14:paraId="5FCEF6FF" w14:textId="6DF30590" w:rsidR="006233CA" w:rsidRPr="00453984" w:rsidRDefault="006233CA" w:rsidP="00114D93">
      <w:pPr>
        <w:spacing w:line="276" w:lineRule="auto"/>
        <w:jc w:val="both"/>
        <w:rPr>
          <w:sz w:val="22"/>
          <w:szCs w:val="22"/>
        </w:rPr>
      </w:pPr>
      <w:r w:rsidRPr="00453984">
        <w:rPr>
          <w:sz w:val="22"/>
          <w:szCs w:val="22"/>
        </w:rPr>
        <w:t xml:space="preserve">For the different levels of priority, the status of implementation is as </w:t>
      </w:r>
      <w:r w:rsidR="007009C2">
        <w:rPr>
          <w:sz w:val="22"/>
          <w:szCs w:val="22"/>
        </w:rPr>
        <w:t xml:space="preserve">presented in Figure </w:t>
      </w:r>
      <w:r w:rsidR="001E63FE">
        <w:rPr>
          <w:sz w:val="22"/>
          <w:szCs w:val="22"/>
        </w:rPr>
        <w:t>3</w:t>
      </w:r>
      <w:r w:rsidR="007009C2">
        <w:rPr>
          <w:sz w:val="22"/>
          <w:szCs w:val="22"/>
        </w:rPr>
        <w:t>.</w:t>
      </w:r>
    </w:p>
    <w:p w14:paraId="4A72B7AE" w14:textId="0E8223C3" w:rsidR="00114D93" w:rsidRDefault="00114D93" w:rsidP="009D5FB8">
      <w:pPr>
        <w:spacing w:line="276" w:lineRule="auto"/>
        <w:jc w:val="both"/>
        <w:rPr>
          <w:sz w:val="22"/>
          <w:szCs w:val="22"/>
          <w:lang w:val="en-GB"/>
        </w:rPr>
      </w:pPr>
    </w:p>
    <w:p w14:paraId="4C4B5899" w14:textId="0318E566" w:rsidR="0071121F" w:rsidRPr="00860CD7" w:rsidRDefault="0071121F" w:rsidP="0071121F">
      <w:pPr>
        <w:spacing w:line="276" w:lineRule="auto"/>
        <w:jc w:val="both"/>
        <w:rPr>
          <w:sz w:val="22"/>
          <w:szCs w:val="22"/>
          <w:lang w:val="en-GB"/>
        </w:rPr>
      </w:pPr>
      <w:r w:rsidRPr="00824857">
        <w:rPr>
          <w:sz w:val="22"/>
          <w:szCs w:val="22"/>
          <w:lang w:val="en-GB"/>
        </w:rPr>
        <w:t xml:space="preserve">As </w:t>
      </w:r>
      <w:r w:rsidR="000B4FCF">
        <w:rPr>
          <w:sz w:val="22"/>
          <w:szCs w:val="22"/>
          <w:lang w:val="en-GB"/>
        </w:rPr>
        <w:t xml:space="preserve">a </w:t>
      </w:r>
      <w:r w:rsidRPr="00824857">
        <w:rPr>
          <w:sz w:val="22"/>
          <w:szCs w:val="22"/>
          <w:lang w:val="en-GB"/>
        </w:rPr>
        <w:t xml:space="preserve">result of </w:t>
      </w:r>
      <w:r w:rsidR="00824857" w:rsidRPr="00824857">
        <w:rPr>
          <w:sz w:val="22"/>
          <w:szCs w:val="22"/>
          <w:lang w:val="en-GB"/>
        </w:rPr>
        <w:t xml:space="preserve">its </w:t>
      </w:r>
      <w:r w:rsidRPr="00824857">
        <w:rPr>
          <w:sz w:val="22"/>
          <w:szCs w:val="22"/>
          <w:lang w:val="en-GB"/>
        </w:rPr>
        <w:t xml:space="preserve">work, the Committee has </w:t>
      </w:r>
      <w:r w:rsidR="00824857" w:rsidRPr="00824857">
        <w:rPr>
          <w:sz w:val="22"/>
          <w:szCs w:val="22"/>
          <w:lang w:val="en-GB"/>
        </w:rPr>
        <w:t xml:space="preserve">compiled two Draft Resolutions and provided input to five Draft </w:t>
      </w:r>
      <w:r w:rsidRPr="00824857">
        <w:rPr>
          <w:sz w:val="22"/>
          <w:szCs w:val="22"/>
          <w:lang w:val="en-GB"/>
        </w:rPr>
        <w:t>Resolutions</w:t>
      </w:r>
      <w:r w:rsidR="00824857" w:rsidRPr="00824857">
        <w:rPr>
          <w:sz w:val="22"/>
          <w:szCs w:val="22"/>
          <w:lang w:val="en-GB"/>
        </w:rPr>
        <w:t xml:space="preserve"> compiled by the Secretariat</w:t>
      </w:r>
      <w:r w:rsidRPr="00824857">
        <w:rPr>
          <w:sz w:val="22"/>
          <w:szCs w:val="22"/>
          <w:lang w:val="en-GB"/>
        </w:rPr>
        <w:t xml:space="preserve"> (</w:t>
      </w:r>
      <w:r w:rsidR="00824857" w:rsidRPr="00824857">
        <w:rPr>
          <w:sz w:val="22"/>
          <w:szCs w:val="22"/>
          <w:lang w:val="en-GB"/>
        </w:rPr>
        <w:t>58</w:t>
      </w:r>
      <w:r w:rsidRPr="00824857">
        <w:rPr>
          <w:sz w:val="22"/>
          <w:szCs w:val="22"/>
          <w:lang w:val="en-GB"/>
        </w:rPr>
        <w:t>% of all Draft Resolutions) to be submi</w:t>
      </w:r>
      <w:r w:rsidR="00824857" w:rsidRPr="00824857">
        <w:rPr>
          <w:sz w:val="22"/>
          <w:szCs w:val="22"/>
          <w:lang w:val="en-GB"/>
        </w:rPr>
        <w:t>tted</w:t>
      </w:r>
      <w:r w:rsidRPr="00824857">
        <w:rPr>
          <w:sz w:val="22"/>
          <w:szCs w:val="22"/>
          <w:lang w:val="en-GB"/>
        </w:rPr>
        <w:t xml:space="preserve"> to MOP</w:t>
      </w:r>
      <w:r w:rsidR="00824857" w:rsidRPr="00824857">
        <w:rPr>
          <w:sz w:val="22"/>
          <w:szCs w:val="22"/>
          <w:lang w:val="en-GB"/>
        </w:rPr>
        <w:t>9</w:t>
      </w:r>
      <w:r w:rsidRPr="00824857">
        <w:rPr>
          <w:sz w:val="22"/>
          <w:szCs w:val="22"/>
          <w:lang w:val="en-GB"/>
        </w:rPr>
        <w:t xml:space="preserve"> through the Standing Committee. </w:t>
      </w:r>
      <w:r w:rsidR="00824857">
        <w:rPr>
          <w:sz w:val="22"/>
          <w:szCs w:val="22"/>
          <w:lang w:val="en-GB"/>
        </w:rPr>
        <w:t xml:space="preserve">Twelve </w:t>
      </w:r>
      <w:r w:rsidRPr="00824857">
        <w:rPr>
          <w:sz w:val="22"/>
          <w:szCs w:val="22"/>
          <w:lang w:val="en-GB"/>
        </w:rPr>
        <w:t>MOP</w:t>
      </w:r>
      <w:r w:rsidR="00824857" w:rsidRPr="00824857">
        <w:rPr>
          <w:sz w:val="22"/>
          <w:szCs w:val="22"/>
          <w:lang w:val="en-GB"/>
        </w:rPr>
        <w:t>9</w:t>
      </w:r>
      <w:r w:rsidRPr="00824857">
        <w:rPr>
          <w:sz w:val="22"/>
          <w:szCs w:val="22"/>
          <w:lang w:val="en-GB"/>
        </w:rPr>
        <w:t xml:space="preserve"> meeting documents (</w:t>
      </w:r>
      <w:r w:rsidR="00824857" w:rsidRPr="00824857">
        <w:rPr>
          <w:sz w:val="22"/>
          <w:szCs w:val="22"/>
          <w:lang w:val="en-GB"/>
        </w:rPr>
        <w:t>4</w:t>
      </w:r>
      <w:r w:rsidR="00824857">
        <w:rPr>
          <w:sz w:val="22"/>
          <w:szCs w:val="22"/>
          <w:lang w:val="en-GB"/>
        </w:rPr>
        <w:t>1</w:t>
      </w:r>
      <w:r w:rsidRPr="00824857">
        <w:rPr>
          <w:sz w:val="22"/>
          <w:szCs w:val="22"/>
          <w:lang w:val="en-GB"/>
        </w:rPr>
        <w:t xml:space="preserve">% of all MOP meeting documents) and </w:t>
      </w:r>
      <w:r w:rsidR="00824857" w:rsidRPr="00824857">
        <w:rPr>
          <w:sz w:val="22"/>
          <w:szCs w:val="22"/>
          <w:lang w:val="en-GB"/>
        </w:rPr>
        <w:t xml:space="preserve">two </w:t>
      </w:r>
      <w:r w:rsidRPr="00824857">
        <w:rPr>
          <w:sz w:val="22"/>
          <w:szCs w:val="22"/>
          <w:lang w:val="en-GB"/>
        </w:rPr>
        <w:t>information documents (</w:t>
      </w:r>
      <w:r w:rsidR="00824857" w:rsidRPr="00824857">
        <w:rPr>
          <w:sz w:val="22"/>
          <w:szCs w:val="22"/>
          <w:lang w:val="en-GB"/>
        </w:rPr>
        <w:t>1</w:t>
      </w:r>
      <w:r w:rsidRPr="00824857">
        <w:rPr>
          <w:sz w:val="22"/>
          <w:szCs w:val="22"/>
          <w:lang w:val="en-GB"/>
        </w:rPr>
        <w:t>7% of all MOP</w:t>
      </w:r>
      <w:r w:rsidR="00824857" w:rsidRPr="00824857">
        <w:rPr>
          <w:sz w:val="22"/>
          <w:szCs w:val="22"/>
          <w:lang w:val="en-GB"/>
        </w:rPr>
        <w:t>9</w:t>
      </w:r>
      <w:r w:rsidRPr="00824857">
        <w:rPr>
          <w:sz w:val="22"/>
          <w:szCs w:val="22"/>
          <w:lang w:val="en-GB"/>
        </w:rPr>
        <w:t xml:space="preserve"> information documents) were drafted by the TC or prepared with the close involvement of the Committee.</w:t>
      </w:r>
    </w:p>
    <w:p w14:paraId="31A29D2C" w14:textId="77777777" w:rsidR="0034162F" w:rsidRDefault="0034162F" w:rsidP="009D5FB8">
      <w:pPr>
        <w:spacing w:line="276" w:lineRule="auto"/>
        <w:jc w:val="both"/>
        <w:rPr>
          <w:sz w:val="22"/>
          <w:szCs w:val="22"/>
          <w:lang w:val="en-GB"/>
        </w:rPr>
      </w:pPr>
    </w:p>
    <w:p w14:paraId="4AD3DD58" w14:textId="6276379A" w:rsidR="007009C2" w:rsidRDefault="007009C2" w:rsidP="007009C2">
      <w:pPr>
        <w:spacing w:line="276" w:lineRule="auto"/>
        <w:jc w:val="center"/>
        <w:rPr>
          <w:sz w:val="22"/>
          <w:szCs w:val="22"/>
          <w:lang w:val="en-GB"/>
        </w:rPr>
      </w:pPr>
      <w:r>
        <w:rPr>
          <w:noProof/>
          <w:lang w:val="en-GB" w:eastAsia="en-GB"/>
        </w:rPr>
        <w:drawing>
          <wp:inline distT="0" distB="0" distL="0" distR="0" wp14:anchorId="6C3FEC3B" wp14:editId="579246D0">
            <wp:extent cx="4572000" cy="2743200"/>
            <wp:effectExtent l="0" t="0" r="0" b="0"/>
            <wp:docPr id="3" name="Chart 3">
              <a:extLst xmlns:a="http://schemas.openxmlformats.org/drawingml/2006/main">
                <a:ext uri="{FF2B5EF4-FFF2-40B4-BE49-F238E27FC236}">
                  <a16:creationId xmlns:a16="http://schemas.microsoft.com/office/drawing/2014/main" id="{676E51EA-BDA6-4031-9E31-43868E03A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9E5DFE" w14:textId="77777777" w:rsidR="00A25C80" w:rsidRDefault="00A25C80" w:rsidP="007009C2">
      <w:pPr>
        <w:spacing w:line="276" w:lineRule="auto"/>
        <w:jc w:val="both"/>
        <w:rPr>
          <w:i/>
          <w:iCs/>
          <w:sz w:val="22"/>
          <w:szCs w:val="22"/>
        </w:rPr>
      </w:pPr>
    </w:p>
    <w:p w14:paraId="633F27CF" w14:textId="7AB9E775" w:rsidR="007009C2" w:rsidRPr="00A07708" w:rsidRDefault="007009C2" w:rsidP="007009C2">
      <w:pPr>
        <w:spacing w:line="276" w:lineRule="auto"/>
        <w:jc w:val="both"/>
        <w:rPr>
          <w:i/>
          <w:iCs/>
          <w:sz w:val="22"/>
          <w:szCs w:val="22"/>
        </w:rPr>
      </w:pPr>
      <w:r w:rsidRPr="00B267C6">
        <w:rPr>
          <w:i/>
          <w:iCs/>
          <w:sz w:val="22"/>
          <w:szCs w:val="22"/>
        </w:rPr>
        <w:t xml:space="preserve">Figure </w:t>
      </w:r>
      <w:r w:rsidR="001E63FE" w:rsidRPr="00B267C6">
        <w:rPr>
          <w:i/>
          <w:iCs/>
          <w:sz w:val="22"/>
          <w:szCs w:val="22"/>
        </w:rPr>
        <w:t>3</w:t>
      </w:r>
      <w:r w:rsidRPr="00B267C6">
        <w:rPr>
          <w:i/>
          <w:iCs/>
          <w:sz w:val="22"/>
          <w:szCs w:val="22"/>
        </w:rPr>
        <w:t xml:space="preserve">. Status of implementation of the 40 tasks in the TC Work Plan </w:t>
      </w:r>
      <w:r w:rsidR="000B4FCF">
        <w:rPr>
          <w:i/>
          <w:iCs/>
          <w:sz w:val="22"/>
          <w:szCs w:val="22"/>
        </w:rPr>
        <w:t xml:space="preserve">2023-2025 </w:t>
      </w:r>
      <w:r w:rsidRPr="00B267C6">
        <w:rPr>
          <w:i/>
          <w:iCs/>
          <w:sz w:val="22"/>
          <w:szCs w:val="22"/>
        </w:rPr>
        <w:t>requiring immediate action per level of priority.</w:t>
      </w:r>
    </w:p>
    <w:p w14:paraId="13236EEE" w14:textId="5163495F" w:rsidR="008E1311" w:rsidRDefault="008E1311" w:rsidP="009D5FB8">
      <w:pPr>
        <w:spacing w:line="276" w:lineRule="auto"/>
        <w:jc w:val="both"/>
        <w:rPr>
          <w:sz w:val="22"/>
          <w:szCs w:val="22"/>
          <w:lang w:val="en-GB"/>
        </w:rPr>
      </w:pPr>
    </w:p>
    <w:p w14:paraId="6902A218" w14:textId="77777777" w:rsidR="008E1311" w:rsidRPr="00860CD7" w:rsidRDefault="008E1311" w:rsidP="009D5FB8">
      <w:pPr>
        <w:spacing w:line="276" w:lineRule="auto"/>
        <w:jc w:val="both"/>
        <w:rPr>
          <w:sz w:val="22"/>
          <w:szCs w:val="22"/>
          <w:lang w:val="en-GB"/>
        </w:rPr>
      </w:pPr>
    </w:p>
    <w:p w14:paraId="39630A09" w14:textId="2D538EEE" w:rsidR="002141D8" w:rsidRPr="00184235" w:rsidRDefault="002141D8" w:rsidP="009D5FB8">
      <w:pPr>
        <w:spacing w:line="276" w:lineRule="auto"/>
        <w:jc w:val="both"/>
        <w:rPr>
          <w:sz w:val="22"/>
          <w:szCs w:val="22"/>
          <w:lang w:val="en-GB"/>
        </w:rPr>
      </w:pPr>
      <w:r w:rsidRPr="00184235">
        <w:rPr>
          <w:sz w:val="22"/>
          <w:szCs w:val="22"/>
          <w:lang w:val="en-GB"/>
        </w:rPr>
        <w:t>The following key tasks were carried out by the TC in 20</w:t>
      </w:r>
      <w:r w:rsidR="00D159DC" w:rsidRPr="00184235">
        <w:rPr>
          <w:sz w:val="22"/>
          <w:szCs w:val="22"/>
          <w:lang w:val="en-GB"/>
        </w:rPr>
        <w:t>23-</w:t>
      </w:r>
      <w:r w:rsidRPr="00184235">
        <w:rPr>
          <w:sz w:val="22"/>
          <w:szCs w:val="22"/>
          <w:lang w:val="en-GB"/>
        </w:rPr>
        <w:t>20</w:t>
      </w:r>
      <w:r w:rsidR="004344BF" w:rsidRPr="00184235">
        <w:rPr>
          <w:sz w:val="22"/>
          <w:szCs w:val="22"/>
          <w:lang w:val="en-GB"/>
        </w:rPr>
        <w:t>2</w:t>
      </w:r>
      <w:r w:rsidR="00D159DC" w:rsidRPr="00184235">
        <w:rPr>
          <w:sz w:val="22"/>
          <w:szCs w:val="22"/>
          <w:lang w:val="en-GB"/>
        </w:rPr>
        <w:t>5</w:t>
      </w:r>
      <w:r w:rsidRPr="00184235">
        <w:rPr>
          <w:sz w:val="22"/>
          <w:szCs w:val="22"/>
          <w:lang w:val="en-GB"/>
        </w:rPr>
        <w:t>:</w:t>
      </w:r>
    </w:p>
    <w:p w14:paraId="2784DFFA" w14:textId="77777777" w:rsidR="007A4D70" w:rsidRPr="00860CD7" w:rsidRDefault="007A4D70" w:rsidP="009D5FB8">
      <w:pPr>
        <w:spacing w:line="276" w:lineRule="auto"/>
        <w:jc w:val="both"/>
        <w:rPr>
          <w:sz w:val="22"/>
          <w:szCs w:val="22"/>
          <w:u w:val="single"/>
          <w:lang w:val="en-GB"/>
        </w:rPr>
      </w:pPr>
    </w:p>
    <w:p w14:paraId="2F913218" w14:textId="041C20C8" w:rsidR="002141D8" w:rsidRPr="004344BF" w:rsidRDefault="002141D8" w:rsidP="004344BF">
      <w:pPr>
        <w:pStyle w:val="ListParagraph"/>
        <w:numPr>
          <w:ilvl w:val="0"/>
          <w:numId w:val="32"/>
        </w:numPr>
        <w:spacing w:line="276" w:lineRule="auto"/>
        <w:jc w:val="both"/>
        <w:rPr>
          <w:sz w:val="22"/>
          <w:szCs w:val="22"/>
        </w:rPr>
      </w:pPr>
      <w:r w:rsidRPr="004344BF">
        <w:rPr>
          <w:sz w:val="22"/>
          <w:szCs w:val="22"/>
        </w:rPr>
        <w:t>Review</w:t>
      </w:r>
      <w:r w:rsidR="00CA1E3A" w:rsidRPr="004344BF">
        <w:rPr>
          <w:sz w:val="22"/>
          <w:szCs w:val="22"/>
        </w:rPr>
        <w:t xml:space="preserve"> </w:t>
      </w:r>
      <w:r w:rsidRPr="004344BF">
        <w:rPr>
          <w:sz w:val="22"/>
          <w:szCs w:val="22"/>
        </w:rPr>
        <w:t xml:space="preserve">of delineation of boundaries </w:t>
      </w:r>
      <w:r w:rsidR="000B4FCF">
        <w:rPr>
          <w:sz w:val="22"/>
          <w:szCs w:val="22"/>
        </w:rPr>
        <w:t xml:space="preserve">populations of </w:t>
      </w:r>
      <w:r w:rsidR="00D159DC">
        <w:rPr>
          <w:sz w:val="22"/>
          <w:szCs w:val="22"/>
        </w:rPr>
        <w:t xml:space="preserve">27 </w:t>
      </w:r>
      <w:r w:rsidRPr="004344BF">
        <w:rPr>
          <w:sz w:val="22"/>
          <w:szCs w:val="22"/>
        </w:rPr>
        <w:t>species</w:t>
      </w:r>
      <w:r w:rsidR="00302920" w:rsidRPr="004344BF">
        <w:rPr>
          <w:sz w:val="22"/>
          <w:szCs w:val="22"/>
        </w:rPr>
        <w:t xml:space="preserve">. The recommended delineations were approved by the Standing Committee </w:t>
      </w:r>
      <w:r w:rsidR="00577078">
        <w:rPr>
          <w:sz w:val="22"/>
          <w:szCs w:val="22"/>
        </w:rPr>
        <w:t>at its 23</w:t>
      </w:r>
      <w:r w:rsidR="00577078" w:rsidRPr="00577078">
        <w:rPr>
          <w:sz w:val="22"/>
          <w:szCs w:val="22"/>
          <w:vertAlign w:val="superscript"/>
        </w:rPr>
        <w:t>rd</w:t>
      </w:r>
      <w:r w:rsidR="00577078">
        <w:rPr>
          <w:sz w:val="22"/>
          <w:szCs w:val="22"/>
        </w:rPr>
        <w:t xml:space="preserve"> and 24</w:t>
      </w:r>
      <w:r w:rsidR="00577078" w:rsidRPr="00577078">
        <w:rPr>
          <w:sz w:val="22"/>
          <w:szCs w:val="22"/>
          <w:vertAlign w:val="superscript"/>
        </w:rPr>
        <w:t>th</w:t>
      </w:r>
      <w:r w:rsidR="00577078">
        <w:rPr>
          <w:sz w:val="22"/>
          <w:szCs w:val="22"/>
        </w:rPr>
        <w:t xml:space="preserve"> meetings </w:t>
      </w:r>
      <w:r w:rsidR="00302920" w:rsidRPr="004344BF">
        <w:rPr>
          <w:sz w:val="22"/>
          <w:szCs w:val="22"/>
        </w:rPr>
        <w:t xml:space="preserve">and </w:t>
      </w:r>
      <w:r w:rsidR="00577078">
        <w:rPr>
          <w:sz w:val="22"/>
          <w:szCs w:val="22"/>
        </w:rPr>
        <w:t xml:space="preserve">were subsequently </w:t>
      </w:r>
      <w:r w:rsidR="00302920" w:rsidRPr="004344BF">
        <w:rPr>
          <w:sz w:val="22"/>
          <w:szCs w:val="22"/>
        </w:rPr>
        <w:t xml:space="preserve">used </w:t>
      </w:r>
      <w:r w:rsidR="00577078" w:rsidRPr="00577078">
        <w:rPr>
          <w:sz w:val="22"/>
          <w:szCs w:val="22"/>
        </w:rPr>
        <w:t>in the population status assessment as part of the development process for the 9</w:t>
      </w:r>
      <w:r w:rsidR="00577078" w:rsidRPr="003E218D">
        <w:rPr>
          <w:sz w:val="22"/>
          <w:szCs w:val="22"/>
          <w:vertAlign w:val="superscript"/>
        </w:rPr>
        <w:t>th</w:t>
      </w:r>
      <w:r w:rsidR="003E218D">
        <w:rPr>
          <w:sz w:val="22"/>
          <w:szCs w:val="22"/>
        </w:rPr>
        <w:t xml:space="preserve"> </w:t>
      </w:r>
      <w:r w:rsidR="00577078" w:rsidRPr="00577078">
        <w:rPr>
          <w:sz w:val="22"/>
          <w:szCs w:val="22"/>
        </w:rPr>
        <w:t>edition of the AEWA Conservation Status Report (CSR9)</w:t>
      </w:r>
      <w:r w:rsidRPr="004344BF">
        <w:rPr>
          <w:sz w:val="22"/>
          <w:szCs w:val="22"/>
        </w:rPr>
        <w:t>;</w:t>
      </w:r>
    </w:p>
    <w:p w14:paraId="16EFFB46" w14:textId="1606662F" w:rsidR="004344BF" w:rsidRPr="004344BF" w:rsidRDefault="008D59F1" w:rsidP="004344BF">
      <w:pPr>
        <w:pStyle w:val="ListParagraph"/>
        <w:numPr>
          <w:ilvl w:val="0"/>
          <w:numId w:val="32"/>
        </w:numPr>
        <w:spacing w:line="276" w:lineRule="auto"/>
        <w:jc w:val="both"/>
        <w:rPr>
          <w:sz w:val="22"/>
          <w:szCs w:val="22"/>
        </w:rPr>
      </w:pPr>
      <w:r w:rsidRPr="004344BF">
        <w:rPr>
          <w:sz w:val="22"/>
          <w:szCs w:val="22"/>
        </w:rPr>
        <w:t>Guid</w:t>
      </w:r>
      <w:r w:rsidR="00302920" w:rsidRPr="004344BF">
        <w:rPr>
          <w:sz w:val="22"/>
          <w:szCs w:val="22"/>
        </w:rPr>
        <w:t>e</w:t>
      </w:r>
      <w:r w:rsidRPr="004344BF">
        <w:rPr>
          <w:sz w:val="22"/>
          <w:szCs w:val="22"/>
        </w:rPr>
        <w:t xml:space="preserve"> the preparation of </w:t>
      </w:r>
      <w:r w:rsidR="00302920" w:rsidRPr="004344BF">
        <w:rPr>
          <w:sz w:val="22"/>
          <w:szCs w:val="22"/>
        </w:rPr>
        <w:t xml:space="preserve">the </w:t>
      </w:r>
      <w:r w:rsidR="00577078">
        <w:rPr>
          <w:sz w:val="22"/>
          <w:szCs w:val="22"/>
        </w:rPr>
        <w:t>9</w:t>
      </w:r>
      <w:r w:rsidR="00302920" w:rsidRPr="004344BF">
        <w:rPr>
          <w:sz w:val="22"/>
          <w:szCs w:val="22"/>
          <w:vertAlign w:val="superscript"/>
        </w:rPr>
        <w:t>th</w:t>
      </w:r>
      <w:r w:rsidR="00302920" w:rsidRPr="004344BF">
        <w:rPr>
          <w:sz w:val="22"/>
          <w:szCs w:val="22"/>
        </w:rPr>
        <w:t xml:space="preserve"> edition of the </w:t>
      </w:r>
      <w:r w:rsidRPr="004344BF">
        <w:rPr>
          <w:sz w:val="22"/>
          <w:szCs w:val="22"/>
        </w:rPr>
        <w:t xml:space="preserve">Conservation Status Review </w:t>
      </w:r>
      <w:r w:rsidR="00302920" w:rsidRPr="004344BF">
        <w:rPr>
          <w:sz w:val="22"/>
          <w:szCs w:val="22"/>
        </w:rPr>
        <w:t>(CSR</w:t>
      </w:r>
      <w:r w:rsidR="00577078">
        <w:rPr>
          <w:sz w:val="22"/>
          <w:szCs w:val="22"/>
        </w:rPr>
        <w:t>9</w:t>
      </w:r>
      <w:r w:rsidR="00302920" w:rsidRPr="004344BF">
        <w:rPr>
          <w:sz w:val="22"/>
          <w:szCs w:val="22"/>
        </w:rPr>
        <w:t>)</w:t>
      </w:r>
      <w:r w:rsidRPr="004344BF">
        <w:rPr>
          <w:sz w:val="22"/>
          <w:szCs w:val="22"/>
        </w:rPr>
        <w:t>;</w:t>
      </w:r>
    </w:p>
    <w:p w14:paraId="66AC2AAD" w14:textId="6EDE682B" w:rsidR="004344BF" w:rsidRDefault="004344BF" w:rsidP="004344BF">
      <w:pPr>
        <w:pStyle w:val="ListParagraph"/>
        <w:numPr>
          <w:ilvl w:val="0"/>
          <w:numId w:val="32"/>
        </w:numPr>
        <w:spacing w:line="276" w:lineRule="auto"/>
        <w:jc w:val="both"/>
        <w:rPr>
          <w:sz w:val="22"/>
          <w:szCs w:val="22"/>
        </w:rPr>
      </w:pPr>
      <w:r w:rsidRPr="004344BF">
        <w:rPr>
          <w:sz w:val="22"/>
          <w:szCs w:val="22"/>
        </w:rPr>
        <w:t xml:space="preserve">Prepare </w:t>
      </w:r>
      <w:r w:rsidR="004F34E8">
        <w:rPr>
          <w:sz w:val="22"/>
          <w:szCs w:val="22"/>
        </w:rPr>
        <w:t xml:space="preserve">a </w:t>
      </w:r>
      <w:r w:rsidRPr="004344BF">
        <w:rPr>
          <w:sz w:val="22"/>
          <w:szCs w:val="22"/>
        </w:rPr>
        <w:t xml:space="preserve">proposal for revision of Table 1 in Annex 3 </w:t>
      </w:r>
      <w:r>
        <w:rPr>
          <w:sz w:val="22"/>
          <w:szCs w:val="22"/>
        </w:rPr>
        <w:t xml:space="preserve">to the Agreement </w:t>
      </w:r>
      <w:r w:rsidRPr="004344BF">
        <w:rPr>
          <w:sz w:val="22"/>
          <w:szCs w:val="22"/>
        </w:rPr>
        <w:t>for submission to MOP</w:t>
      </w:r>
      <w:r w:rsidR="00577078">
        <w:rPr>
          <w:sz w:val="22"/>
          <w:szCs w:val="22"/>
        </w:rPr>
        <w:t>9</w:t>
      </w:r>
      <w:r>
        <w:rPr>
          <w:sz w:val="22"/>
          <w:szCs w:val="22"/>
        </w:rPr>
        <w:t>;</w:t>
      </w:r>
    </w:p>
    <w:p w14:paraId="5AEAB3C9" w14:textId="462238E0" w:rsidR="00335829" w:rsidRDefault="00335829" w:rsidP="004344BF">
      <w:pPr>
        <w:pStyle w:val="ListParagraph"/>
        <w:numPr>
          <w:ilvl w:val="0"/>
          <w:numId w:val="32"/>
        </w:numPr>
        <w:spacing w:line="276" w:lineRule="auto"/>
        <w:jc w:val="both"/>
        <w:rPr>
          <w:sz w:val="22"/>
          <w:szCs w:val="22"/>
        </w:rPr>
      </w:pPr>
      <w:r>
        <w:rPr>
          <w:sz w:val="22"/>
          <w:szCs w:val="22"/>
        </w:rPr>
        <w:t>Revise the priority list of species/populations for action and management planning</w:t>
      </w:r>
      <w:r w:rsidR="003E218D">
        <w:rPr>
          <w:sz w:val="22"/>
          <w:szCs w:val="22"/>
        </w:rPr>
        <w:t xml:space="preserve"> for the triennium 2023-2025</w:t>
      </w:r>
      <w:r>
        <w:rPr>
          <w:sz w:val="22"/>
          <w:szCs w:val="22"/>
        </w:rPr>
        <w:t>;</w:t>
      </w:r>
    </w:p>
    <w:p w14:paraId="1876E174" w14:textId="125E0479" w:rsidR="007D4101" w:rsidRPr="004344BF" w:rsidRDefault="007D4101" w:rsidP="004344BF">
      <w:pPr>
        <w:pStyle w:val="ListParagraph"/>
        <w:numPr>
          <w:ilvl w:val="0"/>
          <w:numId w:val="32"/>
        </w:numPr>
        <w:spacing w:line="276" w:lineRule="auto"/>
        <w:jc w:val="both"/>
        <w:rPr>
          <w:sz w:val="22"/>
          <w:szCs w:val="22"/>
        </w:rPr>
      </w:pPr>
      <w:r w:rsidRPr="007D4101">
        <w:rPr>
          <w:sz w:val="22"/>
          <w:szCs w:val="22"/>
        </w:rPr>
        <w:t xml:space="preserve">Guide the development of and approve </w:t>
      </w:r>
      <w:r w:rsidR="00577078">
        <w:rPr>
          <w:sz w:val="22"/>
          <w:szCs w:val="22"/>
        </w:rPr>
        <w:t xml:space="preserve">a </w:t>
      </w:r>
      <w:r w:rsidRPr="007D4101">
        <w:rPr>
          <w:sz w:val="22"/>
          <w:szCs w:val="22"/>
        </w:rPr>
        <w:t xml:space="preserve">conservation </w:t>
      </w:r>
      <w:r>
        <w:rPr>
          <w:sz w:val="22"/>
          <w:szCs w:val="22"/>
        </w:rPr>
        <w:t xml:space="preserve">brief for </w:t>
      </w:r>
      <w:r w:rsidR="000B4FCF">
        <w:rPr>
          <w:sz w:val="22"/>
          <w:szCs w:val="22"/>
        </w:rPr>
        <w:t xml:space="preserve">the </w:t>
      </w:r>
      <w:r>
        <w:rPr>
          <w:sz w:val="22"/>
          <w:szCs w:val="22"/>
        </w:rPr>
        <w:t>AEWA International Single Species Action Plan</w:t>
      </w:r>
      <w:r w:rsidR="000B4FCF">
        <w:rPr>
          <w:rStyle w:val="FootnoteReference"/>
          <w:sz w:val="22"/>
          <w:szCs w:val="22"/>
        </w:rPr>
        <w:t xml:space="preserve"> </w:t>
      </w:r>
      <w:r w:rsidR="000B4FCF">
        <w:rPr>
          <w:sz w:val="22"/>
          <w:szCs w:val="22"/>
        </w:rPr>
        <w:t xml:space="preserve">for the Conservation of the </w:t>
      </w:r>
      <w:r w:rsidR="000B4FCF" w:rsidRPr="000B4FCF">
        <w:rPr>
          <w:sz w:val="22"/>
          <w:szCs w:val="22"/>
        </w:rPr>
        <w:t>Greenland White-fronted Goose (</w:t>
      </w:r>
      <w:r w:rsidR="000B4FCF" w:rsidRPr="000B4FCF">
        <w:rPr>
          <w:i/>
          <w:iCs/>
          <w:sz w:val="22"/>
          <w:szCs w:val="22"/>
        </w:rPr>
        <w:t>Anser albifrons flavirostris</w:t>
      </w:r>
      <w:r w:rsidR="000B4FCF" w:rsidRPr="000B4FCF">
        <w:rPr>
          <w:sz w:val="22"/>
          <w:szCs w:val="22"/>
        </w:rPr>
        <w:t>)</w:t>
      </w:r>
      <w:r>
        <w:rPr>
          <w:sz w:val="22"/>
          <w:szCs w:val="22"/>
        </w:rPr>
        <w:t>;</w:t>
      </w:r>
    </w:p>
    <w:p w14:paraId="1C5D4A3E" w14:textId="7C2FED11" w:rsidR="00364FB0" w:rsidRDefault="00364FB0" w:rsidP="004344BF">
      <w:pPr>
        <w:pStyle w:val="ListParagraph"/>
        <w:numPr>
          <w:ilvl w:val="0"/>
          <w:numId w:val="32"/>
        </w:numPr>
        <w:spacing w:line="276" w:lineRule="auto"/>
        <w:jc w:val="both"/>
        <w:rPr>
          <w:sz w:val="22"/>
          <w:szCs w:val="22"/>
        </w:rPr>
      </w:pPr>
      <w:r>
        <w:rPr>
          <w:sz w:val="22"/>
          <w:szCs w:val="22"/>
        </w:rPr>
        <w:t>C</w:t>
      </w:r>
      <w:r w:rsidRPr="00364FB0">
        <w:rPr>
          <w:sz w:val="22"/>
          <w:szCs w:val="22"/>
        </w:rPr>
        <w:t xml:space="preserve">ompile a </w:t>
      </w:r>
      <w:r w:rsidR="003E218D">
        <w:rPr>
          <w:sz w:val="22"/>
          <w:szCs w:val="22"/>
        </w:rPr>
        <w:t xml:space="preserve">document </w:t>
      </w:r>
      <w:r w:rsidRPr="00364FB0">
        <w:rPr>
          <w:sz w:val="22"/>
          <w:szCs w:val="22"/>
        </w:rPr>
        <w:t>on the implementation and further prioritisation of seabird-related activities under AEWA</w:t>
      </w:r>
      <w:r>
        <w:rPr>
          <w:sz w:val="22"/>
          <w:szCs w:val="22"/>
        </w:rPr>
        <w:t>;</w:t>
      </w:r>
    </w:p>
    <w:p w14:paraId="30255A82" w14:textId="55A68F59" w:rsidR="003E218D" w:rsidRDefault="003E218D" w:rsidP="004344BF">
      <w:pPr>
        <w:pStyle w:val="ListParagraph"/>
        <w:numPr>
          <w:ilvl w:val="0"/>
          <w:numId w:val="32"/>
        </w:numPr>
        <w:spacing w:line="276" w:lineRule="auto"/>
        <w:jc w:val="both"/>
        <w:rPr>
          <w:sz w:val="22"/>
          <w:szCs w:val="22"/>
        </w:rPr>
      </w:pPr>
      <w:r>
        <w:rPr>
          <w:sz w:val="22"/>
          <w:szCs w:val="22"/>
        </w:rPr>
        <w:t xml:space="preserve">Compile a document </w:t>
      </w:r>
      <w:r w:rsidRPr="003E218D">
        <w:rPr>
          <w:sz w:val="22"/>
          <w:szCs w:val="22"/>
        </w:rPr>
        <w:t xml:space="preserve">on </w:t>
      </w:r>
      <w:r>
        <w:rPr>
          <w:sz w:val="22"/>
          <w:szCs w:val="22"/>
        </w:rPr>
        <w:t xml:space="preserve">the </w:t>
      </w:r>
      <w:r w:rsidRPr="003E218D">
        <w:rPr>
          <w:sz w:val="22"/>
          <w:szCs w:val="22"/>
        </w:rPr>
        <w:t>implications of sea-level rise for migratory waterbirds and response options</w:t>
      </w:r>
      <w:r>
        <w:rPr>
          <w:sz w:val="22"/>
          <w:szCs w:val="22"/>
        </w:rPr>
        <w:t>;</w:t>
      </w:r>
    </w:p>
    <w:p w14:paraId="4149470D" w14:textId="4D83B206" w:rsidR="003E218D" w:rsidRDefault="003E218D" w:rsidP="004344BF">
      <w:pPr>
        <w:pStyle w:val="ListParagraph"/>
        <w:numPr>
          <w:ilvl w:val="0"/>
          <w:numId w:val="32"/>
        </w:numPr>
        <w:spacing w:line="276" w:lineRule="auto"/>
        <w:jc w:val="both"/>
        <w:rPr>
          <w:sz w:val="22"/>
          <w:szCs w:val="22"/>
        </w:rPr>
      </w:pPr>
      <w:r>
        <w:rPr>
          <w:sz w:val="22"/>
          <w:szCs w:val="22"/>
        </w:rPr>
        <w:t>R</w:t>
      </w:r>
      <w:r w:rsidRPr="003E218D">
        <w:rPr>
          <w:sz w:val="22"/>
          <w:szCs w:val="22"/>
        </w:rPr>
        <w:t>evis</w:t>
      </w:r>
      <w:r>
        <w:rPr>
          <w:sz w:val="22"/>
          <w:szCs w:val="22"/>
        </w:rPr>
        <w:t>e</w:t>
      </w:r>
      <w:r w:rsidRPr="003E218D">
        <w:rPr>
          <w:sz w:val="22"/>
          <w:szCs w:val="22"/>
        </w:rPr>
        <w:t xml:space="preserve"> </w:t>
      </w:r>
      <w:r>
        <w:rPr>
          <w:sz w:val="22"/>
          <w:szCs w:val="22"/>
        </w:rPr>
        <w:t xml:space="preserve">and reformat </w:t>
      </w:r>
      <w:r w:rsidRPr="003E218D">
        <w:rPr>
          <w:sz w:val="22"/>
          <w:szCs w:val="22"/>
        </w:rPr>
        <w:t>Conservation Guidelines No.4 on the Management of Key Sites for Migratory Waterbirds and No.7 on the Development of Ecotourism at Wetlands</w:t>
      </w:r>
      <w:r>
        <w:rPr>
          <w:sz w:val="22"/>
          <w:szCs w:val="22"/>
        </w:rPr>
        <w:t>;</w:t>
      </w:r>
    </w:p>
    <w:p w14:paraId="769A3F0A" w14:textId="5CB03E5F" w:rsidR="00D335DF" w:rsidRPr="009A0FC0" w:rsidRDefault="00D335DF" w:rsidP="009A0FC0">
      <w:pPr>
        <w:pStyle w:val="ListParagraph"/>
        <w:numPr>
          <w:ilvl w:val="0"/>
          <w:numId w:val="32"/>
        </w:numPr>
        <w:spacing w:line="276" w:lineRule="auto"/>
        <w:jc w:val="both"/>
        <w:rPr>
          <w:sz w:val="22"/>
          <w:szCs w:val="22"/>
        </w:rPr>
      </w:pPr>
      <w:r w:rsidRPr="00474B7C">
        <w:rPr>
          <w:sz w:val="22"/>
          <w:szCs w:val="22"/>
        </w:rPr>
        <w:t>Revis</w:t>
      </w:r>
      <w:r w:rsidR="00C213FA" w:rsidRPr="00474B7C">
        <w:rPr>
          <w:sz w:val="22"/>
          <w:szCs w:val="22"/>
        </w:rPr>
        <w:t>e</w:t>
      </w:r>
      <w:r w:rsidRPr="00A25C80">
        <w:rPr>
          <w:sz w:val="22"/>
          <w:szCs w:val="22"/>
        </w:rPr>
        <w:t xml:space="preserve"> the national report format, including necessary adjustments on the basis of </w:t>
      </w:r>
      <w:r w:rsidR="009A0FC0" w:rsidRPr="00A25C80">
        <w:rPr>
          <w:sz w:val="22"/>
          <w:szCs w:val="22"/>
        </w:rPr>
        <w:t xml:space="preserve">decisions taken at </w:t>
      </w:r>
      <w:r w:rsidRPr="00A25C80">
        <w:rPr>
          <w:sz w:val="22"/>
          <w:szCs w:val="22"/>
        </w:rPr>
        <w:t>MOP</w:t>
      </w:r>
      <w:r w:rsidR="00577078">
        <w:rPr>
          <w:sz w:val="22"/>
          <w:szCs w:val="22"/>
        </w:rPr>
        <w:t>8</w:t>
      </w:r>
      <w:r w:rsidR="00302920" w:rsidRPr="00A25C80">
        <w:rPr>
          <w:sz w:val="22"/>
          <w:szCs w:val="22"/>
        </w:rPr>
        <w:t>,</w:t>
      </w:r>
      <w:r w:rsidR="00302920" w:rsidRPr="009A0FC0">
        <w:rPr>
          <w:sz w:val="22"/>
          <w:szCs w:val="22"/>
        </w:rPr>
        <w:t xml:space="preserve"> for use in the reporting cycle to MOP</w:t>
      </w:r>
      <w:r w:rsidR="00577078">
        <w:rPr>
          <w:sz w:val="22"/>
          <w:szCs w:val="22"/>
        </w:rPr>
        <w:t>9</w:t>
      </w:r>
      <w:r w:rsidRPr="009A0FC0">
        <w:rPr>
          <w:sz w:val="22"/>
          <w:szCs w:val="22"/>
        </w:rPr>
        <w:t xml:space="preserve">; </w:t>
      </w:r>
    </w:p>
    <w:p w14:paraId="4451B54F" w14:textId="7FDD4466" w:rsidR="00577078" w:rsidRDefault="00577078" w:rsidP="00577078">
      <w:pPr>
        <w:pStyle w:val="ListParagraph"/>
        <w:numPr>
          <w:ilvl w:val="0"/>
          <w:numId w:val="32"/>
        </w:numPr>
        <w:spacing w:line="276" w:lineRule="auto"/>
        <w:jc w:val="both"/>
        <w:rPr>
          <w:sz w:val="22"/>
          <w:szCs w:val="22"/>
        </w:rPr>
      </w:pPr>
      <w:r>
        <w:rPr>
          <w:sz w:val="22"/>
          <w:szCs w:val="22"/>
        </w:rPr>
        <w:t>Prepare the</w:t>
      </w:r>
      <w:r w:rsidRPr="009A0FC0">
        <w:rPr>
          <w:sz w:val="22"/>
          <w:szCs w:val="22"/>
        </w:rPr>
        <w:t xml:space="preserve"> </w:t>
      </w:r>
      <w:r>
        <w:rPr>
          <w:sz w:val="22"/>
          <w:szCs w:val="22"/>
        </w:rPr>
        <w:t xml:space="preserve">draft </w:t>
      </w:r>
      <w:r w:rsidRPr="009A0FC0">
        <w:rPr>
          <w:sz w:val="22"/>
          <w:szCs w:val="22"/>
        </w:rPr>
        <w:t xml:space="preserve">national report format </w:t>
      </w:r>
      <w:r>
        <w:rPr>
          <w:sz w:val="22"/>
          <w:szCs w:val="22"/>
        </w:rPr>
        <w:t xml:space="preserve">for the period </w:t>
      </w:r>
      <w:r w:rsidRPr="009A0FC0">
        <w:rPr>
          <w:sz w:val="22"/>
          <w:szCs w:val="22"/>
        </w:rPr>
        <w:t>20</w:t>
      </w:r>
      <w:r>
        <w:rPr>
          <w:sz w:val="22"/>
          <w:szCs w:val="22"/>
        </w:rPr>
        <w:t>25</w:t>
      </w:r>
      <w:r w:rsidRPr="009A0FC0">
        <w:rPr>
          <w:sz w:val="22"/>
          <w:szCs w:val="22"/>
        </w:rPr>
        <w:t>-202</w:t>
      </w:r>
      <w:r>
        <w:rPr>
          <w:sz w:val="22"/>
          <w:szCs w:val="22"/>
        </w:rPr>
        <w:t>7</w:t>
      </w:r>
      <w:r w:rsidR="00047084">
        <w:rPr>
          <w:sz w:val="22"/>
          <w:szCs w:val="22"/>
        </w:rPr>
        <w:t xml:space="preserve"> to be used in the reporting cycle to MOP10</w:t>
      </w:r>
      <w:r>
        <w:rPr>
          <w:sz w:val="22"/>
          <w:szCs w:val="22"/>
        </w:rPr>
        <w:t>;</w:t>
      </w:r>
    </w:p>
    <w:p w14:paraId="79930420" w14:textId="3AC7E8C4" w:rsidR="009A0FC0" w:rsidRDefault="009A0FC0" w:rsidP="009A0FC0">
      <w:pPr>
        <w:pStyle w:val="ListParagraph"/>
        <w:numPr>
          <w:ilvl w:val="0"/>
          <w:numId w:val="32"/>
        </w:numPr>
        <w:spacing w:line="276" w:lineRule="auto"/>
        <w:jc w:val="both"/>
        <w:rPr>
          <w:sz w:val="22"/>
          <w:szCs w:val="22"/>
        </w:rPr>
      </w:pPr>
      <w:r w:rsidRPr="009A0FC0">
        <w:rPr>
          <w:sz w:val="22"/>
          <w:szCs w:val="22"/>
        </w:rPr>
        <w:t xml:space="preserve">Prepare </w:t>
      </w:r>
      <w:r>
        <w:rPr>
          <w:sz w:val="22"/>
          <w:szCs w:val="22"/>
        </w:rPr>
        <w:t>the</w:t>
      </w:r>
      <w:r w:rsidRPr="009A0FC0">
        <w:rPr>
          <w:sz w:val="22"/>
          <w:szCs w:val="22"/>
        </w:rPr>
        <w:t xml:space="preserve"> </w:t>
      </w:r>
      <w:r w:rsidR="00047084">
        <w:rPr>
          <w:sz w:val="22"/>
          <w:szCs w:val="22"/>
        </w:rPr>
        <w:t xml:space="preserve">draft </w:t>
      </w:r>
      <w:r w:rsidRPr="009A0FC0">
        <w:rPr>
          <w:sz w:val="22"/>
          <w:szCs w:val="22"/>
        </w:rPr>
        <w:t>for the reporting module on the status of populations of AEWA-listed (native) and non-native waterbird species in the Agreement area for the period 201</w:t>
      </w:r>
      <w:r w:rsidR="00047084">
        <w:rPr>
          <w:sz w:val="22"/>
          <w:szCs w:val="22"/>
        </w:rPr>
        <w:t>9</w:t>
      </w:r>
      <w:r w:rsidRPr="009A0FC0">
        <w:rPr>
          <w:sz w:val="22"/>
          <w:szCs w:val="22"/>
        </w:rPr>
        <w:t>-20</w:t>
      </w:r>
      <w:r w:rsidR="00047084">
        <w:rPr>
          <w:sz w:val="22"/>
          <w:szCs w:val="22"/>
        </w:rPr>
        <w:t>24 to be used in the reporting cycle to MOP10</w:t>
      </w:r>
      <w:r w:rsidRPr="009A0FC0">
        <w:rPr>
          <w:sz w:val="22"/>
          <w:szCs w:val="22"/>
        </w:rPr>
        <w:t>;</w:t>
      </w:r>
    </w:p>
    <w:p w14:paraId="2DAC9804" w14:textId="7A6AB3CC" w:rsidR="009A0FC0" w:rsidRPr="009A0FC0" w:rsidRDefault="009A0FC0" w:rsidP="009A0FC0">
      <w:pPr>
        <w:pStyle w:val="ListParagraph"/>
        <w:numPr>
          <w:ilvl w:val="0"/>
          <w:numId w:val="32"/>
        </w:numPr>
        <w:spacing w:line="276" w:lineRule="auto"/>
        <w:jc w:val="both"/>
        <w:rPr>
          <w:sz w:val="22"/>
          <w:szCs w:val="22"/>
        </w:rPr>
      </w:pPr>
      <w:r>
        <w:rPr>
          <w:sz w:val="22"/>
          <w:szCs w:val="22"/>
        </w:rPr>
        <w:t>Prepare the report format on the implementation of the Plan of Action for Africa for the period 20</w:t>
      </w:r>
      <w:r w:rsidR="00424B5A">
        <w:rPr>
          <w:sz w:val="22"/>
          <w:szCs w:val="22"/>
        </w:rPr>
        <w:t>25</w:t>
      </w:r>
      <w:r>
        <w:rPr>
          <w:sz w:val="22"/>
          <w:szCs w:val="22"/>
        </w:rPr>
        <w:t>-20</w:t>
      </w:r>
      <w:r w:rsidR="00424B5A">
        <w:rPr>
          <w:sz w:val="22"/>
          <w:szCs w:val="22"/>
        </w:rPr>
        <w:t>27 to be used</w:t>
      </w:r>
      <w:r w:rsidR="000B4FCF">
        <w:rPr>
          <w:sz w:val="22"/>
          <w:szCs w:val="22"/>
        </w:rPr>
        <w:t xml:space="preserve"> </w:t>
      </w:r>
      <w:r w:rsidR="00424B5A">
        <w:rPr>
          <w:sz w:val="22"/>
          <w:szCs w:val="22"/>
        </w:rPr>
        <w:t>in the reporting cycle to MOP10</w:t>
      </w:r>
      <w:r w:rsidR="000B4FCF">
        <w:rPr>
          <w:sz w:val="22"/>
          <w:szCs w:val="22"/>
        </w:rPr>
        <w:t>.</w:t>
      </w:r>
    </w:p>
    <w:p w14:paraId="0584738D" w14:textId="77777777" w:rsidR="00C63620" w:rsidRDefault="00C63620" w:rsidP="00B61CAE">
      <w:pPr>
        <w:pStyle w:val="ListParagraph"/>
        <w:spacing w:line="276" w:lineRule="auto"/>
        <w:ind w:left="0"/>
        <w:jc w:val="both"/>
        <w:rPr>
          <w:sz w:val="22"/>
          <w:szCs w:val="22"/>
        </w:rPr>
      </w:pPr>
    </w:p>
    <w:p w14:paraId="3704FB32" w14:textId="34D3688B" w:rsidR="00C63620" w:rsidRDefault="00A77397" w:rsidP="00B61CAE">
      <w:pPr>
        <w:pStyle w:val="ListParagraph"/>
        <w:spacing w:line="276" w:lineRule="auto"/>
        <w:ind w:left="0"/>
        <w:jc w:val="both"/>
        <w:rPr>
          <w:sz w:val="22"/>
          <w:szCs w:val="22"/>
        </w:rPr>
      </w:pPr>
      <w:r>
        <w:rPr>
          <w:sz w:val="22"/>
          <w:szCs w:val="22"/>
        </w:rPr>
        <w:lastRenderedPageBreak/>
        <w:t xml:space="preserve">Of all </w:t>
      </w:r>
      <w:r w:rsidR="00C63620" w:rsidRPr="001B1F53">
        <w:rPr>
          <w:sz w:val="22"/>
          <w:szCs w:val="22"/>
        </w:rPr>
        <w:t xml:space="preserve">the </w:t>
      </w:r>
      <w:r>
        <w:rPr>
          <w:sz w:val="22"/>
          <w:szCs w:val="22"/>
        </w:rPr>
        <w:t>results delivered in this triennium, the compilation of the 9</w:t>
      </w:r>
      <w:r w:rsidRPr="00A77397">
        <w:rPr>
          <w:sz w:val="22"/>
          <w:szCs w:val="22"/>
          <w:vertAlign w:val="superscript"/>
        </w:rPr>
        <w:t>th</w:t>
      </w:r>
      <w:r>
        <w:rPr>
          <w:sz w:val="22"/>
          <w:szCs w:val="22"/>
        </w:rPr>
        <w:t xml:space="preserve"> edition of the Conservation Status Report and the formulation of indicators for the assessment of implementation of the Plan of Action for Africa would not have been possible without the generous </w:t>
      </w:r>
      <w:r w:rsidR="000B4FCF">
        <w:rPr>
          <w:sz w:val="22"/>
          <w:szCs w:val="22"/>
        </w:rPr>
        <w:t xml:space="preserve">financial </w:t>
      </w:r>
      <w:r>
        <w:rPr>
          <w:sz w:val="22"/>
          <w:szCs w:val="22"/>
        </w:rPr>
        <w:t xml:space="preserve">support of Germany, the United Kingdom, Switzerland, Norway, and the European Commission through the </w:t>
      </w:r>
      <w:r w:rsidRPr="00A77397">
        <w:rPr>
          <w:sz w:val="22"/>
          <w:szCs w:val="22"/>
        </w:rPr>
        <w:t>EU LIFE NGO Operational Grant to Wetlands International Europe</w:t>
      </w:r>
      <w:r w:rsidR="00521909" w:rsidRPr="001B1F53">
        <w:rPr>
          <w:sz w:val="22"/>
          <w:szCs w:val="22"/>
        </w:rPr>
        <w:t xml:space="preserve">. </w:t>
      </w:r>
      <w:r>
        <w:rPr>
          <w:sz w:val="22"/>
          <w:szCs w:val="22"/>
        </w:rPr>
        <w:t xml:space="preserve">Several other important </w:t>
      </w:r>
      <w:r w:rsidR="000B4FCF">
        <w:rPr>
          <w:sz w:val="22"/>
          <w:szCs w:val="22"/>
        </w:rPr>
        <w:t xml:space="preserve">products </w:t>
      </w:r>
      <w:r>
        <w:rPr>
          <w:sz w:val="22"/>
          <w:szCs w:val="22"/>
        </w:rPr>
        <w:t xml:space="preserve">could not be delivered as they </w:t>
      </w:r>
      <w:r w:rsidR="000B4FCF">
        <w:rPr>
          <w:sz w:val="22"/>
          <w:szCs w:val="22"/>
        </w:rPr>
        <w:t xml:space="preserve">also </w:t>
      </w:r>
      <w:r>
        <w:rPr>
          <w:sz w:val="22"/>
          <w:szCs w:val="22"/>
        </w:rPr>
        <w:t xml:space="preserve">required outsourcing for which no funding was available. </w:t>
      </w:r>
      <w:r w:rsidR="00521909" w:rsidRPr="001B1F53">
        <w:rPr>
          <w:sz w:val="22"/>
          <w:szCs w:val="22"/>
        </w:rPr>
        <w:t xml:space="preserve">The performance of the Technical Committee is strongly dependent on strengthening </w:t>
      </w:r>
      <w:r w:rsidR="00B67E92">
        <w:rPr>
          <w:sz w:val="22"/>
          <w:szCs w:val="22"/>
        </w:rPr>
        <w:t xml:space="preserve">financial </w:t>
      </w:r>
      <w:r w:rsidR="00521909" w:rsidRPr="001B1F53">
        <w:rPr>
          <w:sz w:val="22"/>
          <w:szCs w:val="22"/>
        </w:rPr>
        <w:t>support</w:t>
      </w:r>
      <w:r w:rsidR="00B67E92">
        <w:rPr>
          <w:sz w:val="22"/>
          <w:szCs w:val="22"/>
        </w:rPr>
        <w:t xml:space="preserve"> for the implementation of its Work Plan</w:t>
      </w:r>
      <w:r w:rsidR="00521909" w:rsidRPr="001B1F53">
        <w:rPr>
          <w:sz w:val="22"/>
          <w:szCs w:val="22"/>
        </w:rPr>
        <w:t>.</w:t>
      </w:r>
      <w:r w:rsidR="00521909">
        <w:rPr>
          <w:sz w:val="22"/>
          <w:szCs w:val="22"/>
        </w:rPr>
        <w:t xml:space="preserve"> </w:t>
      </w:r>
    </w:p>
    <w:p w14:paraId="423D062A" w14:textId="33DB1D2A" w:rsidR="002C2BA1" w:rsidRPr="00860CD7" w:rsidRDefault="009A0FC0" w:rsidP="00B61CAE">
      <w:pPr>
        <w:pStyle w:val="ListParagraph"/>
        <w:spacing w:line="276" w:lineRule="auto"/>
        <w:ind w:left="0"/>
        <w:jc w:val="both"/>
        <w:rPr>
          <w:sz w:val="22"/>
          <w:szCs w:val="22"/>
        </w:rPr>
      </w:pPr>
      <w:r w:rsidRPr="00114D93">
        <w:rPr>
          <w:sz w:val="22"/>
          <w:szCs w:val="22"/>
        </w:rPr>
        <w:br/>
      </w:r>
      <w:r w:rsidR="002C2BA1" w:rsidRPr="00860CD7">
        <w:rPr>
          <w:sz w:val="22"/>
          <w:szCs w:val="22"/>
        </w:rPr>
        <w:t>In addition to the specific tasks requested by MOP</w:t>
      </w:r>
      <w:r w:rsidR="003E218D">
        <w:rPr>
          <w:sz w:val="22"/>
          <w:szCs w:val="22"/>
        </w:rPr>
        <w:t>8</w:t>
      </w:r>
      <w:r w:rsidR="002C2BA1" w:rsidRPr="00860CD7">
        <w:rPr>
          <w:sz w:val="22"/>
          <w:szCs w:val="22"/>
        </w:rPr>
        <w:t xml:space="preserve">, the TC also </w:t>
      </w:r>
      <w:r w:rsidR="00F05E1D" w:rsidRPr="00860CD7">
        <w:rPr>
          <w:sz w:val="22"/>
          <w:szCs w:val="22"/>
        </w:rPr>
        <w:t xml:space="preserve">implemented </w:t>
      </w:r>
      <w:r w:rsidR="000B4FCF">
        <w:rPr>
          <w:sz w:val="22"/>
          <w:szCs w:val="22"/>
        </w:rPr>
        <w:t xml:space="preserve">some </w:t>
      </w:r>
      <w:r w:rsidR="00F05E1D" w:rsidRPr="00860CD7">
        <w:rPr>
          <w:sz w:val="22"/>
          <w:szCs w:val="22"/>
        </w:rPr>
        <w:t xml:space="preserve">other tasks </w:t>
      </w:r>
      <w:r w:rsidR="002C2BA1" w:rsidRPr="00860CD7">
        <w:rPr>
          <w:sz w:val="22"/>
          <w:szCs w:val="22"/>
        </w:rPr>
        <w:t xml:space="preserve">to </w:t>
      </w:r>
      <w:r w:rsidR="00420738" w:rsidRPr="00860CD7">
        <w:rPr>
          <w:sz w:val="22"/>
          <w:szCs w:val="22"/>
        </w:rPr>
        <w:t>fulfil</w:t>
      </w:r>
      <w:r w:rsidR="002C2BA1" w:rsidRPr="00860CD7">
        <w:rPr>
          <w:sz w:val="22"/>
          <w:szCs w:val="22"/>
        </w:rPr>
        <w:t xml:space="preserve"> its mandate</w:t>
      </w:r>
      <w:r w:rsidR="000B4FCF">
        <w:rPr>
          <w:sz w:val="22"/>
          <w:szCs w:val="22"/>
        </w:rPr>
        <w:t>:</w:t>
      </w:r>
      <w:r w:rsidR="00F05E1D" w:rsidRPr="00860CD7">
        <w:rPr>
          <w:sz w:val="22"/>
          <w:szCs w:val="22"/>
        </w:rPr>
        <w:t xml:space="preserve"> </w:t>
      </w:r>
    </w:p>
    <w:p w14:paraId="7AAA9161" w14:textId="77777777" w:rsidR="00701D81" w:rsidRPr="00860CD7" w:rsidRDefault="00701D81" w:rsidP="009D5FB8">
      <w:pPr>
        <w:spacing w:line="276" w:lineRule="auto"/>
        <w:jc w:val="both"/>
        <w:rPr>
          <w:sz w:val="22"/>
          <w:szCs w:val="22"/>
          <w:lang w:val="en-GB"/>
        </w:rPr>
      </w:pPr>
    </w:p>
    <w:p w14:paraId="4A0163EF" w14:textId="12AC073B" w:rsidR="000B4FCF" w:rsidRDefault="00701D81" w:rsidP="009D5FB8">
      <w:pPr>
        <w:pStyle w:val="ListParagraph"/>
        <w:numPr>
          <w:ilvl w:val="0"/>
          <w:numId w:val="32"/>
        </w:numPr>
        <w:spacing w:line="276" w:lineRule="auto"/>
        <w:jc w:val="both"/>
        <w:rPr>
          <w:sz w:val="22"/>
          <w:szCs w:val="22"/>
        </w:rPr>
      </w:pPr>
      <w:r w:rsidRPr="000B4FCF">
        <w:rPr>
          <w:sz w:val="22"/>
          <w:szCs w:val="22"/>
        </w:rPr>
        <w:t xml:space="preserve">The Technical Committee reviewed and provided comments and suggestions on the draft </w:t>
      </w:r>
      <w:r w:rsidR="003E218D" w:rsidRPr="000B4FCF">
        <w:rPr>
          <w:sz w:val="22"/>
          <w:szCs w:val="22"/>
        </w:rPr>
        <w:t>revised Single Species</w:t>
      </w:r>
      <w:r w:rsidRPr="000B4FCF">
        <w:rPr>
          <w:sz w:val="22"/>
          <w:szCs w:val="22"/>
        </w:rPr>
        <w:t xml:space="preserve"> </w:t>
      </w:r>
      <w:r w:rsidR="003E218D" w:rsidRPr="000B4FCF">
        <w:rPr>
          <w:sz w:val="22"/>
          <w:szCs w:val="22"/>
        </w:rPr>
        <w:t>A</w:t>
      </w:r>
      <w:r w:rsidRPr="000B4FCF">
        <w:rPr>
          <w:sz w:val="22"/>
          <w:szCs w:val="22"/>
        </w:rPr>
        <w:t xml:space="preserve">ction </w:t>
      </w:r>
      <w:r w:rsidR="003E218D" w:rsidRPr="000B4FCF">
        <w:rPr>
          <w:sz w:val="22"/>
          <w:szCs w:val="22"/>
        </w:rPr>
        <w:t>Pl</w:t>
      </w:r>
      <w:r w:rsidRPr="000B4FCF">
        <w:rPr>
          <w:sz w:val="22"/>
          <w:szCs w:val="22"/>
        </w:rPr>
        <w:t xml:space="preserve">an </w:t>
      </w:r>
      <w:r w:rsidR="003E218D" w:rsidRPr="000B4FCF">
        <w:rPr>
          <w:sz w:val="22"/>
          <w:szCs w:val="22"/>
        </w:rPr>
        <w:t xml:space="preserve">for the </w:t>
      </w:r>
      <w:r w:rsidR="000B4FCF">
        <w:rPr>
          <w:sz w:val="22"/>
          <w:szCs w:val="22"/>
        </w:rPr>
        <w:t xml:space="preserve">Conservation of the </w:t>
      </w:r>
      <w:r w:rsidR="003E218D" w:rsidRPr="000B4FCF">
        <w:rPr>
          <w:sz w:val="22"/>
          <w:szCs w:val="22"/>
        </w:rPr>
        <w:t>Taiga Bean Goose (</w:t>
      </w:r>
      <w:r w:rsidR="003E218D" w:rsidRPr="000B4FCF">
        <w:rPr>
          <w:i/>
          <w:iCs/>
          <w:sz w:val="22"/>
          <w:szCs w:val="22"/>
        </w:rPr>
        <w:t>Anser f. fabalis</w:t>
      </w:r>
      <w:r w:rsidR="003E218D" w:rsidRPr="000B4FCF">
        <w:rPr>
          <w:sz w:val="22"/>
          <w:szCs w:val="22"/>
        </w:rPr>
        <w:t>) and the draft revised Singl</w:t>
      </w:r>
      <w:r w:rsidR="000B4FCF">
        <w:rPr>
          <w:sz w:val="22"/>
          <w:szCs w:val="22"/>
        </w:rPr>
        <w:t>e</w:t>
      </w:r>
      <w:r w:rsidR="003E218D" w:rsidRPr="000B4FCF">
        <w:rPr>
          <w:sz w:val="22"/>
          <w:szCs w:val="22"/>
        </w:rPr>
        <w:t xml:space="preserve"> Species Management Plan for the Pink-footed Goose (</w:t>
      </w:r>
      <w:r w:rsidR="00A95638" w:rsidRPr="000B4FCF">
        <w:rPr>
          <w:i/>
          <w:iCs/>
          <w:sz w:val="22"/>
          <w:szCs w:val="22"/>
        </w:rPr>
        <w:t>Anser brachyrhynchus</w:t>
      </w:r>
      <w:r w:rsidR="003E218D" w:rsidRPr="000B4FCF">
        <w:rPr>
          <w:sz w:val="22"/>
          <w:szCs w:val="22"/>
        </w:rPr>
        <w:t>) – Svalbard-breeding population</w:t>
      </w:r>
      <w:r w:rsidR="000B4FCF">
        <w:rPr>
          <w:sz w:val="22"/>
          <w:szCs w:val="22"/>
        </w:rPr>
        <w:t>;</w:t>
      </w:r>
    </w:p>
    <w:p w14:paraId="7A1CA423" w14:textId="4ADE67B1" w:rsidR="00701D81" w:rsidRPr="000B4FCF" w:rsidRDefault="00701D81" w:rsidP="009D5FB8">
      <w:pPr>
        <w:pStyle w:val="ListParagraph"/>
        <w:numPr>
          <w:ilvl w:val="0"/>
          <w:numId w:val="32"/>
        </w:numPr>
        <w:spacing w:line="276" w:lineRule="auto"/>
        <w:jc w:val="both"/>
        <w:rPr>
          <w:sz w:val="22"/>
          <w:szCs w:val="22"/>
        </w:rPr>
      </w:pPr>
      <w:r w:rsidRPr="000B4FCF">
        <w:rPr>
          <w:sz w:val="22"/>
          <w:szCs w:val="22"/>
        </w:rPr>
        <w:t xml:space="preserve">The Technical Committee reviewed </w:t>
      </w:r>
      <w:r w:rsidR="00EA16DD" w:rsidRPr="000B4FCF">
        <w:rPr>
          <w:sz w:val="22"/>
          <w:szCs w:val="22"/>
        </w:rPr>
        <w:t xml:space="preserve">one </w:t>
      </w:r>
      <w:r w:rsidRPr="000B4FCF">
        <w:rPr>
          <w:sz w:val="22"/>
          <w:szCs w:val="22"/>
        </w:rPr>
        <w:t xml:space="preserve">incoming submission of information for </w:t>
      </w:r>
      <w:r w:rsidR="00184235">
        <w:rPr>
          <w:sz w:val="22"/>
          <w:szCs w:val="22"/>
        </w:rPr>
        <w:t xml:space="preserve">a </w:t>
      </w:r>
      <w:r w:rsidRPr="000B4FCF">
        <w:rPr>
          <w:sz w:val="22"/>
          <w:szCs w:val="22"/>
        </w:rPr>
        <w:t>possible Implementation Review Process case</w:t>
      </w:r>
      <w:r w:rsidR="009A0FC0" w:rsidRPr="000B4FCF">
        <w:rPr>
          <w:sz w:val="22"/>
          <w:szCs w:val="22"/>
        </w:rPr>
        <w:t xml:space="preserve"> file</w:t>
      </w:r>
      <w:r w:rsidRPr="000B4FCF">
        <w:rPr>
          <w:sz w:val="22"/>
          <w:szCs w:val="22"/>
        </w:rPr>
        <w:t xml:space="preserve"> and provided advice to the Standing Committee</w:t>
      </w:r>
      <w:r w:rsidR="004C626F">
        <w:rPr>
          <w:sz w:val="22"/>
          <w:szCs w:val="22"/>
        </w:rPr>
        <w:t>.</w:t>
      </w:r>
    </w:p>
    <w:p w14:paraId="4964BD9D" w14:textId="38CB19C2" w:rsidR="005B37CD" w:rsidRDefault="005B37CD" w:rsidP="009D5FB8">
      <w:pPr>
        <w:spacing w:line="276" w:lineRule="auto"/>
        <w:jc w:val="both"/>
        <w:rPr>
          <w:sz w:val="22"/>
          <w:szCs w:val="22"/>
          <w:lang w:val="en-GB"/>
        </w:rPr>
      </w:pPr>
    </w:p>
    <w:p w14:paraId="08F40358" w14:textId="3CE4B836" w:rsidR="00283779" w:rsidRDefault="00283779" w:rsidP="009D5FB8">
      <w:pPr>
        <w:spacing w:line="276" w:lineRule="auto"/>
        <w:jc w:val="both"/>
        <w:rPr>
          <w:sz w:val="22"/>
          <w:szCs w:val="22"/>
          <w:lang w:val="en-GB"/>
        </w:rPr>
      </w:pPr>
      <w:r w:rsidRPr="00822509">
        <w:rPr>
          <w:sz w:val="22"/>
          <w:szCs w:val="22"/>
          <w:lang w:val="en-GB"/>
        </w:rPr>
        <w:t xml:space="preserve">The </w:t>
      </w:r>
      <w:r w:rsidR="00420738" w:rsidRPr="00822509">
        <w:rPr>
          <w:sz w:val="22"/>
          <w:szCs w:val="22"/>
          <w:lang w:val="en-GB"/>
        </w:rPr>
        <w:t>C</w:t>
      </w:r>
      <w:r w:rsidRPr="00822509">
        <w:rPr>
          <w:sz w:val="22"/>
          <w:szCs w:val="22"/>
          <w:lang w:val="en-GB"/>
        </w:rPr>
        <w:t>hair of the TC</w:t>
      </w:r>
      <w:r w:rsidR="00B858C2" w:rsidRPr="00822509">
        <w:rPr>
          <w:sz w:val="22"/>
          <w:szCs w:val="22"/>
          <w:lang w:val="en-GB"/>
        </w:rPr>
        <w:t xml:space="preserve">, </w:t>
      </w:r>
      <w:r w:rsidR="00196061" w:rsidRPr="00822509">
        <w:rPr>
          <w:sz w:val="22"/>
          <w:szCs w:val="22"/>
          <w:lang w:val="en-GB"/>
        </w:rPr>
        <w:t xml:space="preserve">Ms </w:t>
      </w:r>
      <w:r w:rsidR="00EA16DD">
        <w:rPr>
          <w:sz w:val="22"/>
          <w:szCs w:val="22"/>
          <w:lang w:val="en-GB"/>
        </w:rPr>
        <w:t>Melissa Lewis</w:t>
      </w:r>
      <w:r w:rsidR="00B858C2" w:rsidRPr="00822509">
        <w:rPr>
          <w:sz w:val="22"/>
          <w:szCs w:val="22"/>
          <w:lang w:val="en-GB"/>
        </w:rPr>
        <w:t>,</w:t>
      </w:r>
      <w:r w:rsidRPr="00822509">
        <w:rPr>
          <w:sz w:val="22"/>
          <w:szCs w:val="22"/>
          <w:lang w:val="en-GB"/>
        </w:rPr>
        <w:t xml:space="preserve"> participated in the </w:t>
      </w:r>
      <w:r w:rsidR="00EA16DD">
        <w:rPr>
          <w:sz w:val="22"/>
          <w:szCs w:val="22"/>
          <w:lang w:val="en-GB"/>
        </w:rPr>
        <w:t>23</w:t>
      </w:r>
      <w:r w:rsidR="00EA16DD" w:rsidRPr="00EA16DD">
        <w:rPr>
          <w:sz w:val="22"/>
          <w:szCs w:val="22"/>
          <w:vertAlign w:val="superscript"/>
          <w:lang w:val="en-GB"/>
        </w:rPr>
        <w:t>rd</w:t>
      </w:r>
      <w:r w:rsidR="00EA16DD">
        <w:rPr>
          <w:sz w:val="22"/>
          <w:szCs w:val="22"/>
          <w:lang w:val="en-GB"/>
        </w:rPr>
        <w:t xml:space="preserve"> </w:t>
      </w:r>
      <w:r w:rsidR="00453984" w:rsidRPr="00822509">
        <w:rPr>
          <w:sz w:val="22"/>
          <w:szCs w:val="22"/>
          <w:lang w:val="en-GB"/>
        </w:rPr>
        <w:t>AEWA Standing Committee meeting that took place</w:t>
      </w:r>
      <w:r w:rsidR="00EA16DD">
        <w:rPr>
          <w:sz w:val="22"/>
          <w:szCs w:val="22"/>
          <w:lang w:val="en-GB"/>
        </w:rPr>
        <w:t xml:space="preserve"> virtually</w:t>
      </w:r>
      <w:r w:rsidR="00453984" w:rsidRPr="00822509">
        <w:rPr>
          <w:sz w:val="22"/>
          <w:szCs w:val="22"/>
          <w:lang w:val="en-GB"/>
        </w:rPr>
        <w:t xml:space="preserve"> on </w:t>
      </w:r>
      <w:r w:rsidR="00EA16DD">
        <w:rPr>
          <w:sz w:val="22"/>
          <w:szCs w:val="22"/>
          <w:lang w:val="en-GB"/>
        </w:rPr>
        <w:t>26</w:t>
      </w:r>
      <w:r w:rsidR="00453984" w:rsidRPr="00822509">
        <w:rPr>
          <w:sz w:val="22"/>
          <w:szCs w:val="22"/>
          <w:lang w:val="en-GB"/>
        </w:rPr>
        <w:t>-</w:t>
      </w:r>
      <w:r w:rsidR="00EA16DD">
        <w:rPr>
          <w:sz w:val="22"/>
          <w:szCs w:val="22"/>
          <w:lang w:val="en-GB"/>
        </w:rPr>
        <w:t>27</w:t>
      </w:r>
      <w:r w:rsidR="00453984" w:rsidRPr="00822509">
        <w:rPr>
          <w:sz w:val="22"/>
          <w:szCs w:val="22"/>
          <w:lang w:val="en-GB"/>
        </w:rPr>
        <w:t xml:space="preserve"> </w:t>
      </w:r>
      <w:r w:rsidR="00EA16DD">
        <w:rPr>
          <w:sz w:val="22"/>
          <w:szCs w:val="22"/>
          <w:lang w:val="en-GB"/>
        </w:rPr>
        <w:t xml:space="preserve">June </w:t>
      </w:r>
      <w:r w:rsidR="00453984" w:rsidRPr="00822509">
        <w:rPr>
          <w:sz w:val="22"/>
          <w:szCs w:val="22"/>
          <w:lang w:val="en-GB"/>
        </w:rPr>
        <w:t>20</w:t>
      </w:r>
      <w:r w:rsidR="00EA16DD">
        <w:rPr>
          <w:sz w:val="22"/>
          <w:szCs w:val="22"/>
          <w:lang w:val="en-GB"/>
        </w:rPr>
        <w:t>23,</w:t>
      </w:r>
      <w:r w:rsidR="00453984" w:rsidRPr="00822509">
        <w:rPr>
          <w:sz w:val="22"/>
          <w:szCs w:val="22"/>
          <w:lang w:val="en-GB"/>
        </w:rPr>
        <w:t xml:space="preserve"> </w:t>
      </w:r>
      <w:r w:rsidR="00A43B30" w:rsidRPr="00822509">
        <w:rPr>
          <w:sz w:val="22"/>
          <w:szCs w:val="22"/>
          <w:lang w:val="en-GB"/>
        </w:rPr>
        <w:t xml:space="preserve">and </w:t>
      </w:r>
      <w:r w:rsidR="00EA16DD">
        <w:rPr>
          <w:sz w:val="22"/>
          <w:szCs w:val="22"/>
          <w:lang w:val="en-GB"/>
        </w:rPr>
        <w:t>Mohammed Shobrak, as succeeding Chair following Melisa Lewis’ resignation from the Committee, participated in the 24</w:t>
      </w:r>
      <w:r w:rsidR="00EA16DD" w:rsidRPr="00EA16DD">
        <w:rPr>
          <w:sz w:val="22"/>
          <w:szCs w:val="22"/>
          <w:vertAlign w:val="superscript"/>
          <w:lang w:val="en-GB"/>
        </w:rPr>
        <w:t>th</w:t>
      </w:r>
      <w:r w:rsidR="00EA16DD">
        <w:rPr>
          <w:sz w:val="22"/>
          <w:szCs w:val="22"/>
          <w:lang w:val="en-GB"/>
        </w:rPr>
        <w:t xml:space="preserve"> AEWA Standing Committee meeting that took place on 04 July 2024.</w:t>
      </w:r>
    </w:p>
    <w:p w14:paraId="7F92E6B6" w14:textId="77777777" w:rsidR="00B858C2" w:rsidRPr="00860CD7" w:rsidRDefault="00B858C2" w:rsidP="009D5FB8">
      <w:pPr>
        <w:spacing w:line="276" w:lineRule="auto"/>
        <w:jc w:val="both"/>
        <w:rPr>
          <w:sz w:val="22"/>
          <w:szCs w:val="22"/>
          <w:lang w:val="en-GB"/>
        </w:rPr>
      </w:pPr>
    </w:p>
    <w:p w14:paraId="2F978685" w14:textId="77777777" w:rsidR="007F3A81" w:rsidRPr="00420738" w:rsidRDefault="007F3A81" w:rsidP="009D5FB8">
      <w:pPr>
        <w:pStyle w:val="NoSpacing"/>
        <w:spacing w:line="276" w:lineRule="auto"/>
        <w:rPr>
          <w:i/>
          <w:sz w:val="22"/>
          <w:szCs w:val="22"/>
          <w:u w:val="single"/>
          <w:lang w:val="en-GB"/>
        </w:rPr>
      </w:pPr>
      <w:r w:rsidRPr="00420738">
        <w:rPr>
          <w:i/>
          <w:spacing w:val="1"/>
          <w:sz w:val="22"/>
          <w:szCs w:val="22"/>
          <w:u w:val="single"/>
          <w:lang w:val="en-GB"/>
        </w:rPr>
        <w:t>H</w:t>
      </w:r>
      <w:r w:rsidRPr="00420738">
        <w:rPr>
          <w:i/>
          <w:sz w:val="22"/>
          <w:szCs w:val="22"/>
          <w:u w:val="single"/>
          <w:lang w:val="en-GB"/>
        </w:rPr>
        <w:t>ow</w:t>
      </w:r>
      <w:r w:rsidRPr="00420738">
        <w:rPr>
          <w:i/>
          <w:spacing w:val="-1"/>
          <w:sz w:val="22"/>
          <w:szCs w:val="22"/>
          <w:u w:val="single"/>
          <w:lang w:val="en-GB"/>
        </w:rPr>
        <w:t xml:space="preserve"> </w:t>
      </w:r>
      <w:r w:rsidR="00420738" w:rsidRPr="00420738">
        <w:rPr>
          <w:i/>
          <w:spacing w:val="-1"/>
          <w:sz w:val="22"/>
          <w:szCs w:val="22"/>
          <w:u w:val="single"/>
          <w:lang w:val="en-GB"/>
        </w:rPr>
        <w:t xml:space="preserve">could </w:t>
      </w:r>
      <w:r w:rsidRPr="00420738">
        <w:rPr>
          <w:i/>
          <w:spacing w:val="-1"/>
          <w:sz w:val="22"/>
          <w:szCs w:val="22"/>
          <w:u w:val="single"/>
          <w:lang w:val="en-GB"/>
        </w:rPr>
        <w:t xml:space="preserve">the Technical Committee work </w:t>
      </w:r>
      <w:r w:rsidRPr="00420738">
        <w:rPr>
          <w:i/>
          <w:spacing w:val="-2"/>
          <w:sz w:val="22"/>
          <w:szCs w:val="22"/>
          <w:u w:val="single"/>
          <w:lang w:val="en-GB"/>
        </w:rPr>
        <w:t>b</w:t>
      </w:r>
      <w:r w:rsidRPr="00420738">
        <w:rPr>
          <w:i/>
          <w:sz w:val="22"/>
          <w:szCs w:val="22"/>
          <w:u w:val="single"/>
          <w:lang w:val="en-GB"/>
        </w:rPr>
        <w:t>e</w:t>
      </w:r>
      <w:r w:rsidRPr="00420738">
        <w:rPr>
          <w:i/>
          <w:spacing w:val="-2"/>
          <w:sz w:val="22"/>
          <w:szCs w:val="22"/>
          <w:u w:val="single"/>
          <w:lang w:val="en-GB"/>
        </w:rPr>
        <w:t xml:space="preserve"> </w:t>
      </w:r>
      <w:r w:rsidRPr="00420738">
        <w:rPr>
          <w:i/>
          <w:spacing w:val="1"/>
          <w:sz w:val="22"/>
          <w:szCs w:val="22"/>
          <w:u w:val="single"/>
          <w:lang w:val="en-GB"/>
        </w:rPr>
        <w:t>m</w:t>
      </w:r>
      <w:r w:rsidRPr="00420738">
        <w:rPr>
          <w:i/>
          <w:sz w:val="22"/>
          <w:szCs w:val="22"/>
          <w:u w:val="single"/>
          <w:lang w:val="en-GB"/>
        </w:rPr>
        <w:t>a</w:t>
      </w:r>
      <w:r w:rsidRPr="00420738">
        <w:rPr>
          <w:i/>
          <w:spacing w:val="-2"/>
          <w:sz w:val="22"/>
          <w:szCs w:val="22"/>
          <w:u w:val="single"/>
          <w:lang w:val="en-GB"/>
        </w:rPr>
        <w:t>d</w:t>
      </w:r>
      <w:r w:rsidRPr="00420738">
        <w:rPr>
          <w:i/>
          <w:sz w:val="22"/>
          <w:szCs w:val="22"/>
          <w:u w:val="single"/>
          <w:lang w:val="en-GB"/>
        </w:rPr>
        <w:t>e</w:t>
      </w:r>
      <w:r w:rsidRPr="00420738">
        <w:rPr>
          <w:i/>
          <w:spacing w:val="-2"/>
          <w:sz w:val="22"/>
          <w:szCs w:val="22"/>
          <w:u w:val="single"/>
          <w:lang w:val="en-GB"/>
        </w:rPr>
        <w:t xml:space="preserve"> </w:t>
      </w:r>
      <w:r w:rsidRPr="00420738">
        <w:rPr>
          <w:i/>
          <w:spacing w:val="3"/>
          <w:sz w:val="22"/>
          <w:szCs w:val="22"/>
          <w:u w:val="single"/>
          <w:lang w:val="en-GB"/>
        </w:rPr>
        <w:t>m</w:t>
      </w:r>
      <w:r w:rsidRPr="00420738">
        <w:rPr>
          <w:i/>
          <w:spacing w:val="-2"/>
          <w:sz w:val="22"/>
          <w:szCs w:val="22"/>
          <w:u w:val="single"/>
          <w:lang w:val="en-GB"/>
        </w:rPr>
        <w:t>o</w:t>
      </w:r>
      <w:r w:rsidRPr="00420738">
        <w:rPr>
          <w:i/>
          <w:sz w:val="22"/>
          <w:szCs w:val="22"/>
          <w:u w:val="single"/>
          <w:lang w:val="en-GB"/>
        </w:rPr>
        <w:t>re</w:t>
      </w:r>
      <w:r w:rsidRPr="00420738">
        <w:rPr>
          <w:i/>
          <w:spacing w:val="1"/>
          <w:sz w:val="22"/>
          <w:szCs w:val="22"/>
          <w:u w:val="single"/>
          <w:lang w:val="en-GB"/>
        </w:rPr>
        <w:t xml:space="preserve"> </w:t>
      </w:r>
      <w:r w:rsidRPr="00420738">
        <w:rPr>
          <w:i/>
          <w:spacing w:val="-2"/>
          <w:sz w:val="22"/>
          <w:szCs w:val="22"/>
          <w:u w:val="single"/>
          <w:lang w:val="en-GB"/>
        </w:rPr>
        <w:t>e</w:t>
      </w:r>
      <w:r w:rsidRPr="00420738">
        <w:rPr>
          <w:i/>
          <w:spacing w:val="1"/>
          <w:sz w:val="22"/>
          <w:szCs w:val="22"/>
          <w:u w:val="single"/>
          <w:lang w:val="en-GB"/>
        </w:rPr>
        <w:t>f</w:t>
      </w:r>
      <w:r w:rsidRPr="00420738">
        <w:rPr>
          <w:i/>
          <w:spacing w:val="-2"/>
          <w:sz w:val="22"/>
          <w:szCs w:val="22"/>
          <w:u w:val="single"/>
          <w:lang w:val="en-GB"/>
        </w:rPr>
        <w:t>f</w:t>
      </w:r>
      <w:r w:rsidRPr="00420738">
        <w:rPr>
          <w:i/>
          <w:sz w:val="22"/>
          <w:szCs w:val="22"/>
          <w:u w:val="single"/>
          <w:lang w:val="en-GB"/>
        </w:rPr>
        <w:t>ec</w:t>
      </w:r>
      <w:r w:rsidRPr="00420738">
        <w:rPr>
          <w:i/>
          <w:spacing w:val="-1"/>
          <w:sz w:val="22"/>
          <w:szCs w:val="22"/>
          <w:u w:val="single"/>
          <w:lang w:val="en-GB"/>
        </w:rPr>
        <w:t>t</w:t>
      </w:r>
      <w:r w:rsidRPr="00420738">
        <w:rPr>
          <w:i/>
          <w:spacing w:val="1"/>
          <w:sz w:val="22"/>
          <w:szCs w:val="22"/>
          <w:u w:val="single"/>
          <w:lang w:val="en-GB"/>
        </w:rPr>
        <w:t>i</w:t>
      </w:r>
      <w:r w:rsidRPr="00420738">
        <w:rPr>
          <w:i/>
          <w:spacing w:val="-2"/>
          <w:sz w:val="22"/>
          <w:szCs w:val="22"/>
          <w:u w:val="single"/>
          <w:lang w:val="en-GB"/>
        </w:rPr>
        <w:t>v</w:t>
      </w:r>
      <w:r w:rsidRPr="00420738">
        <w:rPr>
          <w:i/>
          <w:sz w:val="22"/>
          <w:szCs w:val="22"/>
          <w:u w:val="single"/>
          <w:lang w:val="en-GB"/>
        </w:rPr>
        <w:t>e?</w:t>
      </w:r>
    </w:p>
    <w:p w14:paraId="631066F1" w14:textId="4E317A86" w:rsidR="009967A5" w:rsidRPr="00860CD7" w:rsidRDefault="00184235" w:rsidP="009D5FB8">
      <w:pPr>
        <w:pStyle w:val="NoSpacing"/>
        <w:spacing w:line="276" w:lineRule="auto"/>
        <w:jc w:val="both"/>
        <w:rPr>
          <w:sz w:val="22"/>
          <w:szCs w:val="22"/>
          <w:lang w:val="en-GB"/>
        </w:rPr>
      </w:pPr>
      <w:r>
        <w:rPr>
          <w:sz w:val="22"/>
          <w:szCs w:val="22"/>
          <w:lang w:val="en-GB"/>
        </w:rPr>
        <w:t xml:space="preserve">Similar to </w:t>
      </w:r>
      <w:r w:rsidR="00097B25" w:rsidRPr="00860CD7">
        <w:rPr>
          <w:sz w:val="22"/>
          <w:szCs w:val="22"/>
          <w:lang w:val="en-GB"/>
        </w:rPr>
        <w:t xml:space="preserve">the previous triennium, a </w:t>
      </w:r>
      <w:r w:rsidR="00097B25" w:rsidRPr="00453984">
        <w:rPr>
          <w:sz w:val="22"/>
          <w:szCs w:val="22"/>
          <w:lang w:val="en-GB"/>
        </w:rPr>
        <w:t>significant</w:t>
      </w:r>
      <w:r w:rsidR="00097B25" w:rsidRPr="00860CD7">
        <w:rPr>
          <w:sz w:val="22"/>
          <w:szCs w:val="22"/>
          <w:lang w:val="en-GB"/>
        </w:rPr>
        <w:t xml:space="preserve"> proportion </w:t>
      </w:r>
      <w:r w:rsidR="00C75CDF">
        <w:rPr>
          <w:sz w:val="22"/>
          <w:szCs w:val="22"/>
          <w:lang w:val="en-GB"/>
        </w:rPr>
        <w:t>(</w:t>
      </w:r>
      <w:r w:rsidR="00B67E92">
        <w:rPr>
          <w:sz w:val="22"/>
          <w:szCs w:val="22"/>
          <w:lang w:val="en-GB"/>
        </w:rPr>
        <w:t>58%</w:t>
      </w:r>
      <w:r w:rsidR="00C75CDF">
        <w:rPr>
          <w:sz w:val="22"/>
          <w:szCs w:val="22"/>
          <w:lang w:val="en-GB"/>
        </w:rPr>
        <w:t xml:space="preserve">) </w:t>
      </w:r>
      <w:r w:rsidR="00097B25" w:rsidRPr="00860CD7">
        <w:rPr>
          <w:sz w:val="22"/>
          <w:szCs w:val="22"/>
          <w:lang w:val="en-GB"/>
        </w:rPr>
        <w:t xml:space="preserve">of the tasks in the Work Plan were </w:t>
      </w:r>
      <w:r w:rsidR="00C75CDF">
        <w:rPr>
          <w:sz w:val="22"/>
          <w:szCs w:val="22"/>
          <w:lang w:val="en-GB"/>
        </w:rPr>
        <w:t xml:space="preserve">implemented only partially or not at all </w:t>
      </w:r>
      <w:r w:rsidR="00097B25" w:rsidRPr="00860CD7">
        <w:rPr>
          <w:sz w:val="22"/>
          <w:szCs w:val="22"/>
          <w:lang w:val="en-GB"/>
        </w:rPr>
        <w:t xml:space="preserve">due to the </w:t>
      </w:r>
      <w:r w:rsidR="00FD266A" w:rsidRPr="00860CD7">
        <w:rPr>
          <w:sz w:val="22"/>
          <w:szCs w:val="22"/>
          <w:lang w:val="en-GB"/>
        </w:rPr>
        <w:t xml:space="preserve">large </w:t>
      </w:r>
      <w:r w:rsidR="00097B25" w:rsidRPr="00860CD7">
        <w:rPr>
          <w:sz w:val="22"/>
          <w:szCs w:val="22"/>
          <w:lang w:val="en-GB"/>
        </w:rPr>
        <w:t xml:space="preserve">volume of requests to the TC by the Meeting of Parties and the lack of funds necessary for implementation of most of </w:t>
      </w:r>
      <w:r w:rsidR="00FA51B8">
        <w:rPr>
          <w:sz w:val="22"/>
          <w:szCs w:val="22"/>
          <w:lang w:val="en-GB"/>
        </w:rPr>
        <w:t xml:space="preserve">the </w:t>
      </w:r>
      <w:r w:rsidR="00097B25" w:rsidRPr="00860CD7">
        <w:rPr>
          <w:sz w:val="22"/>
          <w:szCs w:val="22"/>
          <w:lang w:val="en-GB"/>
        </w:rPr>
        <w:t xml:space="preserve">planned tasks (Table 2). </w:t>
      </w:r>
      <w:r w:rsidR="00977C73">
        <w:rPr>
          <w:sz w:val="22"/>
          <w:szCs w:val="22"/>
          <w:lang w:val="en-GB"/>
        </w:rPr>
        <w:t>All funding made available in 20</w:t>
      </w:r>
      <w:r w:rsidR="00B67E92">
        <w:rPr>
          <w:sz w:val="22"/>
          <w:szCs w:val="22"/>
          <w:lang w:val="en-GB"/>
        </w:rPr>
        <w:t>23</w:t>
      </w:r>
      <w:r w:rsidR="00977C73">
        <w:rPr>
          <w:sz w:val="22"/>
          <w:szCs w:val="22"/>
          <w:lang w:val="en-GB"/>
        </w:rPr>
        <w:t>-202</w:t>
      </w:r>
      <w:r w:rsidR="00B67E92">
        <w:rPr>
          <w:sz w:val="22"/>
          <w:szCs w:val="22"/>
          <w:lang w:val="en-GB"/>
        </w:rPr>
        <w:t>5</w:t>
      </w:r>
      <w:r w:rsidR="00977C73">
        <w:rPr>
          <w:sz w:val="22"/>
          <w:szCs w:val="22"/>
          <w:lang w:val="en-GB"/>
        </w:rPr>
        <w:t xml:space="preserve"> for undertaking</w:t>
      </w:r>
      <w:r w:rsidR="004D542D">
        <w:rPr>
          <w:sz w:val="22"/>
          <w:szCs w:val="22"/>
          <w:lang w:val="en-GB"/>
        </w:rPr>
        <w:t xml:space="preserve"> substantive </w:t>
      </w:r>
      <w:r w:rsidR="00977C73">
        <w:rPr>
          <w:sz w:val="22"/>
          <w:szCs w:val="22"/>
          <w:lang w:val="en-GB"/>
        </w:rPr>
        <w:t xml:space="preserve">TC tasks that require outsourcing was on the basis of voluntary contributions that the Secretariat requested from the Contracting Parties. </w:t>
      </w:r>
    </w:p>
    <w:p w14:paraId="074A2876" w14:textId="77777777" w:rsidR="00FD266A" w:rsidRPr="00860CD7" w:rsidRDefault="00FD266A" w:rsidP="009D5FB8">
      <w:pPr>
        <w:pStyle w:val="NoSpacing"/>
        <w:spacing w:line="276" w:lineRule="auto"/>
        <w:jc w:val="both"/>
        <w:rPr>
          <w:color w:val="000000"/>
          <w:spacing w:val="2"/>
          <w:sz w:val="22"/>
          <w:szCs w:val="22"/>
          <w:lang w:val="en-GB"/>
        </w:rPr>
      </w:pPr>
    </w:p>
    <w:p w14:paraId="42FEE27A" w14:textId="265D9812" w:rsidR="009967A5" w:rsidRPr="00860CD7" w:rsidRDefault="007F3A81" w:rsidP="009D5FB8">
      <w:pPr>
        <w:pStyle w:val="NoSpacing"/>
        <w:spacing w:line="276" w:lineRule="auto"/>
        <w:jc w:val="both"/>
        <w:rPr>
          <w:sz w:val="22"/>
          <w:szCs w:val="22"/>
          <w:lang w:val="en-GB"/>
        </w:rPr>
      </w:pPr>
      <w:r w:rsidRPr="00474B7C">
        <w:rPr>
          <w:color w:val="000000"/>
          <w:spacing w:val="2"/>
          <w:sz w:val="22"/>
          <w:szCs w:val="22"/>
          <w:lang w:val="en-GB"/>
        </w:rPr>
        <w:t>T</w:t>
      </w:r>
      <w:r w:rsidRPr="00474B7C">
        <w:rPr>
          <w:color w:val="000000"/>
          <w:sz w:val="22"/>
          <w:szCs w:val="22"/>
          <w:lang w:val="en-GB"/>
        </w:rPr>
        <w:t xml:space="preserve">he </w:t>
      </w:r>
      <w:r w:rsidR="003F6E90" w:rsidRPr="00474B7C">
        <w:rPr>
          <w:color w:val="000000"/>
          <w:sz w:val="22"/>
          <w:szCs w:val="22"/>
          <w:lang w:val="en-GB"/>
        </w:rPr>
        <w:t xml:space="preserve">consistently high number </w:t>
      </w:r>
      <w:r w:rsidRPr="00474B7C">
        <w:rPr>
          <w:color w:val="000000"/>
          <w:spacing w:val="-2"/>
          <w:sz w:val="22"/>
          <w:szCs w:val="22"/>
          <w:lang w:val="en-GB"/>
        </w:rPr>
        <w:t>o</w:t>
      </w:r>
      <w:r w:rsidRPr="00474B7C">
        <w:rPr>
          <w:color w:val="000000"/>
          <w:sz w:val="22"/>
          <w:szCs w:val="22"/>
          <w:lang w:val="en-GB"/>
        </w:rPr>
        <w:t xml:space="preserve">f </w:t>
      </w:r>
      <w:r w:rsidRPr="00474B7C">
        <w:rPr>
          <w:color w:val="000000"/>
          <w:spacing w:val="1"/>
          <w:sz w:val="22"/>
          <w:szCs w:val="22"/>
          <w:lang w:val="en-GB"/>
        </w:rPr>
        <w:t>r</w:t>
      </w:r>
      <w:r w:rsidRPr="00474B7C">
        <w:rPr>
          <w:color w:val="000000"/>
          <w:sz w:val="22"/>
          <w:szCs w:val="22"/>
          <w:lang w:val="en-GB"/>
        </w:rPr>
        <w:t>equ</w:t>
      </w:r>
      <w:r w:rsidRPr="00474B7C">
        <w:rPr>
          <w:color w:val="000000"/>
          <w:spacing w:val="-2"/>
          <w:sz w:val="22"/>
          <w:szCs w:val="22"/>
          <w:lang w:val="en-GB"/>
        </w:rPr>
        <w:t>e</w:t>
      </w:r>
      <w:r w:rsidRPr="00474B7C">
        <w:rPr>
          <w:color w:val="000000"/>
          <w:sz w:val="22"/>
          <w:szCs w:val="22"/>
          <w:lang w:val="en-GB"/>
        </w:rPr>
        <w:t>s</w:t>
      </w:r>
      <w:r w:rsidRPr="00474B7C">
        <w:rPr>
          <w:color w:val="000000"/>
          <w:spacing w:val="-1"/>
          <w:sz w:val="22"/>
          <w:szCs w:val="22"/>
          <w:lang w:val="en-GB"/>
        </w:rPr>
        <w:t>t</w:t>
      </w:r>
      <w:r w:rsidRPr="00474B7C">
        <w:rPr>
          <w:color w:val="000000"/>
          <w:sz w:val="22"/>
          <w:szCs w:val="22"/>
          <w:lang w:val="en-GB"/>
        </w:rPr>
        <w:t xml:space="preserve">s by </w:t>
      </w:r>
      <w:r w:rsidRPr="00474B7C">
        <w:rPr>
          <w:color w:val="000000"/>
          <w:spacing w:val="1"/>
          <w:sz w:val="22"/>
          <w:szCs w:val="22"/>
          <w:lang w:val="en-GB"/>
        </w:rPr>
        <w:t>t</w:t>
      </w:r>
      <w:r w:rsidRPr="00474B7C">
        <w:rPr>
          <w:color w:val="000000"/>
          <w:spacing w:val="-2"/>
          <w:sz w:val="22"/>
          <w:szCs w:val="22"/>
          <w:lang w:val="en-GB"/>
        </w:rPr>
        <w:t>h</w:t>
      </w:r>
      <w:r w:rsidRPr="00474B7C">
        <w:rPr>
          <w:color w:val="000000"/>
          <w:sz w:val="22"/>
          <w:szCs w:val="22"/>
          <w:lang w:val="en-GB"/>
        </w:rPr>
        <w:t>e</w:t>
      </w:r>
      <w:r w:rsidRPr="00474B7C">
        <w:rPr>
          <w:color w:val="000000"/>
          <w:spacing w:val="2"/>
          <w:sz w:val="22"/>
          <w:szCs w:val="22"/>
          <w:lang w:val="en-GB"/>
        </w:rPr>
        <w:t xml:space="preserve"> </w:t>
      </w:r>
      <w:r w:rsidRPr="00474B7C">
        <w:rPr>
          <w:color w:val="000000"/>
          <w:spacing w:val="-2"/>
          <w:sz w:val="22"/>
          <w:szCs w:val="22"/>
          <w:lang w:val="en-GB"/>
        </w:rPr>
        <w:t>M</w:t>
      </w:r>
      <w:r w:rsidRPr="00474B7C">
        <w:rPr>
          <w:color w:val="000000"/>
          <w:sz w:val="22"/>
          <w:szCs w:val="22"/>
          <w:lang w:val="en-GB"/>
        </w:rPr>
        <w:t>OP</w:t>
      </w:r>
      <w:r w:rsidR="00DB2999" w:rsidRPr="00474B7C">
        <w:rPr>
          <w:color w:val="000000"/>
          <w:spacing w:val="-2"/>
          <w:sz w:val="22"/>
          <w:szCs w:val="22"/>
          <w:lang w:val="en-GB"/>
        </w:rPr>
        <w:t>, plus</w:t>
      </w:r>
      <w:r w:rsidR="00DB2999" w:rsidRPr="00474B7C">
        <w:rPr>
          <w:color w:val="000000"/>
          <w:sz w:val="22"/>
          <w:szCs w:val="22"/>
          <w:lang w:val="en-GB"/>
        </w:rPr>
        <w:t xml:space="preserve"> the tasks required to fulfil the Strategic Plan, </w:t>
      </w:r>
      <w:r w:rsidRPr="00474B7C">
        <w:rPr>
          <w:color w:val="000000"/>
          <w:sz w:val="22"/>
          <w:szCs w:val="22"/>
          <w:lang w:val="en-GB"/>
        </w:rPr>
        <w:t xml:space="preserve">indicates that the TC work is necessary, </w:t>
      </w:r>
      <w:r w:rsidR="00DB2999" w:rsidRPr="00474B7C">
        <w:rPr>
          <w:color w:val="000000"/>
          <w:sz w:val="22"/>
          <w:szCs w:val="22"/>
          <w:lang w:val="en-GB"/>
        </w:rPr>
        <w:t xml:space="preserve">yet </w:t>
      </w:r>
      <w:r w:rsidRPr="00474B7C">
        <w:rPr>
          <w:color w:val="000000"/>
          <w:sz w:val="22"/>
          <w:szCs w:val="22"/>
          <w:lang w:val="en-GB"/>
        </w:rPr>
        <w:t>its capa</w:t>
      </w:r>
      <w:r w:rsidRPr="00474B7C">
        <w:rPr>
          <w:color w:val="000000"/>
          <w:spacing w:val="-2"/>
          <w:sz w:val="22"/>
          <w:szCs w:val="22"/>
          <w:lang w:val="en-GB"/>
        </w:rPr>
        <w:t>c</w:t>
      </w:r>
      <w:r w:rsidRPr="00474B7C">
        <w:rPr>
          <w:color w:val="000000"/>
          <w:spacing w:val="1"/>
          <w:sz w:val="22"/>
          <w:szCs w:val="22"/>
          <w:lang w:val="en-GB"/>
        </w:rPr>
        <w:t>it</w:t>
      </w:r>
      <w:r w:rsidRPr="00474B7C">
        <w:rPr>
          <w:color w:val="000000"/>
          <w:sz w:val="22"/>
          <w:szCs w:val="22"/>
          <w:lang w:val="en-GB"/>
        </w:rPr>
        <w:t>y</w:t>
      </w:r>
      <w:r w:rsidRPr="00474B7C">
        <w:rPr>
          <w:color w:val="000000"/>
          <w:spacing w:val="-2"/>
          <w:sz w:val="22"/>
          <w:szCs w:val="22"/>
          <w:lang w:val="en-GB"/>
        </w:rPr>
        <w:t xml:space="preserve"> </w:t>
      </w:r>
      <w:r w:rsidRPr="00474B7C">
        <w:rPr>
          <w:color w:val="000000"/>
          <w:spacing w:val="1"/>
          <w:sz w:val="22"/>
          <w:szCs w:val="22"/>
          <w:lang w:val="en-GB"/>
        </w:rPr>
        <w:t>t</w:t>
      </w:r>
      <w:r w:rsidRPr="00474B7C">
        <w:rPr>
          <w:color w:val="000000"/>
          <w:sz w:val="22"/>
          <w:szCs w:val="22"/>
          <w:lang w:val="en-GB"/>
        </w:rPr>
        <w:t>o</w:t>
      </w:r>
      <w:r w:rsidRPr="00474B7C">
        <w:rPr>
          <w:color w:val="000000"/>
          <w:spacing w:val="-2"/>
          <w:sz w:val="22"/>
          <w:szCs w:val="22"/>
          <w:lang w:val="en-GB"/>
        </w:rPr>
        <w:t xml:space="preserve"> </w:t>
      </w:r>
      <w:r w:rsidRPr="00474B7C">
        <w:rPr>
          <w:color w:val="000000"/>
          <w:spacing w:val="1"/>
          <w:sz w:val="22"/>
          <w:szCs w:val="22"/>
          <w:lang w:val="en-GB"/>
        </w:rPr>
        <w:t>r</w:t>
      </w:r>
      <w:r w:rsidRPr="00474B7C">
        <w:rPr>
          <w:color w:val="000000"/>
          <w:spacing w:val="-2"/>
          <w:sz w:val="22"/>
          <w:szCs w:val="22"/>
          <w:lang w:val="en-GB"/>
        </w:rPr>
        <w:t>e</w:t>
      </w:r>
      <w:r w:rsidRPr="00474B7C">
        <w:rPr>
          <w:color w:val="000000"/>
          <w:sz w:val="22"/>
          <w:szCs w:val="22"/>
          <w:lang w:val="en-GB"/>
        </w:rPr>
        <w:t>spond</w:t>
      </w:r>
      <w:r w:rsidRPr="00474B7C">
        <w:rPr>
          <w:color w:val="000000"/>
          <w:spacing w:val="-2"/>
          <w:sz w:val="22"/>
          <w:szCs w:val="22"/>
          <w:lang w:val="en-GB"/>
        </w:rPr>
        <w:t xml:space="preserve"> </w:t>
      </w:r>
      <w:r w:rsidRPr="00474B7C">
        <w:rPr>
          <w:color w:val="000000"/>
          <w:spacing w:val="1"/>
          <w:sz w:val="22"/>
          <w:szCs w:val="22"/>
          <w:lang w:val="en-GB"/>
        </w:rPr>
        <w:t>t</w:t>
      </w:r>
      <w:r w:rsidRPr="00474B7C">
        <w:rPr>
          <w:color w:val="000000"/>
          <w:sz w:val="22"/>
          <w:szCs w:val="22"/>
          <w:lang w:val="en-GB"/>
        </w:rPr>
        <w:t>o</w:t>
      </w:r>
      <w:r w:rsidRPr="00474B7C">
        <w:rPr>
          <w:color w:val="000000"/>
          <w:spacing w:val="-2"/>
          <w:sz w:val="22"/>
          <w:szCs w:val="22"/>
          <w:lang w:val="en-GB"/>
        </w:rPr>
        <w:t xml:space="preserve"> all </w:t>
      </w:r>
      <w:r w:rsidRPr="00474B7C">
        <w:rPr>
          <w:color w:val="000000"/>
          <w:spacing w:val="1"/>
          <w:sz w:val="22"/>
          <w:szCs w:val="22"/>
          <w:lang w:val="en-GB"/>
        </w:rPr>
        <w:t>r</w:t>
      </w:r>
      <w:r w:rsidRPr="00474B7C">
        <w:rPr>
          <w:color w:val="000000"/>
          <w:sz w:val="22"/>
          <w:szCs w:val="22"/>
          <w:lang w:val="en-GB"/>
        </w:rPr>
        <w:t>eq</w:t>
      </w:r>
      <w:r w:rsidRPr="00474B7C">
        <w:rPr>
          <w:color w:val="000000"/>
          <w:spacing w:val="-2"/>
          <w:sz w:val="22"/>
          <w:szCs w:val="22"/>
          <w:lang w:val="en-GB"/>
        </w:rPr>
        <w:t>u</w:t>
      </w:r>
      <w:r w:rsidRPr="00474B7C">
        <w:rPr>
          <w:color w:val="000000"/>
          <w:sz w:val="22"/>
          <w:szCs w:val="22"/>
          <w:lang w:val="en-GB"/>
        </w:rPr>
        <w:t>e</w:t>
      </w:r>
      <w:r w:rsidRPr="00474B7C">
        <w:rPr>
          <w:color w:val="000000"/>
          <w:spacing w:val="1"/>
          <w:sz w:val="22"/>
          <w:szCs w:val="22"/>
          <w:lang w:val="en-GB"/>
        </w:rPr>
        <w:t>s</w:t>
      </w:r>
      <w:r w:rsidRPr="00474B7C">
        <w:rPr>
          <w:color w:val="000000"/>
          <w:spacing w:val="-1"/>
          <w:sz w:val="22"/>
          <w:szCs w:val="22"/>
          <w:lang w:val="en-GB"/>
        </w:rPr>
        <w:t>t</w:t>
      </w:r>
      <w:r w:rsidRPr="00474B7C">
        <w:rPr>
          <w:color w:val="000000"/>
          <w:sz w:val="22"/>
          <w:szCs w:val="22"/>
          <w:lang w:val="en-GB"/>
        </w:rPr>
        <w:t xml:space="preserve">s is limited.  </w:t>
      </w:r>
      <w:r w:rsidR="00231EE2" w:rsidRPr="00474B7C">
        <w:rPr>
          <w:sz w:val="22"/>
          <w:szCs w:val="22"/>
          <w:lang w:val="en-GB"/>
        </w:rPr>
        <w:t>I</w:t>
      </w:r>
      <w:r w:rsidR="00097B25" w:rsidRPr="00474B7C">
        <w:rPr>
          <w:sz w:val="22"/>
          <w:szCs w:val="22"/>
          <w:lang w:val="en-GB"/>
        </w:rPr>
        <w:t>t</w:t>
      </w:r>
      <w:r w:rsidR="00FD266A" w:rsidRPr="00474B7C">
        <w:rPr>
          <w:sz w:val="22"/>
          <w:szCs w:val="22"/>
          <w:lang w:val="en-GB"/>
        </w:rPr>
        <w:t xml:space="preserve"> i</w:t>
      </w:r>
      <w:r w:rsidR="00097B25" w:rsidRPr="00474B7C">
        <w:rPr>
          <w:sz w:val="22"/>
          <w:szCs w:val="22"/>
          <w:lang w:val="en-GB"/>
        </w:rPr>
        <w:t xml:space="preserve">s </w:t>
      </w:r>
      <w:r w:rsidR="00184235">
        <w:rPr>
          <w:sz w:val="22"/>
          <w:szCs w:val="22"/>
          <w:lang w:val="en-GB"/>
        </w:rPr>
        <w:t xml:space="preserve">necessary </w:t>
      </w:r>
      <w:r w:rsidR="00097B25" w:rsidRPr="00474B7C">
        <w:rPr>
          <w:sz w:val="22"/>
          <w:szCs w:val="22"/>
          <w:lang w:val="en-GB"/>
        </w:rPr>
        <w:t xml:space="preserve">to assign </w:t>
      </w:r>
      <w:r w:rsidR="00420738" w:rsidRPr="00474B7C">
        <w:rPr>
          <w:sz w:val="22"/>
          <w:szCs w:val="22"/>
          <w:lang w:val="en-GB"/>
        </w:rPr>
        <w:t xml:space="preserve">a </w:t>
      </w:r>
      <w:r w:rsidR="00097B25" w:rsidRPr="00474B7C">
        <w:rPr>
          <w:sz w:val="22"/>
          <w:szCs w:val="22"/>
          <w:lang w:val="en-GB"/>
        </w:rPr>
        <w:t xml:space="preserve">certain part of the core budget to support the work that the MOP </w:t>
      </w:r>
      <w:r w:rsidR="007E73B5" w:rsidRPr="00474B7C">
        <w:rPr>
          <w:sz w:val="22"/>
          <w:szCs w:val="22"/>
          <w:lang w:val="en-GB"/>
        </w:rPr>
        <w:t xml:space="preserve">and </w:t>
      </w:r>
      <w:r w:rsidR="00474B7C">
        <w:rPr>
          <w:sz w:val="22"/>
          <w:szCs w:val="22"/>
          <w:lang w:val="en-GB"/>
        </w:rPr>
        <w:t xml:space="preserve">the </w:t>
      </w:r>
      <w:r w:rsidR="007E73B5" w:rsidRPr="00474B7C">
        <w:rPr>
          <w:sz w:val="22"/>
          <w:szCs w:val="22"/>
          <w:lang w:val="en-GB"/>
        </w:rPr>
        <w:t xml:space="preserve">Strategic Plan </w:t>
      </w:r>
      <w:r w:rsidR="00097B25" w:rsidRPr="00474B7C">
        <w:rPr>
          <w:sz w:val="22"/>
          <w:szCs w:val="22"/>
          <w:lang w:val="en-GB"/>
        </w:rPr>
        <w:t>request from the TC.</w:t>
      </w:r>
      <w:r w:rsidRPr="00860CD7">
        <w:rPr>
          <w:sz w:val="22"/>
          <w:szCs w:val="22"/>
          <w:lang w:val="en-GB"/>
        </w:rPr>
        <w:t xml:space="preserve"> </w:t>
      </w:r>
    </w:p>
    <w:p w14:paraId="47433138" w14:textId="77777777" w:rsidR="00FD266A" w:rsidRPr="00860CD7" w:rsidRDefault="00FD266A" w:rsidP="009D5FB8">
      <w:pPr>
        <w:pStyle w:val="NoSpacing"/>
        <w:spacing w:line="276" w:lineRule="auto"/>
        <w:jc w:val="both"/>
        <w:rPr>
          <w:sz w:val="22"/>
          <w:szCs w:val="22"/>
          <w:lang w:val="en-GB"/>
        </w:rPr>
      </w:pPr>
    </w:p>
    <w:p w14:paraId="77C41572" w14:textId="17DD44CC" w:rsidR="00097B25" w:rsidRPr="00860CD7" w:rsidRDefault="009D1A39" w:rsidP="009D5FB8">
      <w:pPr>
        <w:pStyle w:val="NoSpacing"/>
        <w:spacing w:line="276" w:lineRule="auto"/>
        <w:jc w:val="both"/>
        <w:rPr>
          <w:bCs/>
          <w:iCs/>
          <w:color w:val="000000"/>
          <w:sz w:val="22"/>
          <w:szCs w:val="22"/>
          <w:lang w:val="en-GB"/>
        </w:rPr>
      </w:pPr>
      <w:r w:rsidRPr="00860CD7">
        <w:rPr>
          <w:sz w:val="22"/>
          <w:szCs w:val="22"/>
          <w:lang w:val="en-GB"/>
        </w:rPr>
        <w:t xml:space="preserve">A </w:t>
      </w:r>
      <w:r w:rsidR="007F3A81" w:rsidRPr="00860CD7">
        <w:rPr>
          <w:color w:val="000000"/>
          <w:sz w:val="22"/>
          <w:szCs w:val="22"/>
          <w:lang w:val="en-GB"/>
        </w:rPr>
        <w:t>c</w:t>
      </w:r>
      <w:r w:rsidR="007F3A81" w:rsidRPr="00860CD7">
        <w:rPr>
          <w:color w:val="000000"/>
          <w:spacing w:val="1"/>
          <w:sz w:val="22"/>
          <w:szCs w:val="22"/>
          <w:lang w:val="en-GB"/>
        </w:rPr>
        <w:t>l</w:t>
      </w:r>
      <w:r w:rsidR="007F3A81" w:rsidRPr="00860CD7">
        <w:rPr>
          <w:color w:val="000000"/>
          <w:spacing w:val="-2"/>
          <w:sz w:val="22"/>
          <w:szCs w:val="22"/>
          <w:lang w:val="en-GB"/>
        </w:rPr>
        <w:t>e</w:t>
      </w:r>
      <w:r w:rsidR="007F3A81" w:rsidRPr="00860CD7">
        <w:rPr>
          <w:color w:val="000000"/>
          <w:sz w:val="22"/>
          <w:szCs w:val="22"/>
          <w:lang w:val="en-GB"/>
        </w:rPr>
        <w:t>ar</w:t>
      </w:r>
      <w:r w:rsidR="007F3A81" w:rsidRPr="00860CD7">
        <w:rPr>
          <w:color w:val="000000"/>
          <w:spacing w:val="9"/>
          <w:sz w:val="22"/>
          <w:szCs w:val="22"/>
          <w:lang w:val="en-GB"/>
        </w:rPr>
        <w:t xml:space="preserve"> </w:t>
      </w:r>
      <w:r w:rsidR="007F3A81" w:rsidRPr="00860CD7">
        <w:rPr>
          <w:color w:val="000000"/>
          <w:sz w:val="22"/>
          <w:szCs w:val="22"/>
          <w:lang w:val="en-GB"/>
        </w:rPr>
        <w:t>p</w:t>
      </w:r>
      <w:r w:rsidR="007F3A81" w:rsidRPr="00860CD7">
        <w:rPr>
          <w:color w:val="000000"/>
          <w:spacing w:val="-2"/>
          <w:sz w:val="22"/>
          <w:szCs w:val="22"/>
          <w:lang w:val="en-GB"/>
        </w:rPr>
        <w:t>r</w:t>
      </w:r>
      <w:r w:rsidR="007F3A81" w:rsidRPr="00860CD7">
        <w:rPr>
          <w:color w:val="000000"/>
          <w:spacing w:val="1"/>
          <w:sz w:val="22"/>
          <w:szCs w:val="22"/>
          <w:lang w:val="en-GB"/>
        </w:rPr>
        <w:t>i</w:t>
      </w:r>
      <w:r w:rsidR="007F3A81" w:rsidRPr="00860CD7">
        <w:rPr>
          <w:color w:val="000000"/>
          <w:spacing w:val="-2"/>
          <w:sz w:val="22"/>
          <w:szCs w:val="22"/>
          <w:lang w:val="en-GB"/>
        </w:rPr>
        <w:t>o</w:t>
      </w:r>
      <w:r w:rsidR="007F3A81" w:rsidRPr="00860CD7">
        <w:rPr>
          <w:color w:val="000000"/>
          <w:spacing w:val="1"/>
          <w:sz w:val="22"/>
          <w:szCs w:val="22"/>
          <w:lang w:val="en-GB"/>
        </w:rPr>
        <w:t>r</w:t>
      </w:r>
      <w:r w:rsidR="007F3A81" w:rsidRPr="00860CD7">
        <w:rPr>
          <w:color w:val="000000"/>
          <w:spacing w:val="-1"/>
          <w:sz w:val="22"/>
          <w:szCs w:val="22"/>
          <w:lang w:val="en-GB"/>
        </w:rPr>
        <w:t>i</w:t>
      </w:r>
      <w:r w:rsidR="007F3A81" w:rsidRPr="00860CD7">
        <w:rPr>
          <w:color w:val="000000"/>
          <w:spacing w:val="1"/>
          <w:sz w:val="22"/>
          <w:szCs w:val="22"/>
          <w:lang w:val="en-GB"/>
        </w:rPr>
        <w:t>t</w:t>
      </w:r>
      <w:r w:rsidR="007F3A81" w:rsidRPr="00860CD7">
        <w:rPr>
          <w:color w:val="000000"/>
          <w:spacing w:val="-1"/>
          <w:sz w:val="22"/>
          <w:szCs w:val="22"/>
          <w:lang w:val="en-GB"/>
        </w:rPr>
        <w:t>i</w:t>
      </w:r>
      <w:r w:rsidR="007F3A81" w:rsidRPr="00860CD7">
        <w:rPr>
          <w:color w:val="000000"/>
          <w:sz w:val="22"/>
          <w:szCs w:val="22"/>
          <w:lang w:val="en-GB"/>
        </w:rPr>
        <w:t>s</w:t>
      </w:r>
      <w:r w:rsidR="007F3A81" w:rsidRPr="00860CD7">
        <w:rPr>
          <w:color w:val="000000"/>
          <w:spacing w:val="1"/>
          <w:sz w:val="22"/>
          <w:szCs w:val="22"/>
          <w:lang w:val="en-GB"/>
        </w:rPr>
        <w:t>a</w:t>
      </w:r>
      <w:r w:rsidR="007F3A81" w:rsidRPr="00860CD7">
        <w:rPr>
          <w:color w:val="000000"/>
          <w:spacing w:val="-1"/>
          <w:sz w:val="22"/>
          <w:szCs w:val="22"/>
          <w:lang w:val="en-GB"/>
        </w:rPr>
        <w:t>t</w:t>
      </w:r>
      <w:r w:rsidR="007F3A81" w:rsidRPr="00860CD7">
        <w:rPr>
          <w:color w:val="000000"/>
          <w:spacing w:val="1"/>
          <w:sz w:val="22"/>
          <w:szCs w:val="22"/>
          <w:lang w:val="en-GB"/>
        </w:rPr>
        <w:t>i</w:t>
      </w:r>
      <w:r w:rsidR="007F3A81" w:rsidRPr="00860CD7">
        <w:rPr>
          <w:color w:val="000000"/>
          <w:spacing w:val="-2"/>
          <w:sz w:val="22"/>
          <w:szCs w:val="22"/>
          <w:lang w:val="en-GB"/>
        </w:rPr>
        <w:t>o</w:t>
      </w:r>
      <w:r w:rsidR="007F3A81" w:rsidRPr="00860CD7">
        <w:rPr>
          <w:color w:val="000000"/>
          <w:sz w:val="22"/>
          <w:szCs w:val="22"/>
          <w:lang w:val="en-GB"/>
        </w:rPr>
        <w:t>n</w:t>
      </w:r>
      <w:r w:rsidR="007F3A81" w:rsidRPr="00860CD7">
        <w:rPr>
          <w:color w:val="000000"/>
          <w:spacing w:val="4"/>
          <w:sz w:val="22"/>
          <w:szCs w:val="22"/>
          <w:lang w:val="en-GB"/>
        </w:rPr>
        <w:t xml:space="preserve"> </w:t>
      </w:r>
      <w:r w:rsidR="007F3A81" w:rsidRPr="00860CD7">
        <w:rPr>
          <w:color w:val="000000"/>
          <w:spacing w:val="1"/>
          <w:sz w:val="22"/>
          <w:szCs w:val="22"/>
          <w:lang w:val="en-GB"/>
        </w:rPr>
        <w:t>fr</w:t>
      </w:r>
      <w:r w:rsidR="007F3A81" w:rsidRPr="00860CD7">
        <w:rPr>
          <w:color w:val="000000"/>
          <w:sz w:val="22"/>
          <w:szCs w:val="22"/>
          <w:lang w:val="en-GB"/>
        </w:rPr>
        <w:t>om Pa</w:t>
      </w:r>
      <w:r w:rsidR="007F3A81" w:rsidRPr="00860CD7">
        <w:rPr>
          <w:color w:val="000000"/>
          <w:spacing w:val="1"/>
          <w:sz w:val="22"/>
          <w:szCs w:val="22"/>
          <w:lang w:val="en-GB"/>
        </w:rPr>
        <w:t>rti</w:t>
      </w:r>
      <w:r w:rsidR="007F3A81" w:rsidRPr="00860CD7">
        <w:rPr>
          <w:color w:val="000000"/>
          <w:spacing w:val="-2"/>
          <w:sz w:val="22"/>
          <w:szCs w:val="22"/>
          <w:lang w:val="en-GB"/>
        </w:rPr>
        <w:t>e</w:t>
      </w:r>
      <w:r w:rsidR="007F3A81" w:rsidRPr="00860CD7">
        <w:rPr>
          <w:color w:val="000000"/>
          <w:sz w:val="22"/>
          <w:szCs w:val="22"/>
          <w:lang w:val="en-GB"/>
        </w:rPr>
        <w:t>s</w:t>
      </w:r>
      <w:r w:rsidR="007F3A81" w:rsidRPr="00860CD7">
        <w:rPr>
          <w:color w:val="000000"/>
          <w:spacing w:val="7"/>
          <w:sz w:val="22"/>
          <w:szCs w:val="22"/>
          <w:lang w:val="en-GB"/>
        </w:rPr>
        <w:t xml:space="preserve"> </w:t>
      </w:r>
      <w:r w:rsidR="007F3A81" w:rsidRPr="00860CD7">
        <w:rPr>
          <w:color w:val="000000"/>
          <w:spacing w:val="-1"/>
          <w:sz w:val="22"/>
          <w:szCs w:val="22"/>
          <w:lang w:val="en-GB"/>
        </w:rPr>
        <w:t>w</w:t>
      </w:r>
      <w:r w:rsidR="007F3A81" w:rsidRPr="00860CD7">
        <w:rPr>
          <w:color w:val="000000"/>
          <w:spacing w:val="1"/>
          <w:sz w:val="22"/>
          <w:szCs w:val="22"/>
          <w:lang w:val="en-GB"/>
        </w:rPr>
        <w:t>it</w:t>
      </w:r>
      <w:r w:rsidR="007F3A81" w:rsidRPr="00860CD7">
        <w:rPr>
          <w:color w:val="000000"/>
          <w:spacing w:val="-2"/>
          <w:sz w:val="22"/>
          <w:szCs w:val="22"/>
          <w:lang w:val="en-GB"/>
        </w:rPr>
        <w:t>h</w:t>
      </w:r>
      <w:r w:rsidR="007F3A81" w:rsidRPr="00860CD7">
        <w:rPr>
          <w:color w:val="000000"/>
          <w:spacing w:val="1"/>
          <w:sz w:val="22"/>
          <w:szCs w:val="22"/>
          <w:lang w:val="en-GB"/>
        </w:rPr>
        <w:t>i</w:t>
      </w:r>
      <w:r w:rsidR="007F3A81" w:rsidRPr="00860CD7">
        <w:rPr>
          <w:color w:val="000000"/>
          <w:sz w:val="22"/>
          <w:szCs w:val="22"/>
          <w:lang w:val="en-GB"/>
        </w:rPr>
        <w:t>n</w:t>
      </w:r>
      <w:r w:rsidR="007F3A81" w:rsidRPr="00860CD7">
        <w:rPr>
          <w:color w:val="000000"/>
          <w:spacing w:val="4"/>
          <w:sz w:val="22"/>
          <w:szCs w:val="22"/>
          <w:lang w:val="en-GB"/>
        </w:rPr>
        <w:t xml:space="preserve"> </w:t>
      </w:r>
      <w:r w:rsidR="007F3A81" w:rsidRPr="00860CD7">
        <w:rPr>
          <w:color w:val="000000"/>
          <w:spacing w:val="1"/>
          <w:sz w:val="22"/>
          <w:szCs w:val="22"/>
          <w:lang w:val="en-GB"/>
        </w:rPr>
        <w:t>t</w:t>
      </w:r>
      <w:r w:rsidR="007F3A81" w:rsidRPr="00860CD7">
        <w:rPr>
          <w:color w:val="000000"/>
          <w:spacing w:val="-2"/>
          <w:sz w:val="22"/>
          <w:szCs w:val="22"/>
          <w:lang w:val="en-GB"/>
        </w:rPr>
        <w:t>h</w:t>
      </w:r>
      <w:r w:rsidR="007F3A81" w:rsidRPr="00860CD7">
        <w:rPr>
          <w:color w:val="000000"/>
          <w:sz w:val="22"/>
          <w:szCs w:val="22"/>
          <w:lang w:val="en-GB"/>
        </w:rPr>
        <w:t>e</w:t>
      </w:r>
      <w:r w:rsidR="007F3A81" w:rsidRPr="00860CD7">
        <w:rPr>
          <w:color w:val="000000"/>
          <w:spacing w:val="4"/>
          <w:sz w:val="22"/>
          <w:szCs w:val="22"/>
          <w:lang w:val="en-GB"/>
        </w:rPr>
        <w:t xml:space="preserve"> </w:t>
      </w:r>
      <w:r w:rsidRPr="00860CD7">
        <w:rPr>
          <w:color w:val="000000"/>
          <w:spacing w:val="-4"/>
          <w:sz w:val="22"/>
          <w:szCs w:val="22"/>
          <w:lang w:val="en-GB"/>
        </w:rPr>
        <w:t xml:space="preserve">numerous </w:t>
      </w:r>
      <w:r w:rsidR="007F3A81" w:rsidRPr="00860CD7">
        <w:rPr>
          <w:color w:val="000000"/>
          <w:spacing w:val="1"/>
          <w:sz w:val="22"/>
          <w:szCs w:val="22"/>
          <w:lang w:val="en-GB"/>
        </w:rPr>
        <w:t>t</w:t>
      </w:r>
      <w:r w:rsidR="007F3A81" w:rsidRPr="00860CD7">
        <w:rPr>
          <w:color w:val="000000"/>
          <w:sz w:val="22"/>
          <w:szCs w:val="22"/>
          <w:lang w:val="en-GB"/>
        </w:rPr>
        <w:t>a</w:t>
      </w:r>
      <w:r w:rsidR="007F3A81" w:rsidRPr="00860CD7">
        <w:rPr>
          <w:color w:val="000000"/>
          <w:spacing w:val="1"/>
          <w:sz w:val="22"/>
          <w:szCs w:val="22"/>
          <w:lang w:val="en-GB"/>
        </w:rPr>
        <w:t>s</w:t>
      </w:r>
      <w:r w:rsidR="007F3A81" w:rsidRPr="00860CD7">
        <w:rPr>
          <w:color w:val="000000"/>
          <w:spacing w:val="-2"/>
          <w:sz w:val="22"/>
          <w:szCs w:val="22"/>
          <w:lang w:val="en-GB"/>
        </w:rPr>
        <w:t>k</w:t>
      </w:r>
      <w:r w:rsidR="007F3A81" w:rsidRPr="00860CD7">
        <w:rPr>
          <w:color w:val="000000"/>
          <w:sz w:val="22"/>
          <w:szCs w:val="22"/>
          <w:lang w:val="en-GB"/>
        </w:rPr>
        <w:t>s</w:t>
      </w:r>
      <w:r w:rsidR="007F3A81" w:rsidRPr="00860CD7">
        <w:rPr>
          <w:color w:val="000000"/>
          <w:spacing w:val="4"/>
          <w:sz w:val="22"/>
          <w:szCs w:val="22"/>
          <w:lang w:val="en-GB"/>
        </w:rPr>
        <w:t xml:space="preserve"> </w:t>
      </w:r>
      <w:r w:rsidR="007F3A81" w:rsidRPr="00860CD7">
        <w:rPr>
          <w:color w:val="000000"/>
          <w:spacing w:val="1"/>
          <w:sz w:val="22"/>
          <w:szCs w:val="22"/>
          <w:lang w:val="en-GB"/>
        </w:rPr>
        <w:t>r</w:t>
      </w:r>
      <w:r w:rsidR="007F3A81" w:rsidRPr="00860CD7">
        <w:rPr>
          <w:color w:val="000000"/>
          <w:sz w:val="22"/>
          <w:szCs w:val="22"/>
          <w:lang w:val="en-GB"/>
        </w:rPr>
        <w:t>e</w:t>
      </w:r>
      <w:r w:rsidR="007F3A81" w:rsidRPr="00860CD7">
        <w:rPr>
          <w:color w:val="000000"/>
          <w:spacing w:val="-2"/>
          <w:sz w:val="22"/>
          <w:szCs w:val="22"/>
          <w:lang w:val="en-GB"/>
        </w:rPr>
        <w:t>q</w:t>
      </w:r>
      <w:r w:rsidR="007F3A81" w:rsidRPr="00860CD7">
        <w:rPr>
          <w:color w:val="000000"/>
          <w:sz w:val="22"/>
          <w:szCs w:val="22"/>
          <w:lang w:val="en-GB"/>
        </w:rPr>
        <w:t>ue</w:t>
      </w:r>
      <w:r w:rsidR="007F3A81" w:rsidRPr="00860CD7">
        <w:rPr>
          <w:color w:val="000000"/>
          <w:spacing w:val="-2"/>
          <w:sz w:val="22"/>
          <w:szCs w:val="22"/>
          <w:lang w:val="en-GB"/>
        </w:rPr>
        <w:t>s</w:t>
      </w:r>
      <w:r w:rsidR="007F3A81" w:rsidRPr="00860CD7">
        <w:rPr>
          <w:color w:val="000000"/>
          <w:spacing w:val="1"/>
          <w:sz w:val="22"/>
          <w:szCs w:val="22"/>
          <w:lang w:val="en-GB"/>
        </w:rPr>
        <w:t>t</w:t>
      </w:r>
      <w:r w:rsidR="007F3A81" w:rsidRPr="00860CD7">
        <w:rPr>
          <w:color w:val="000000"/>
          <w:sz w:val="22"/>
          <w:szCs w:val="22"/>
          <w:lang w:val="en-GB"/>
        </w:rPr>
        <w:t>ed</w:t>
      </w:r>
      <w:r w:rsidR="007F3A81" w:rsidRPr="00860CD7">
        <w:rPr>
          <w:color w:val="000000"/>
          <w:spacing w:val="4"/>
          <w:sz w:val="22"/>
          <w:szCs w:val="22"/>
          <w:lang w:val="en-GB"/>
        </w:rPr>
        <w:t xml:space="preserve"> </w:t>
      </w:r>
      <w:r w:rsidRPr="00860CD7">
        <w:rPr>
          <w:sz w:val="22"/>
          <w:szCs w:val="22"/>
          <w:lang w:val="en-GB"/>
        </w:rPr>
        <w:t xml:space="preserve">from the TC is </w:t>
      </w:r>
      <w:r w:rsidR="001F01D3">
        <w:rPr>
          <w:sz w:val="22"/>
          <w:szCs w:val="22"/>
          <w:lang w:val="en-GB"/>
        </w:rPr>
        <w:t xml:space="preserve">provided in the </w:t>
      </w:r>
      <w:r w:rsidR="00103F74">
        <w:rPr>
          <w:sz w:val="22"/>
          <w:szCs w:val="22"/>
          <w:lang w:val="en-GB"/>
        </w:rPr>
        <w:t>W</w:t>
      </w:r>
      <w:r w:rsidR="00F978F8">
        <w:rPr>
          <w:sz w:val="22"/>
          <w:szCs w:val="22"/>
          <w:lang w:val="en-GB"/>
        </w:rPr>
        <w:t xml:space="preserve">ork </w:t>
      </w:r>
      <w:r w:rsidR="00103F74">
        <w:rPr>
          <w:sz w:val="22"/>
          <w:szCs w:val="22"/>
          <w:lang w:val="en-GB"/>
        </w:rPr>
        <w:t>P</w:t>
      </w:r>
      <w:r w:rsidR="00F978F8">
        <w:rPr>
          <w:sz w:val="22"/>
          <w:szCs w:val="22"/>
          <w:lang w:val="en-GB"/>
        </w:rPr>
        <w:t xml:space="preserve">lan adopted by the MOP, however, the </w:t>
      </w:r>
      <w:r w:rsidR="0003085F">
        <w:rPr>
          <w:sz w:val="22"/>
          <w:szCs w:val="22"/>
          <w:lang w:val="en-GB"/>
        </w:rPr>
        <w:t xml:space="preserve">ratio </w:t>
      </w:r>
      <w:r w:rsidR="00F978F8">
        <w:rPr>
          <w:sz w:val="22"/>
          <w:szCs w:val="22"/>
          <w:lang w:val="en-GB"/>
        </w:rPr>
        <w:t xml:space="preserve">of essential and high </w:t>
      </w:r>
      <w:r w:rsidR="00D36851">
        <w:rPr>
          <w:sz w:val="22"/>
          <w:szCs w:val="22"/>
          <w:lang w:val="en-GB"/>
        </w:rPr>
        <w:t xml:space="preserve">priority </w:t>
      </w:r>
      <w:r w:rsidR="00F978F8">
        <w:rPr>
          <w:sz w:val="22"/>
          <w:szCs w:val="22"/>
          <w:lang w:val="en-GB"/>
        </w:rPr>
        <w:t xml:space="preserve">tasks is </w:t>
      </w:r>
      <w:r w:rsidR="00E97086">
        <w:rPr>
          <w:sz w:val="22"/>
          <w:szCs w:val="22"/>
          <w:lang w:val="en-GB"/>
        </w:rPr>
        <w:t>disproportionate (</w:t>
      </w:r>
      <w:r w:rsidR="00B67E92">
        <w:rPr>
          <w:sz w:val="22"/>
          <w:szCs w:val="22"/>
          <w:lang w:val="en-GB"/>
        </w:rPr>
        <w:t>66</w:t>
      </w:r>
      <w:r w:rsidR="00E97086">
        <w:rPr>
          <w:sz w:val="22"/>
          <w:szCs w:val="22"/>
          <w:lang w:val="en-GB"/>
        </w:rPr>
        <w:t xml:space="preserve">% of all </w:t>
      </w:r>
      <w:r w:rsidR="0003085F">
        <w:rPr>
          <w:sz w:val="22"/>
          <w:szCs w:val="22"/>
          <w:lang w:val="en-GB"/>
        </w:rPr>
        <w:t>tasks in the current triennium)</w:t>
      </w:r>
      <w:r w:rsidRPr="00860CD7">
        <w:rPr>
          <w:sz w:val="22"/>
          <w:szCs w:val="22"/>
          <w:lang w:val="en-GB"/>
        </w:rPr>
        <w:t xml:space="preserve">. </w:t>
      </w:r>
      <w:r w:rsidR="00F978F8">
        <w:rPr>
          <w:sz w:val="22"/>
          <w:szCs w:val="22"/>
          <w:lang w:val="en-GB"/>
        </w:rPr>
        <w:t>Further, more realistic, prioritisation will ensur</w:t>
      </w:r>
      <w:r w:rsidR="00C00B2F">
        <w:rPr>
          <w:sz w:val="22"/>
          <w:szCs w:val="22"/>
          <w:lang w:val="en-GB"/>
        </w:rPr>
        <w:t>e</w:t>
      </w:r>
      <w:r w:rsidR="00F978F8">
        <w:rPr>
          <w:sz w:val="22"/>
          <w:szCs w:val="22"/>
          <w:lang w:val="en-GB"/>
        </w:rPr>
        <w:t xml:space="preserve"> that the Committee can provide a more effective service to the Parties</w:t>
      </w:r>
      <w:r w:rsidR="00231EE2" w:rsidRPr="00860CD7">
        <w:rPr>
          <w:bCs/>
          <w:iCs/>
          <w:color w:val="000000"/>
          <w:sz w:val="22"/>
          <w:szCs w:val="22"/>
          <w:lang w:val="en-GB"/>
        </w:rPr>
        <w:t>.</w:t>
      </w:r>
    </w:p>
    <w:p w14:paraId="3877AA07" w14:textId="77777777" w:rsidR="00FD266A" w:rsidRPr="00860CD7" w:rsidRDefault="00FD266A" w:rsidP="009D5FB8">
      <w:pPr>
        <w:pStyle w:val="NoSpacing"/>
        <w:spacing w:line="276" w:lineRule="auto"/>
        <w:jc w:val="both"/>
        <w:rPr>
          <w:bCs/>
          <w:iCs/>
          <w:color w:val="000000"/>
          <w:sz w:val="22"/>
          <w:szCs w:val="22"/>
          <w:lang w:val="en-GB"/>
        </w:rPr>
      </w:pPr>
    </w:p>
    <w:p w14:paraId="61C2B2DF" w14:textId="2E7F96A1" w:rsidR="00FD266A" w:rsidRPr="00860CD7" w:rsidRDefault="00CF623E" w:rsidP="009D5FB8">
      <w:pPr>
        <w:pStyle w:val="NoSpacing"/>
        <w:spacing w:line="276" w:lineRule="auto"/>
        <w:jc w:val="both"/>
        <w:rPr>
          <w:bCs/>
          <w:iCs/>
          <w:color w:val="000000"/>
          <w:sz w:val="22"/>
          <w:szCs w:val="22"/>
          <w:lang w:val="en-GB"/>
        </w:rPr>
      </w:pPr>
      <w:r w:rsidRPr="00CF623E">
        <w:rPr>
          <w:bCs/>
          <w:iCs/>
          <w:color w:val="000000"/>
          <w:sz w:val="22"/>
          <w:szCs w:val="22"/>
          <w:lang w:val="en-GB"/>
        </w:rPr>
        <w:t>The Secretariat is very closely engaged in the work of the Technical Committee</w:t>
      </w:r>
      <w:r w:rsidR="004354A6">
        <w:rPr>
          <w:bCs/>
          <w:iCs/>
          <w:color w:val="000000"/>
          <w:sz w:val="22"/>
          <w:szCs w:val="22"/>
          <w:lang w:val="en-GB"/>
        </w:rPr>
        <w:t xml:space="preserve"> by</w:t>
      </w:r>
      <w:r w:rsidRPr="00CF623E">
        <w:rPr>
          <w:bCs/>
          <w:iCs/>
          <w:color w:val="000000"/>
          <w:sz w:val="22"/>
          <w:szCs w:val="22"/>
          <w:lang w:val="en-GB"/>
        </w:rPr>
        <w:t xml:space="preserve"> </w:t>
      </w:r>
      <w:r w:rsidR="004354A6" w:rsidRPr="00CF623E">
        <w:rPr>
          <w:bCs/>
          <w:iCs/>
          <w:color w:val="000000"/>
          <w:sz w:val="22"/>
          <w:szCs w:val="22"/>
          <w:lang w:val="en-GB"/>
        </w:rPr>
        <w:t xml:space="preserve">providing excellent support </w:t>
      </w:r>
      <w:r w:rsidR="004354A6">
        <w:rPr>
          <w:bCs/>
          <w:iCs/>
          <w:color w:val="000000"/>
          <w:sz w:val="22"/>
          <w:szCs w:val="22"/>
          <w:lang w:val="en-GB"/>
        </w:rPr>
        <w:t xml:space="preserve">and </w:t>
      </w:r>
      <w:r w:rsidRPr="00CF623E">
        <w:rPr>
          <w:bCs/>
          <w:iCs/>
          <w:color w:val="000000"/>
          <w:sz w:val="22"/>
          <w:szCs w:val="22"/>
          <w:lang w:val="en-GB"/>
        </w:rPr>
        <w:t xml:space="preserve">contributing significantly </w:t>
      </w:r>
      <w:r w:rsidR="004354A6">
        <w:rPr>
          <w:bCs/>
          <w:iCs/>
          <w:color w:val="000000"/>
          <w:sz w:val="22"/>
          <w:szCs w:val="22"/>
          <w:lang w:val="en-GB"/>
        </w:rPr>
        <w:t>to the implementation of the Work Plan</w:t>
      </w:r>
      <w:r w:rsidRPr="00CF623E">
        <w:rPr>
          <w:bCs/>
          <w:iCs/>
          <w:color w:val="000000"/>
          <w:sz w:val="22"/>
          <w:szCs w:val="22"/>
          <w:lang w:val="en-GB"/>
        </w:rPr>
        <w:t>.</w:t>
      </w:r>
      <w:r>
        <w:rPr>
          <w:bCs/>
          <w:iCs/>
          <w:color w:val="000000"/>
          <w:sz w:val="22"/>
          <w:szCs w:val="22"/>
          <w:lang w:val="en-GB"/>
        </w:rPr>
        <w:t xml:space="preserve"> </w:t>
      </w:r>
      <w:r w:rsidR="00FD266A" w:rsidRPr="00860CD7">
        <w:rPr>
          <w:bCs/>
          <w:iCs/>
          <w:color w:val="000000"/>
          <w:sz w:val="22"/>
          <w:szCs w:val="22"/>
          <w:lang w:val="en-GB"/>
        </w:rPr>
        <w:t xml:space="preserve">With the ever-increasing work portfolio of the Secretariat, the staff </w:t>
      </w:r>
      <w:r w:rsidR="00C00B2F">
        <w:rPr>
          <w:bCs/>
          <w:iCs/>
          <w:color w:val="000000"/>
          <w:sz w:val="22"/>
          <w:szCs w:val="22"/>
          <w:lang w:val="en-GB"/>
        </w:rPr>
        <w:t>are</w:t>
      </w:r>
      <w:r w:rsidR="00C00B2F" w:rsidRPr="00860CD7">
        <w:rPr>
          <w:bCs/>
          <w:iCs/>
          <w:color w:val="000000"/>
          <w:sz w:val="22"/>
          <w:szCs w:val="22"/>
          <w:lang w:val="en-GB"/>
        </w:rPr>
        <w:t xml:space="preserve"> </w:t>
      </w:r>
      <w:r w:rsidR="00436141" w:rsidRPr="00860CD7">
        <w:rPr>
          <w:bCs/>
          <w:iCs/>
          <w:color w:val="000000"/>
          <w:sz w:val="22"/>
          <w:szCs w:val="22"/>
          <w:lang w:val="en-GB"/>
        </w:rPr>
        <w:t>making every effort to deliver on all its mandates</w:t>
      </w:r>
      <w:r w:rsidR="00103F74">
        <w:rPr>
          <w:bCs/>
          <w:iCs/>
          <w:color w:val="000000"/>
          <w:sz w:val="22"/>
          <w:szCs w:val="22"/>
          <w:lang w:val="en-GB"/>
        </w:rPr>
        <w:t>, but the ability to facilitate the work of the Technical Committee is declining</w:t>
      </w:r>
      <w:r w:rsidR="00436141" w:rsidRPr="00860CD7">
        <w:rPr>
          <w:bCs/>
          <w:iCs/>
          <w:color w:val="000000"/>
          <w:sz w:val="22"/>
          <w:szCs w:val="22"/>
          <w:lang w:val="en-GB"/>
        </w:rPr>
        <w:t xml:space="preserve">. In order to support the Secretariat in delivering </w:t>
      </w:r>
      <w:r w:rsidR="00103F74">
        <w:rPr>
          <w:bCs/>
          <w:iCs/>
          <w:color w:val="000000"/>
          <w:sz w:val="22"/>
          <w:szCs w:val="22"/>
          <w:lang w:val="en-GB"/>
        </w:rPr>
        <w:t xml:space="preserve">better </w:t>
      </w:r>
      <w:r w:rsidR="00436141" w:rsidRPr="00860CD7">
        <w:rPr>
          <w:bCs/>
          <w:iCs/>
          <w:color w:val="000000"/>
          <w:sz w:val="22"/>
          <w:szCs w:val="22"/>
          <w:lang w:val="en-GB"/>
        </w:rPr>
        <w:t>their facilitating role to the Technical Committee,</w:t>
      </w:r>
      <w:r w:rsidR="00977C73">
        <w:rPr>
          <w:bCs/>
          <w:iCs/>
          <w:color w:val="000000"/>
          <w:sz w:val="22"/>
          <w:szCs w:val="22"/>
          <w:lang w:val="en-GB"/>
        </w:rPr>
        <w:t xml:space="preserve"> </w:t>
      </w:r>
      <w:r w:rsidR="00103F74">
        <w:rPr>
          <w:bCs/>
          <w:iCs/>
          <w:color w:val="000000"/>
          <w:sz w:val="22"/>
          <w:szCs w:val="22"/>
          <w:lang w:val="en-GB"/>
        </w:rPr>
        <w:t xml:space="preserve">the </w:t>
      </w:r>
      <w:r w:rsidR="00977C73">
        <w:rPr>
          <w:bCs/>
          <w:iCs/>
          <w:color w:val="000000"/>
          <w:sz w:val="22"/>
          <w:szCs w:val="22"/>
          <w:lang w:val="en-GB"/>
        </w:rPr>
        <w:t>MOP through Resolution</w:t>
      </w:r>
      <w:r w:rsidR="00103F74">
        <w:rPr>
          <w:bCs/>
          <w:iCs/>
          <w:color w:val="000000"/>
          <w:sz w:val="22"/>
          <w:szCs w:val="22"/>
          <w:lang w:val="en-GB"/>
        </w:rPr>
        <w:t>s</w:t>
      </w:r>
      <w:r w:rsidR="00977C73">
        <w:rPr>
          <w:bCs/>
          <w:iCs/>
          <w:color w:val="000000"/>
          <w:sz w:val="22"/>
          <w:szCs w:val="22"/>
          <w:lang w:val="en-GB"/>
        </w:rPr>
        <w:t xml:space="preserve"> 7.11 </w:t>
      </w:r>
      <w:r w:rsidR="00103F74">
        <w:rPr>
          <w:bCs/>
          <w:iCs/>
          <w:color w:val="000000"/>
          <w:sz w:val="22"/>
          <w:szCs w:val="22"/>
          <w:lang w:val="en-GB"/>
        </w:rPr>
        <w:t xml:space="preserve">and 8.11 </w:t>
      </w:r>
      <w:r w:rsidR="00252018">
        <w:rPr>
          <w:bCs/>
          <w:iCs/>
          <w:color w:val="000000"/>
          <w:sz w:val="22"/>
          <w:szCs w:val="22"/>
          <w:lang w:val="en-GB"/>
        </w:rPr>
        <w:t>urged those</w:t>
      </w:r>
      <w:r w:rsidR="00977C73">
        <w:rPr>
          <w:bCs/>
          <w:iCs/>
          <w:color w:val="000000"/>
          <w:sz w:val="22"/>
          <w:szCs w:val="22"/>
          <w:lang w:val="en-GB"/>
        </w:rPr>
        <w:t xml:space="preserve"> </w:t>
      </w:r>
      <w:r w:rsidR="00977C73" w:rsidRPr="00977C73">
        <w:rPr>
          <w:bCs/>
          <w:iCs/>
          <w:color w:val="000000"/>
          <w:sz w:val="22"/>
          <w:szCs w:val="22"/>
          <w:lang w:val="en-GB"/>
        </w:rPr>
        <w:t>Contracting Parties which provide Junior Professional Officers (JPO) to the United Nations system to prioritise and allocate a JPO to the UNEP/AEWA Secretariat for Technical Committee support</w:t>
      </w:r>
      <w:r w:rsidR="005257D8" w:rsidRPr="00860CD7">
        <w:rPr>
          <w:bCs/>
          <w:iCs/>
          <w:color w:val="000000"/>
          <w:sz w:val="22"/>
          <w:szCs w:val="22"/>
          <w:lang w:val="en-GB"/>
        </w:rPr>
        <w:t xml:space="preserve">. </w:t>
      </w:r>
      <w:r w:rsidR="00977C73">
        <w:rPr>
          <w:bCs/>
          <w:iCs/>
          <w:color w:val="000000"/>
          <w:sz w:val="22"/>
          <w:szCs w:val="22"/>
          <w:lang w:val="en-GB"/>
        </w:rPr>
        <w:t xml:space="preserve">Unfortunately, no JPO </w:t>
      </w:r>
      <w:r w:rsidR="00103F74">
        <w:rPr>
          <w:bCs/>
          <w:iCs/>
          <w:color w:val="000000"/>
          <w:sz w:val="22"/>
          <w:szCs w:val="22"/>
          <w:lang w:val="en-GB"/>
        </w:rPr>
        <w:t>has</w:t>
      </w:r>
      <w:r w:rsidR="00977C73">
        <w:rPr>
          <w:bCs/>
          <w:iCs/>
          <w:color w:val="000000"/>
          <w:sz w:val="22"/>
          <w:szCs w:val="22"/>
          <w:lang w:val="en-GB"/>
        </w:rPr>
        <w:t xml:space="preserve"> </w:t>
      </w:r>
      <w:r w:rsidR="00103F74">
        <w:rPr>
          <w:bCs/>
          <w:iCs/>
          <w:color w:val="000000"/>
          <w:sz w:val="22"/>
          <w:szCs w:val="22"/>
          <w:lang w:val="en-GB"/>
        </w:rPr>
        <w:t xml:space="preserve">been </w:t>
      </w:r>
      <w:r w:rsidR="00977C73">
        <w:rPr>
          <w:bCs/>
          <w:iCs/>
          <w:color w:val="000000"/>
          <w:sz w:val="22"/>
          <w:szCs w:val="22"/>
          <w:lang w:val="en-GB"/>
        </w:rPr>
        <w:t xml:space="preserve">allocated to the UNEP/AEWA Secretariat </w:t>
      </w:r>
      <w:r w:rsidR="00103F74">
        <w:rPr>
          <w:bCs/>
          <w:iCs/>
          <w:color w:val="000000"/>
          <w:sz w:val="22"/>
          <w:szCs w:val="22"/>
          <w:lang w:val="en-GB"/>
        </w:rPr>
        <w:t>to date</w:t>
      </w:r>
      <w:r w:rsidR="00977C73">
        <w:rPr>
          <w:bCs/>
          <w:iCs/>
          <w:color w:val="000000"/>
          <w:sz w:val="22"/>
          <w:szCs w:val="22"/>
          <w:lang w:val="en-GB"/>
        </w:rPr>
        <w:t xml:space="preserve">. </w:t>
      </w:r>
    </w:p>
    <w:p w14:paraId="6485563B" w14:textId="77777777" w:rsidR="00A03363" w:rsidRPr="00860CD7" w:rsidRDefault="00A03363" w:rsidP="00A03363">
      <w:pPr>
        <w:autoSpaceDE w:val="0"/>
        <w:autoSpaceDN w:val="0"/>
        <w:adjustRightInd w:val="0"/>
        <w:spacing w:after="120" w:line="276" w:lineRule="auto"/>
        <w:ind w:left="1831"/>
        <w:jc w:val="both"/>
        <w:rPr>
          <w:sz w:val="22"/>
          <w:szCs w:val="22"/>
          <w:lang w:val="en-GB"/>
        </w:rPr>
      </w:pPr>
    </w:p>
    <w:p w14:paraId="2BB49737" w14:textId="77777777" w:rsidR="00A03363" w:rsidRPr="00860CD7" w:rsidRDefault="00A03363" w:rsidP="00A03363">
      <w:pPr>
        <w:autoSpaceDE w:val="0"/>
        <w:autoSpaceDN w:val="0"/>
        <w:adjustRightInd w:val="0"/>
        <w:spacing w:after="120" w:line="276" w:lineRule="auto"/>
        <w:jc w:val="both"/>
        <w:rPr>
          <w:b/>
          <w:color w:val="FF0000"/>
          <w:sz w:val="22"/>
          <w:szCs w:val="22"/>
          <w:u w:val="single"/>
          <w:lang w:val="en-GB"/>
        </w:rPr>
      </w:pPr>
    </w:p>
    <w:p w14:paraId="7B1DC454" w14:textId="77777777" w:rsidR="003E2E45" w:rsidRDefault="003E2E45" w:rsidP="009D5FB8">
      <w:pPr>
        <w:tabs>
          <w:tab w:val="left" w:pos="2085"/>
        </w:tabs>
        <w:spacing w:line="276" w:lineRule="auto"/>
        <w:rPr>
          <w:i/>
          <w:sz w:val="22"/>
          <w:szCs w:val="22"/>
          <w:lang w:val="en-GB"/>
        </w:rPr>
      </w:pPr>
    </w:p>
    <w:p w14:paraId="20F4F09A" w14:textId="19BD0227" w:rsidR="00467F45" w:rsidRDefault="00467F45" w:rsidP="009D5FB8">
      <w:pPr>
        <w:tabs>
          <w:tab w:val="left" w:pos="2085"/>
        </w:tabs>
        <w:spacing w:line="276" w:lineRule="auto"/>
        <w:rPr>
          <w:i/>
          <w:sz w:val="22"/>
          <w:szCs w:val="22"/>
          <w:lang w:val="en-GB"/>
        </w:rPr>
        <w:sectPr w:rsidR="00467F45" w:rsidSect="00675AD0">
          <w:headerReference w:type="even" r:id="rId15"/>
          <w:headerReference w:type="default" r:id="rId16"/>
          <w:footerReference w:type="even" r:id="rId17"/>
          <w:footerReference w:type="default" r:id="rId18"/>
          <w:headerReference w:type="first" r:id="rId19"/>
          <w:footerReference w:type="first" r:id="rId20"/>
          <w:pgSz w:w="11906" w:h="16838" w:code="9"/>
          <w:pgMar w:top="1526" w:right="749" w:bottom="1134" w:left="907" w:header="432" w:footer="432" w:gutter="0"/>
          <w:cols w:space="1296"/>
          <w:titlePg/>
          <w:docGrid w:linePitch="360"/>
        </w:sectPr>
      </w:pPr>
    </w:p>
    <w:tbl>
      <w:tblPr>
        <w:tblpPr w:leftFromText="180" w:rightFromText="180" w:vertAnchor="text" w:tblpXSpec="center" w:tblpY="-1136"/>
        <w:tblW w:w="5216" w:type="pct"/>
        <w:tblLayout w:type="fixed"/>
        <w:tblLook w:val="04A0" w:firstRow="1" w:lastRow="0" w:firstColumn="1" w:lastColumn="0" w:noHBand="0" w:noVBand="1"/>
      </w:tblPr>
      <w:tblGrid>
        <w:gridCol w:w="4767"/>
        <w:gridCol w:w="1144"/>
        <w:gridCol w:w="2160"/>
        <w:gridCol w:w="5160"/>
        <w:gridCol w:w="2607"/>
      </w:tblGrid>
      <w:tr w:rsidR="002F6ED1" w:rsidRPr="00860CD7" w14:paraId="3D8F4FC6" w14:textId="77777777" w:rsidTr="008E1311">
        <w:trPr>
          <w:trHeight w:val="567"/>
        </w:trPr>
        <w:tc>
          <w:tcPr>
            <w:tcW w:w="5000" w:type="pct"/>
            <w:gridSpan w:val="5"/>
            <w:shd w:val="clear" w:color="auto" w:fill="FFF2CC" w:themeFill="accent4" w:themeFillTint="33"/>
            <w:vAlign w:val="center"/>
            <w:hideMark/>
          </w:tcPr>
          <w:p w14:paraId="01C6AAB3" w14:textId="77777777" w:rsidR="002F6ED1" w:rsidRPr="000A7EC8" w:rsidRDefault="002F6ED1" w:rsidP="002F6ED1">
            <w:pPr>
              <w:keepNext/>
              <w:spacing w:line="276" w:lineRule="auto"/>
              <w:rPr>
                <w:b/>
                <w:lang w:val="en-GB"/>
              </w:rPr>
            </w:pPr>
            <w:r w:rsidRPr="00860CD7">
              <w:rPr>
                <w:sz w:val="22"/>
                <w:szCs w:val="22"/>
                <w:lang w:val="en-GB"/>
              </w:rPr>
              <w:lastRenderedPageBreak/>
              <w:br w:type="page"/>
            </w:r>
            <w:r w:rsidRPr="00860CD7">
              <w:rPr>
                <w:b/>
                <w:sz w:val="22"/>
                <w:szCs w:val="22"/>
                <w:lang w:val="en-GB"/>
              </w:rPr>
              <w:t xml:space="preserve"> </w:t>
            </w:r>
            <w:r w:rsidRPr="000A7EC8">
              <w:rPr>
                <w:b/>
                <w:color w:val="2F5496" w:themeColor="accent1" w:themeShade="BF"/>
                <w:lang w:val="en-GB"/>
              </w:rPr>
              <w:t>Field of application (Working Group 1)</w:t>
            </w:r>
          </w:p>
        </w:tc>
      </w:tr>
      <w:tr w:rsidR="002F6ED1" w:rsidRPr="00860CD7" w14:paraId="267E021C"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blHeader/>
        </w:trPr>
        <w:tc>
          <w:tcPr>
            <w:tcW w:w="15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DF421FE" w14:textId="77777777" w:rsidR="002F6ED1" w:rsidRPr="00860CD7" w:rsidRDefault="002F6ED1" w:rsidP="002F6ED1">
            <w:pPr>
              <w:keepNext/>
              <w:spacing w:line="276" w:lineRule="auto"/>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C8ED8E" w14:textId="77777777" w:rsidR="002F6ED1" w:rsidRPr="003E2E45" w:rsidRDefault="002F6ED1" w:rsidP="002F6ED1">
            <w:pPr>
              <w:keepNext/>
              <w:spacing w:line="276" w:lineRule="auto"/>
              <w:rPr>
                <w:b/>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4E4A17" w14:textId="77777777" w:rsidR="002F6ED1" w:rsidRPr="003E2E45" w:rsidRDefault="002F6ED1" w:rsidP="002F6ED1">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7CFE3E" w14:textId="77777777" w:rsidR="002F6ED1" w:rsidRPr="003E2E45" w:rsidRDefault="002F6ED1" w:rsidP="002F6ED1">
            <w:pPr>
              <w:keepNext/>
              <w:spacing w:line="276" w:lineRule="auto"/>
              <w:rPr>
                <w:b/>
                <w:sz w:val="22"/>
                <w:szCs w:val="22"/>
                <w:lang w:val="en-GB"/>
              </w:rPr>
            </w:pPr>
            <w:r w:rsidRPr="002C2F9E">
              <w:rPr>
                <w:b/>
                <w:sz w:val="22"/>
                <w:szCs w:val="22"/>
                <w:lang w:val="en-GB"/>
              </w:rPr>
              <w:t>Actions undertaken by the TC</w:t>
            </w:r>
          </w:p>
        </w:tc>
        <w:tc>
          <w:tcPr>
            <w:tcW w:w="8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032589C" w14:textId="0D399CC0" w:rsidR="002F6ED1" w:rsidRPr="003E2E45" w:rsidRDefault="002F6ED1" w:rsidP="002F6ED1">
            <w:pPr>
              <w:keepNext/>
              <w:spacing w:line="276" w:lineRule="auto"/>
              <w:rPr>
                <w:b/>
                <w:sz w:val="22"/>
                <w:szCs w:val="22"/>
                <w:lang w:val="en-GB"/>
              </w:rPr>
            </w:pPr>
            <w:r w:rsidRPr="003E2E45">
              <w:rPr>
                <w:b/>
                <w:sz w:val="22"/>
                <w:szCs w:val="22"/>
                <w:lang w:val="en-GB"/>
              </w:rPr>
              <w:t>Relevant MOP</w:t>
            </w:r>
            <w:r w:rsidR="004C675F">
              <w:rPr>
                <w:b/>
                <w:sz w:val="22"/>
                <w:szCs w:val="22"/>
                <w:lang w:val="en-GB"/>
              </w:rPr>
              <w:t>9</w:t>
            </w:r>
            <w:r w:rsidRPr="003E2E45">
              <w:rPr>
                <w:b/>
                <w:sz w:val="22"/>
                <w:szCs w:val="22"/>
                <w:lang w:val="en-GB"/>
              </w:rPr>
              <w:t xml:space="preserve"> documents </w:t>
            </w:r>
          </w:p>
        </w:tc>
      </w:tr>
      <w:tr w:rsidR="002F6ED1" w:rsidRPr="00860CD7" w14:paraId="6FBAF216" w14:textId="77777777" w:rsidTr="00BE2C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4B23B0CF" w14:textId="77777777" w:rsidR="002F6ED1" w:rsidRPr="004F34E8" w:rsidRDefault="002F6ED1" w:rsidP="002F6ED1">
            <w:pPr>
              <w:spacing w:line="276" w:lineRule="auto"/>
              <w:rPr>
                <w:b/>
                <w:bCs/>
                <w:sz w:val="22"/>
                <w:szCs w:val="22"/>
                <w:lang w:val="en-GB"/>
              </w:rPr>
            </w:pPr>
            <w:r w:rsidRPr="004F34E8">
              <w:rPr>
                <w:b/>
                <w:bCs/>
                <w:sz w:val="22"/>
                <w:szCs w:val="22"/>
                <w:lang w:val="en-GB"/>
              </w:rPr>
              <w:t xml:space="preserve">1.1. Taxonomy &amp; nomenclature </w:t>
            </w:r>
          </w:p>
          <w:p w14:paraId="3342C5C0" w14:textId="77777777" w:rsidR="002F6ED1" w:rsidRPr="00D224FC" w:rsidRDefault="002F6ED1" w:rsidP="002F6ED1">
            <w:pPr>
              <w:spacing w:line="276" w:lineRule="auto"/>
              <w:rPr>
                <w:sz w:val="22"/>
                <w:szCs w:val="22"/>
                <w:lang w:val="en-GB"/>
              </w:rPr>
            </w:pPr>
            <w:r w:rsidRPr="004F34E8">
              <w:rPr>
                <w:sz w:val="22"/>
                <w:szCs w:val="22"/>
                <w:lang w:val="en-GB"/>
              </w:rPr>
              <w:t>Maintain overview of taxonomic and nomenclatural issues and advise on the need to update Annex 2 to the Agreement as necessary</w:t>
            </w:r>
            <w:r>
              <w:rPr>
                <w:sz w:val="22"/>
                <w:szCs w:val="22"/>
                <w:lang w:val="en-GB"/>
              </w:rPr>
              <w:t xml:space="preserve"> </w:t>
            </w:r>
            <w:r w:rsidRPr="00B4261B">
              <w:rPr>
                <w:sz w:val="22"/>
                <w:szCs w:val="22"/>
                <w:lang w:val="en-GB"/>
              </w:rPr>
              <w:t>(</w:t>
            </w:r>
            <w:r w:rsidRPr="00CB02C2">
              <w:rPr>
                <w:i/>
                <w:iCs/>
                <w:sz w:val="22"/>
                <w:szCs w:val="22"/>
                <w:lang w:val="en-GB"/>
              </w:rPr>
              <w:t>carried over from Work Plan 2016-2018</w:t>
            </w:r>
            <w:r w:rsidRPr="00B4261B">
              <w:rPr>
                <w:sz w:val="22"/>
                <w:szCs w:val="22"/>
                <w:lang w:val="en-GB"/>
              </w:rPr>
              <w:t>)</w:t>
            </w:r>
            <w:r w:rsidRPr="004F34E8">
              <w:rPr>
                <w:sz w:val="22"/>
                <w:szCs w:val="22"/>
                <w:lang w:val="en-GB"/>
              </w:rPr>
              <w:t>.</w:t>
            </w:r>
            <w:r>
              <w:rPr>
                <w:sz w:val="22"/>
                <w:szCs w:val="22"/>
                <w:lang w:val="en-GB"/>
              </w:rPr>
              <w:t xml:space="preserve"> </w:t>
            </w:r>
            <w:r w:rsidRPr="006126CE">
              <w:rPr>
                <w:sz w:val="22"/>
                <w:szCs w:val="22"/>
                <w:lang w:val="en-GB"/>
              </w:rPr>
              <w:t>(</w:t>
            </w:r>
            <w:r w:rsidRPr="006126CE">
              <w:rPr>
                <w:i/>
                <w:iCs/>
                <w:sz w:val="22"/>
                <w:szCs w:val="22"/>
                <w:lang w:val="en-GB"/>
              </w:rPr>
              <w:t>Resolution 6.1</w:t>
            </w:r>
            <w:r w:rsidRPr="006126CE">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23A91458" w14:textId="04758FE4" w:rsidR="002F6ED1" w:rsidRPr="00BE2C84" w:rsidRDefault="00BE2C84" w:rsidP="002F6ED1">
            <w:pPr>
              <w:spacing w:line="276" w:lineRule="auto"/>
              <w:rPr>
                <w:b/>
                <w:bCs/>
                <w:sz w:val="22"/>
                <w:szCs w:val="22"/>
                <w:lang w:val="en-GB"/>
              </w:rPr>
            </w:pPr>
            <w:r w:rsidRPr="00BE2C84">
              <w:rPr>
                <w:b/>
                <w:bCs/>
                <w:sz w:val="22"/>
                <w:szCs w:val="22"/>
                <w:lang w:val="en-GB"/>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287E3349" w14:textId="77777777" w:rsidR="002F6ED1" w:rsidRPr="00092BFA" w:rsidRDefault="002F6ED1" w:rsidP="002F6ED1">
            <w:pPr>
              <w:spacing w:line="276" w:lineRule="auto"/>
              <w:rPr>
                <w:b/>
                <w:bCs/>
                <w:sz w:val="22"/>
                <w:szCs w:val="22"/>
                <w:lang w:val="en-GB"/>
              </w:rPr>
            </w:pPr>
            <w:r w:rsidRPr="00092BFA">
              <w:rPr>
                <w:b/>
                <w:bCs/>
                <w:sz w:val="22"/>
                <w:szCs w:val="22"/>
                <w:shd w:val="clear" w:color="auto" w:fill="92D050"/>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0C823DA8" w14:textId="30D0B2E7" w:rsidR="002F6ED1" w:rsidRDefault="002F6ED1" w:rsidP="002F6ED1">
            <w:pPr>
              <w:spacing w:line="276" w:lineRule="auto"/>
              <w:rPr>
                <w:sz w:val="22"/>
                <w:szCs w:val="22"/>
                <w:lang w:val="en-GB"/>
              </w:rPr>
            </w:pPr>
            <w:r>
              <w:rPr>
                <w:sz w:val="22"/>
                <w:szCs w:val="22"/>
                <w:lang w:val="en-GB"/>
              </w:rPr>
              <w:t xml:space="preserve">A workflow was </w:t>
            </w:r>
            <w:r w:rsidR="00B03316">
              <w:rPr>
                <w:sz w:val="22"/>
                <w:szCs w:val="22"/>
                <w:lang w:val="en-GB"/>
              </w:rPr>
              <w:t xml:space="preserve">previously </w:t>
            </w:r>
            <w:r>
              <w:rPr>
                <w:sz w:val="22"/>
                <w:szCs w:val="22"/>
                <w:lang w:val="en-GB"/>
              </w:rPr>
              <w:t xml:space="preserve">established with BirdLife International </w:t>
            </w:r>
            <w:r w:rsidRPr="007A3443">
              <w:rPr>
                <w:sz w:val="22"/>
                <w:szCs w:val="22"/>
                <w:lang w:val="en-GB"/>
              </w:rPr>
              <w:t xml:space="preserve">whereby changes to taxonomy and nomenclature in the Checklist of the Birds of the World affecting AEWA species are regularly submitted to the attention of AEWA and </w:t>
            </w:r>
            <w:r>
              <w:rPr>
                <w:sz w:val="22"/>
                <w:szCs w:val="22"/>
                <w:lang w:val="en-GB"/>
              </w:rPr>
              <w:t>t</w:t>
            </w:r>
            <w:r w:rsidRPr="007A3443">
              <w:rPr>
                <w:sz w:val="22"/>
                <w:szCs w:val="22"/>
                <w:lang w:val="en-GB"/>
              </w:rPr>
              <w:t xml:space="preserve">axonomic issues/proposals coming up during the AEWA Conservation Status Review process (particularly sub-species level taxonomy) </w:t>
            </w:r>
            <w:r>
              <w:rPr>
                <w:sz w:val="22"/>
                <w:szCs w:val="22"/>
                <w:lang w:val="en-GB"/>
              </w:rPr>
              <w:t xml:space="preserve">are </w:t>
            </w:r>
            <w:r w:rsidRPr="007A3443">
              <w:rPr>
                <w:sz w:val="22"/>
                <w:szCs w:val="22"/>
                <w:lang w:val="en-GB"/>
              </w:rPr>
              <w:t>referred to the BirdLife Taxonomic Working Group</w:t>
            </w:r>
            <w:r>
              <w:rPr>
                <w:sz w:val="22"/>
                <w:szCs w:val="22"/>
                <w:lang w:val="en-GB"/>
              </w:rPr>
              <w:t xml:space="preserve"> for review.</w:t>
            </w:r>
          </w:p>
          <w:p w14:paraId="7B840A1A" w14:textId="77777777" w:rsidR="002F6ED1" w:rsidRDefault="002F6ED1" w:rsidP="002F6ED1">
            <w:pPr>
              <w:spacing w:line="276" w:lineRule="auto"/>
              <w:rPr>
                <w:sz w:val="22"/>
                <w:szCs w:val="22"/>
                <w:lang w:val="en-GB"/>
              </w:rPr>
            </w:pPr>
          </w:p>
          <w:p w14:paraId="138490DE" w14:textId="694BDF07" w:rsidR="002F6ED1" w:rsidRDefault="002F6ED1" w:rsidP="002F6ED1">
            <w:pPr>
              <w:spacing w:line="276" w:lineRule="auto"/>
              <w:rPr>
                <w:sz w:val="22"/>
                <w:szCs w:val="22"/>
                <w:lang w:val="en-GB"/>
              </w:rPr>
            </w:pPr>
            <w:r>
              <w:rPr>
                <w:sz w:val="22"/>
                <w:szCs w:val="22"/>
                <w:lang w:val="en-GB"/>
              </w:rPr>
              <w:t xml:space="preserve">The TC was notified of nomenclature changes (English or scientific name) affecting </w:t>
            </w:r>
            <w:r w:rsidR="00B03316">
              <w:rPr>
                <w:sz w:val="22"/>
                <w:szCs w:val="22"/>
                <w:lang w:val="en-GB"/>
              </w:rPr>
              <w:t xml:space="preserve">nine </w:t>
            </w:r>
            <w:r w:rsidRPr="005B6AC0">
              <w:rPr>
                <w:sz w:val="22"/>
                <w:szCs w:val="22"/>
                <w:lang w:val="en-GB"/>
              </w:rPr>
              <w:t>AEWA species</w:t>
            </w:r>
            <w:r w:rsidR="003E68B7">
              <w:rPr>
                <w:sz w:val="22"/>
                <w:szCs w:val="22"/>
                <w:lang w:val="en-GB"/>
              </w:rPr>
              <w:t xml:space="preserve"> (</w:t>
            </w:r>
            <w:r w:rsidR="00B03316">
              <w:rPr>
                <w:sz w:val="22"/>
                <w:szCs w:val="22"/>
                <w:lang w:val="en-GB"/>
              </w:rPr>
              <w:t>Marbled</w:t>
            </w:r>
            <w:r w:rsidR="003E68B7">
              <w:rPr>
                <w:sz w:val="22"/>
                <w:szCs w:val="22"/>
                <w:lang w:val="en-GB"/>
              </w:rPr>
              <w:t xml:space="preserve"> Teal, </w:t>
            </w:r>
            <w:r w:rsidR="00B03316">
              <w:rPr>
                <w:sz w:val="22"/>
                <w:szCs w:val="22"/>
                <w:lang w:val="en-GB"/>
              </w:rPr>
              <w:t>Spotted Teal, Common Coot, Marabou, Black-crowned Night-heron, Madagascar Pond-heron, Lesser Sandplover, White-headed Lapwing, and Pintail Snipe</w:t>
            </w:r>
            <w:r w:rsidR="003E68B7">
              <w:rPr>
                <w:sz w:val="22"/>
                <w:szCs w:val="22"/>
                <w:lang w:val="en-GB"/>
              </w:rPr>
              <w:t>)</w:t>
            </w:r>
            <w:r>
              <w:rPr>
                <w:sz w:val="22"/>
                <w:szCs w:val="22"/>
                <w:lang w:val="en-GB"/>
              </w:rPr>
              <w:t xml:space="preserve">. These were reviewed and included in the proposal for amendments of the AEWA Annexes submitted </w:t>
            </w:r>
            <w:r w:rsidRPr="007A3443">
              <w:rPr>
                <w:sz w:val="22"/>
                <w:szCs w:val="22"/>
                <w:lang w:val="en-GB"/>
              </w:rPr>
              <w:t>to MOP</w:t>
            </w:r>
            <w:r w:rsidR="00B03316">
              <w:rPr>
                <w:sz w:val="22"/>
                <w:szCs w:val="22"/>
                <w:lang w:val="en-GB"/>
              </w:rPr>
              <w:t>9</w:t>
            </w:r>
            <w:r w:rsidRPr="007A3443">
              <w:rPr>
                <w:sz w:val="22"/>
                <w:szCs w:val="22"/>
                <w:lang w:val="en-GB"/>
              </w:rPr>
              <w:t xml:space="preserve"> by </w:t>
            </w:r>
            <w:r w:rsidR="00706451">
              <w:rPr>
                <w:sz w:val="22"/>
                <w:szCs w:val="22"/>
                <w:lang w:val="en-GB"/>
              </w:rPr>
              <w:t xml:space="preserve">the </w:t>
            </w:r>
            <w:r w:rsidR="003B3FA4">
              <w:rPr>
                <w:sz w:val="22"/>
                <w:szCs w:val="22"/>
                <w:lang w:val="en-GB"/>
              </w:rPr>
              <w:t xml:space="preserve">United Kingdom </w:t>
            </w:r>
            <w:r w:rsidRPr="007A3443">
              <w:rPr>
                <w:sz w:val="22"/>
                <w:szCs w:val="22"/>
                <w:lang w:val="en-GB"/>
              </w:rPr>
              <w:t>in accordance with Article X of the Agreement.</w:t>
            </w:r>
          </w:p>
          <w:p w14:paraId="5FB64D38" w14:textId="77777777" w:rsidR="002F6ED1" w:rsidRDefault="002F6ED1" w:rsidP="002F6ED1">
            <w:pPr>
              <w:spacing w:line="276" w:lineRule="auto"/>
              <w:rPr>
                <w:sz w:val="22"/>
                <w:szCs w:val="22"/>
                <w:lang w:val="en-GB"/>
              </w:rPr>
            </w:pPr>
          </w:p>
          <w:p w14:paraId="712408F5" w14:textId="66D11AD7" w:rsidR="00693A4F" w:rsidRDefault="00693A4F" w:rsidP="002F6ED1">
            <w:pPr>
              <w:spacing w:line="276" w:lineRule="auto"/>
              <w:rPr>
                <w:sz w:val="22"/>
                <w:szCs w:val="22"/>
                <w:lang w:val="en-GB"/>
              </w:rPr>
            </w:pPr>
            <w:r>
              <w:rPr>
                <w:sz w:val="22"/>
                <w:szCs w:val="22"/>
                <w:lang w:val="en-GB"/>
              </w:rPr>
              <w:t xml:space="preserve">The TC </w:t>
            </w:r>
            <w:r>
              <w:t>r</w:t>
            </w:r>
            <w:r w:rsidRPr="00693A4F">
              <w:rPr>
                <w:sz w:val="22"/>
                <w:szCs w:val="22"/>
                <w:lang w:val="en-GB"/>
              </w:rPr>
              <w:t>evie</w:t>
            </w:r>
            <w:r>
              <w:rPr>
                <w:sz w:val="22"/>
                <w:szCs w:val="22"/>
                <w:lang w:val="en-GB"/>
              </w:rPr>
              <w:t xml:space="preserve">wed the </w:t>
            </w:r>
            <w:r w:rsidRPr="00693A4F">
              <w:rPr>
                <w:sz w:val="22"/>
                <w:szCs w:val="22"/>
                <w:lang w:val="en-GB"/>
              </w:rPr>
              <w:t xml:space="preserve">taxonomic treatment of ssp. </w:t>
            </w:r>
            <w:r w:rsidRPr="00693A4F">
              <w:rPr>
                <w:i/>
                <w:iCs/>
                <w:sz w:val="22"/>
                <w:szCs w:val="22"/>
                <w:lang w:val="en-GB"/>
              </w:rPr>
              <w:t>johanseni</w:t>
            </w:r>
            <w:r w:rsidRPr="00693A4F">
              <w:rPr>
                <w:sz w:val="22"/>
                <w:szCs w:val="22"/>
                <w:lang w:val="en-GB"/>
              </w:rPr>
              <w:t xml:space="preserve"> of </w:t>
            </w:r>
            <w:r>
              <w:rPr>
                <w:sz w:val="22"/>
                <w:szCs w:val="22"/>
                <w:lang w:val="en-GB"/>
              </w:rPr>
              <w:t xml:space="preserve">the </w:t>
            </w:r>
            <w:r w:rsidRPr="00693A4F">
              <w:rPr>
                <w:sz w:val="22"/>
                <w:szCs w:val="22"/>
                <w:lang w:val="en-GB"/>
              </w:rPr>
              <w:t>Bean Goose (</w:t>
            </w:r>
            <w:r w:rsidRPr="00693A4F">
              <w:rPr>
                <w:i/>
                <w:iCs/>
                <w:sz w:val="22"/>
                <w:szCs w:val="22"/>
                <w:lang w:val="en-GB"/>
              </w:rPr>
              <w:t>Anser fabalis</w:t>
            </w:r>
            <w:r w:rsidRPr="00693A4F">
              <w:rPr>
                <w:sz w:val="22"/>
                <w:szCs w:val="22"/>
                <w:lang w:val="en-GB"/>
              </w:rPr>
              <w:t>)</w:t>
            </w:r>
            <w:r>
              <w:rPr>
                <w:sz w:val="22"/>
                <w:szCs w:val="22"/>
                <w:lang w:val="en-GB"/>
              </w:rPr>
              <w:t xml:space="preserve">, which was </w:t>
            </w:r>
            <w:r w:rsidR="00BE2C84">
              <w:rPr>
                <w:sz w:val="22"/>
                <w:szCs w:val="22"/>
                <w:lang w:val="en-GB"/>
              </w:rPr>
              <w:t xml:space="preserve">suggested to be an </w:t>
            </w:r>
            <w:r>
              <w:rPr>
                <w:sz w:val="22"/>
                <w:szCs w:val="22"/>
                <w:lang w:val="en-GB"/>
              </w:rPr>
              <w:t xml:space="preserve">invalid taxon and instead the population was affiliated to ssp. </w:t>
            </w:r>
            <w:r w:rsidRPr="00693A4F">
              <w:rPr>
                <w:i/>
                <w:iCs/>
                <w:sz w:val="22"/>
                <w:szCs w:val="22"/>
                <w:lang w:val="en-GB"/>
              </w:rPr>
              <w:t>fabalis</w:t>
            </w:r>
            <w:r>
              <w:rPr>
                <w:sz w:val="22"/>
                <w:szCs w:val="22"/>
                <w:lang w:val="en-GB"/>
              </w:rPr>
              <w:t xml:space="preserve">. </w:t>
            </w:r>
            <w:r w:rsidR="00BE2C84">
              <w:rPr>
                <w:sz w:val="22"/>
                <w:szCs w:val="22"/>
                <w:lang w:val="en-GB"/>
              </w:rPr>
              <w:t xml:space="preserve">This was communicated to BirdLife International, who agreed to make the corresponding change in the Checklist of the Birds of the World. This change was reflected </w:t>
            </w:r>
            <w:r w:rsidR="00BE2C84" w:rsidRPr="00BE2C84">
              <w:rPr>
                <w:sz w:val="22"/>
                <w:szCs w:val="22"/>
                <w:lang w:val="en-GB"/>
              </w:rPr>
              <w:t>in the proposal for amendments of the AEWA Annexes submitted to MOP9 by the United Kingdom</w:t>
            </w:r>
            <w:r w:rsidR="00BE2C84">
              <w:rPr>
                <w:sz w:val="22"/>
                <w:szCs w:val="22"/>
                <w:lang w:val="en-GB"/>
              </w:rPr>
              <w:t>.</w:t>
            </w:r>
          </w:p>
          <w:p w14:paraId="33C47EFC" w14:textId="77777777" w:rsidR="00693A4F" w:rsidRPr="007A3443" w:rsidRDefault="00693A4F" w:rsidP="002F6ED1">
            <w:pPr>
              <w:spacing w:line="276" w:lineRule="auto"/>
              <w:rPr>
                <w:sz w:val="22"/>
                <w:szCs w:val="22"/>
                <w:lang w:val="en-GB"/>
              </w:rPr>
            </w:pPr>
          </w:p>
          <w:p w14:paraId="6FBD3C80" w14:textId="77777777" w:rsidR="002F6ED1" w:rsidRPr="007A3443" w:rsidRDefault="002F6ED1" w:rsidP="002F6ED1">
            <w:pPr>
              <w:spacing w:line="276" w:lineRule="auto"/>
              <w:rPr>
                <w:sz w:val="22"/>
                <w:szCs w:val="22"/>
                <w:lang w:val="en-GB"/>
              </w:rPr>
            </w:pPr>
            <w:r w:rsidRPr="007A3443">
              <w:rPr>
                <w:sz w:val="22"/>
                <w:szCs w:val="22"/>
                <w:lang w:val="en-GB"/>
              </w:rPr>
              <w:lastRenderedPageBreak/>
              <w:t>This is a rolling task and will be carried over to the workplan for the next triennium.</w:t>
            </w:r>
          </w:p>
        </w:tc>
        <w:tc>
          <w:tcPr>
            <w:tcW w:w="823" w:type="pct"/>
            <w:tcBorders>
              <w:top w:val="single" w:sz="4" w:space="0" w:color="000000"/>
              <w:left w:val="single" w:sz="4" w:space="0" w:color="000000"/>
              <w:bottom w:val="single" w:sz="4" w:space="0" w:color="000000"/>
              <w:right w:val="single" w:sz="4" w:space="0" w:color="000000"/>
            </w:tcBorders>
          </w:tcPr>
          <w:p w14:paraId="49C6EE90" w14:textId="0A517077" w:rsidR="002F6ED1" w:rsidRDefault="002F6ED1" w:rsidP="002F6ED1">
            <w:pPr>
              <w:spacing w:line="276" w:lineRule="auto"/>
              <w:rPr>
                <w:sz w:val="22"/>
                <w:szCs w:val="22"/>
                <w:lang w:val="en-GB"/>
              </w:rPr>
            </w:pPr>
            <w:r w:rsidRPr="00A25C80">
              <w:rPr>
                <w:sz w:val="22"/>
                <w:szCs w:val="22"/>
                <w:lang w:val="en-GB"/>
              </w:rPr>
              <w:lastRenderedPageBreak/>
              <w:t xml:space="preserve">Doc. AEWA/MOP </w:t>
            </w:r>
            <w:r w:rsidR="004C675F">
              <w:rPr>
                <w:sz w:val="22"/>
                <w:szCs w:val="22"/>
                <w:lang w:val="en-GB"/>
              </w:rPr>
              <w:t>9</w:t>
            </w:r>
            <w:r w:rsidRPr="00A25C80">
              <w:rPr>
                <w:sz w:val="22"/>
                <w:szCs w:val="22"/>
                <w:lang w:val="en-GB"/>
              </w:rPr>
              <w:t>.</w:t>
            </w:r>
            <w:r w:rsidR="00A25C80" w:rsidRPr="00A25C80">
              <w:rPr>
                <w:sz w:val="22"/>
                <w:szCs w:val="22"/>
                <w:lang w:val="en-GB"/>
              </w:rPr>
              <w:t>1</w:t>
            </w:r>
            <w:r w:rsidR="004C675F">
              <w:rPr>
                <w:sz w:val="22"/>
                <w:szCs w:val="22"/>
                <w:lang w:val="en-GB"/>
              </w:rPr>
              <w:t>6</w:t>
            </w:r>
          </w:p>
        </w:tc>
      </w:tr>
      <w:tr w:rsidR="002F6ED1" w:rsidRPr="00860CD7" w14:paraId="3B50D0D2"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23A8A5CA" w14:textId="7B79C172" w:rsidR="002F6ED1" w:rsidRPr="00860CD7" w:rsidRDefault="002F6ED1" w:rsidP="002F6ED1">
            <w:pPr>
              <w:spacing w:line="276" w:lineRule="auto"/>
              <w:rPr>
                <w:b/>
                <w:bCs/>
                <w:sz w:val="22"/>
                <w:szCs w:val="22"/>
                <w:lang w:val="en-GB"/>
              </w:rPr>
            </w:pPr>
            <w:r w:rsidRPr="00860CD7">
              <w:rPr>
                <w:b/>
                <w:bCs/>
                <w:sz w:val="22"/>
                <w:szCs w:val="22"/>
                <w:lang w:val="en-GB"/>
              </w:rPr>
              <w:t>1.</w:t>
            </w:r>
            <w:r w:rsidR="00BE2C84">
              <w:rPr>
                <w:b/>
                <w:bCs/>
                <w:sz w:val="22"/>
                <w:szCs w:val="22"/>
                <w:lang w:val="en-GB"/>
              </w:rPr>
              <w:t>2</w:t>
            </w:r>
            <w:r w:rsidR="00A922EB">
              <w:rPr>
                <w:b/>
                <w:bCs/>
                <w:sz w:val="22"/>
                <w:szCs w:val="22"/>
                <w:lang w:val="en-GB"/>
              </w:rPr>
              <w:t>.</w:t>
            </w:r>
            <w:r w:rsidRPr="00860CD7">
              <w:rPr>
                <w:b/>
                <w:bCs/>
                <w:sz w:val="22"/>
                <w:szCs w:val="22"/>
                <w:lang w:val="en-GB"/>
              </w:rPr>
              <w:t xml:space="preserve"> Population definitions:</w:t>
            </w:r>
          </w:p>
          <w:p w14:paraId="17ED0D01" w14:textId="5B83A305" w:rsidR="002F6ED1" w:rsidRPr="00860CD7" w:rsidRDefault="00440EE0" w:rsidP="002F6ED1">
            <w:pPr>
              <w:spacing w:after="120" w:line="276" w:lineRule="auto"/>
              <w:rPr>
                <w:bCs/>
                <w:sz w:val="22"/>
                <w:szCs w:val="22"/>
                <w:lang w:val="en-GB"/>
              </w:rPr>
            </w:pPr>
            <w:r w:rsidRPr="00440EE0">
              <w:rPr>
                <w:bCs/>
                <w:sz w:val="22"/>
                <w:szCs w:val="22"/>
                <w:lang w:val="en-GB"/>
              </w:rPr>
              <w:t>Early in the triennium, consider evidence supporting the delineation of current population boundaries for the following species as well as potential others, as necessary</w:t>
            </w:r>
            <w:r w:rsidR="002F6ED1" w:rsidRPr="00860CD7">
              <w:rPr>
                <w:bCs/>
                <w:sz w:val="22"/>
                <w:szCs w:val="22"/>
                <w:lang w:val="en-GB"/>
              </w:rPr>
              <w:t xml:space="preserve">: </w:t>
            </w:r>
          </w:p>
          <w:p w14:paraId="3B2B21F0" w14:textId="77777777" w:rsidR="00440EE0" w:rsidRPr="00440EE0" w:rsidRDefault="00440EE0" w:rsidP="00440EE0">
            <w:pPr>
              <w:pStyle w:val="ListParagraph"/>
              <w:numPr>
                <w:ilvl w:val="0"/>
                <w:numId w:val="19"/>
              </w:numPr>
              <w:spacing w:line="276" w:lineRule="auto"/>
              <w:rPr>
                <w:b/>
                <w:bCs/>
                <w:sz w:val="22"/>
                <w:szCs w:val="22"/>
              </w:rPr>
            </w:pPr>
            <w:r w:rsidRPr="00440EE0">
              <w:rPr>
                <w:b/>
                <w:bCs/>
                <w:sz w:val="22"/>
                <w:szCs w:val="22"/>
              </w:rPr>
              <w:t xml:space="preserve">Maccoa Duck </w:t>
            </w:r>
            <w:r w:rsidRPr="00440EE0">
              <w:rPr>
                <w:sz w:val="22"/>
                <w:szCs w:val="22"/>
              </w:rPr>
              <w:t>(</w:t>
            </w:r>
            <w:r w:rsidRPr="00440EE0">
              <w:rPr>
                <w:i/>
                <w:iCs/>
                <w:sz w:val="22"/>
                <w:szCs w:val="22"/>
              </w:rPr>
              <w:t>Oxyura maccoa</w:t>
            </w:r>
            <w:r w:rsidRPr="00440EE0">
              <w:rPr>
                <w:sz w:val="22"/>
                <w:szCs w:val="22"/>
              </w:rPr>
              <w:t>) (review of the boundary delineation of the E Africa population);</w:t>
            </w:r>
          </w:p>
          <w:p w14:paraId="583D5AAF" w14:textId="63209235" w:rsidR="00440EE0" w:rsidRPr="00440EE0" w:rsidRDefault="00440EE0" w:rsidP="00440EE0">
            <w:pPr>
              <w:numPr>
                <w:ilvl w:val="0"/>
                <w:numId w:val="19"/>
              </w:numPr>
              <w:spacing w:line="276" w:lineRule="auto"/>
              <w:rPr>
                <w:sz w:val="22"/>
                <w:szCs w:val="22"/>
              </w:rPr>
            </w:pPr>
            <w:r w:rsidRPr="00440EE0">
              <w:rPr>
                <w:b/>
                <w:bCs/>
                <w:sz w:val="22"/>
                <w:szCs w:val="22"/>
              </w:rPr>
              <w:t xml:space="preserve">Tundra Swan </w:t>
            </w:r>
            <w:r w:rsidRPr="00440EE0">
              <w:rPr>
                <w:sz w:val="22"/>
                <w:szCs w:val="22"/>
              </w:rPr>
              <w:t>(</w:t>
            </w:r>
            <w:r w:rsidRPr="00440EE0">
              <w:rPr>
                <w:i/>
                <w:iCs/>
                <w:sz w:val="22"/>
                <w:szCs w:val="22"/>
              </w:rPr>
              <w:t>Cygnus columbianus bewickii</w:t>
            </w:r>
            <w:r w:rsidRPr="00440EE0">
              <w:rPr>
                <w:sz w:val="22"/>
                <w:szCs w:val="22"/>
              </w:rPr>
              <w:t>) (potential splitting of the Northern Siberia/Caspian</w:t>
            </w:r>
            <w:r w:rsidRPr="00440EE0">
              <w:rPr>
                <w:b/>
                <w:bCs/>
                <w:sz w:val="22"/>
                <w:szCs w:val="22"/>
              </w:rPr>
              <w:t xml:space="preserve"> </w:t>
            </w:r>
            <w:r w:rsidRPr="00440EE0">
              <w:rPr>
                <w:sz w:val="22"/>
                <w:szCs w:val="22"/>
              </w:rPr>
              <w:t>population into a Central Asian (w) and a Black Sea (w) one);</w:t>
            </w:r>
          </w:p>
          <w:p w14:paraId="44CCE376" w14:textId="77777777" w:rsidR="00440EE0" w:rsidRPr="00440EE0" w:rsidRDefault="00440EE0" w:rsidP="00440EE0">
            <w:pPr>
              <w:numPr>
                <w:ilvl w:val="0"/>
                <w:numId w:val="19"/>
              </w:numPr>
              <w:spacing w:line="276" w:lineRule="auto"/>
              <w:rPr>
                <w:sz w:val="22"/>
                <w:szCs w:val="22"/>
              </w:rPr>
            </w:pPr>
            <w:r w:rsidRPr="00440EE0">
              <w:rPr>
                <w:b/>
                <w:bCs/>
                <w:sz w:val="22"/>
                <w:szCs w:val="22"/>
              </w:rPr>
              <w:t xml:space="preserve">Greylag Goose </w:t>
            </w:r>
            <w:r w:rsidRPr="00440EE0">
              <w:rPr>
                <w:sz w:val="22"/>
                <w:szCs w:val="22"/>
              </w:rPr>
              <w:t>(</w:t>
            </w:r>
            <w:r w:rsidRPr="00440EE0">
              <w:rPr>
                <w:i/>
                <w:iCs/>
                <w:sz w:val="22"/>
                <w:szCs w:val="22"/>
              </w:rPr>
              <w:t>Anser anser</w:t>
            </w:r>
            <w:r w:rsidRPr="00440EE0">
              <w:rPr>
                <w:sz w:val="22"/>
                <w:szCs w:val="22"/>
              </w:rPr>
              <w:t>) (potential splitting of the Central Europe/North Africa population because it represents a mixture of two ssp (</w:t>
            </w:r>
            <w:r w:rsidRPr="002276D9">
              <w:rPr>
                <w:i/>
                <w:iCs/>
                <w:sz w:val="22"/>
                <w:szCs w:val="22"/>
              </w:rPr>
              <w:t>anser</w:t>
            </w:r>
            <w:r w:rsidRPr="00440EE0">
              <w:rPr>
                <w:sz w:val="22"/>
                <w:szCs w:val="22"/>
              </w:rPr>
              <w:t xml:space="preserve"> and </w:t>
            </w:r>
            <w:r w:rsidRPr="002276D9">
              <w:rPr>
                <w:i/>
                <w:iCs/>
                <w:sz w:val="22"/>
                <w:szCs w:val="22"/>
              </w:rPr>
              <w:t>rubrirostris</w:t>
            </w:r>
            <w:r w:rsidRPr="00440EE0">
              <w:rPr>
                <w:sz w:val="22"/>
                <w:szCs w:val="22"/>
              </w:rPr>
              <w:t>);</w:t>
            </w:r>
          </w:p>
          <w:p w14:paraId="033EF153" w14:textId="77777777" w:rsidR="00440EE0" w:rsidRPr="00440EE0" w:rsidRDefault="00440EE0" w:rsidP="00440EE0">
            <w:pPr>
              <w:numPr>
                <w:ilvl w:val="0"/>
                <w:numId w:val="19"/>
              </w:numPr>
              <w:spacing w:line="276" w:lineRule="auto"/>
              <w:rPr>
                <w:b/>
                <w:bCs/>
                <w:sz w:val="22"/>
                <w:szCs w:val="22"/>
              </w:rPr>
            </w:pPr>
            <w:r w:rsidRPr="00440EE0">
              <w:rPr>
                <w:b/>
                <w:bCs/>
                <w:sz w:val="22"/>
                <w:szCs w:val="22"/>
              </w:rPr>
              <w:t xml:space="preserve">Bean Goose </w:t>
            </w:r>
            <w:r w:rsidRPr="00440EE0">
              <w:rPr>
                <w:sz w:val="22"/>
                <w:szCs w:val="22"/>
              </w:rPr>
              <w:t>(</w:t>
            </w:r>
            <w:r w:rsidRPr="00440EE0">
              <w:rPr>
                <w:i/>
                <w:iCs/>
                <w:sz w:val="22"/>
                <w:szCs w:val="22"/>
              </w:rPr>
              <w:t>Anser fabalis</w:t>
            </w:r>
            <w:r w:rsidRPr="00440EE0">
              <w:rPr>
                <w:sz w:val="22"/>
                <w:szCs w:val="22"/>
              </w:rPr>
              <w:t xml:space="preserve">) (taxonomic revision of ssp </w:t>
            </w:r>
            <w:r w:rsidRPr="00440EE0">
              <w:rPr>
                <w:i/>
                <w:iCs/>
                <w:sz w:val="22"/>
                <w:szCs w:val="22"/>
              </w:rPr>
              <w:t>johanseni</w:t>
            </w:r>
            <w:r w:rsidRPr="00440EE0">
              <w:rPr>
                <w:sz w:val="22"/>
                <w:szCs w:val="22"/>
              </w:rPr>
              <w:t>)</w:t>
            </w:r>
            <w:r w:rsidRPr="00440EE0">
              <w:rPr>
                <w:b/>
                <w:bCs/>
                <w:sz w:val="22"/>
                <w:szCs w:val="22"/>
              </w:rPr>
              <w:t>;</w:t>
            </w:r>
          </w:p>
          <w:p w14:paraId="60D90F4C" w14:textId="77777777" w:rsidR="00440EE0" w:rsidRPr="00440EE0" w:rsidRDefault="00440EE0" w:rsidP="00440EE0">
            <w:pPr>
              <w:numPr>
                <w:ilvl w:val="0"/>
                <w:numId w:val="19"/>
              </w:numPr>
              <w:spacing w:line="276" w:lineRule="auto"/>
              <w:rPr>
                <w:bCs/>
                <w:sz w:val="22"/>
                <w:szCs w:val="22"/>
              </w:rPr>
            </w:pPr>
            <w:r w:rsidRPr="00440EE0">
              <w:rPr>
                <w:b/>
                <w:sz w:val="22"/>
                <w:szCs w:val="22"/>
              </w:rPr>
              <w:t>Glossy Ibis</w:t>
            </w:r>
            <w:r w:rsidRPr="00440EE0">
              <w:rPr>
                <w:bCs/>
                <w:sz w:val="22"/>
                <w:szCs w:val="22"/>
              </w:rPr>
              <w:t xml:space="preserve"> (</w:t>
            </w:r>
            <w:r w:rsidRPr="00440EE0">
              <w:rPr>
                <w:bCs/>
                <w:i/>
                <w:iCs/>
                <w:sz w:val="22"/>
                <w:szCs w:val="22"/>
              </w:rPr>
              <w:t>Plegadis falcinellus</w:t>
            </w:r>
            <w:r w:rsidRPr="00440EE0">
              <w:rPr>
                <w:bCs/>
                <w:sz w:val="22"/>
                <w:szCs w:val="22"/>
              </w:rPr>
              <w:t>) (potential merging of the SW Asia/E Africa population with the S Asia population);</w:t>
            </w:r>
          </w:p>
          <w:p w14:paraId="022CC7D5" w14:textId="77777777" w:rsidR="00440EE0" w:rsidRPr="00440EE0" w:rsidRDefault="00440EE0" w:rsidP="00440EE0">
            <w:pPr>
              <w:numPr>
                <w:ilvl w:val="0"/>
                <w:numId w:val="19"/>
              </w:numPr>
              <w:spacing w:line="276" w:lineRule="auto"/>
              <w:rPr>
                <w:bCs/>
                <w:sz w:val="22"/>
                <w:szCs w:val="22"/>
              </w:rPr>
            </w:pPr>
            <w:r w:rsidRPr="00440EE0">
              <w:rPr>
                <w:b/>
                <w:sz w:val="22"/>
                <w:szCs w:val="22"/>
              </w:rPr>
              <w:t>Eurasian Shag</w:t>
            </w:r>
            <w:r w:rsidRPr="00440EE0">
              <w:rPr>
                <w:bCs/>
                <w:sz w:val="22"/>
                <w:szCs w:val="22"/>
              </w:rPr>
              <w:t xml:space="preserve"> (</w:t>
            </w:r>
            <w:r w:rsidRPr="00440EE0">
              <w:rPr>
                <w:bCs/>
                <w:i/>
                <w:iCs/>
                <w:sz w:val="22"/>
                <w:szCs w:val="22"/>
              </w:rPr>
              <w:t>Gulosus aristotelis</w:t>
            </w:r>
            <w:r w:rsidRPr="00440EE0">
              <w:rPr>
                <w:bCs/>
                <w:sz w:val="22"/>
                <w:szCs w:val="22"/>
              </w:rPr>
              <w:t xml:space="preserve">) (review the currently Table-1-listed Adriatic population vis-à-vis the other </w:t>
            </w:r>
            <w:r w:rsidRPr="00440EE0">
              <w:rPr>
                <w:bCs/>
                <w:sz w:val="22"/>
                <w:szCs w:val="22"/>
              </w:rPr>
              <w:lastRenderedPageBreak/>
              <w:t>populations in the Mediterranean as well as other populations in the Agreement area that are possibly qualifying for listing);</w:t>
            </w:r>
          </w:p>
          <w:p w14:paraId="28ECA453" w14:textId="77777777" w:rsidR="002276D9" w:rsidRPr="002276D9" w:rsidRDefault="002276D9" w:rsidP="002276D9">
            <w:pPr>
              <w:pStyle w:val="ListParagraph"/>
              <w:numPr>
                <w:ilvl w:val="0"/>
                <w:numId w:val="19"/>
              </w:numPr>
              <w:rPr>
                <w:bCs/>
                <w:sz w:val="22"/>
                <w:szCs w:val="22"/>
                <w:lang w:val="en-US"/>
              </w:rPr>
            </w:pPr>
            <w:r w:rsidRPr="002276D9">
              <w:rPr>
                <w:b/>
                <w:sz w:val="22"/>
                <w:szCs w:val="22"/>
                <w:lang w:val="en-US"/>
              </w:rPr>
              <w:t>Bar-tailed Godwit</w:t>
            </w:r>
            <w:r w:rsidRPr="002276D9">
              <w:rPr>
                <w:bCs/>
                <w:sz w:val="22"/>
                <w:szCs w:val="22"/>
                <w:lang w:val="en-US"/>
              </w:rPr>
              <w:t xml:space="preserve"> (</w:t>
            </w:r>
            <w:r w:rsidRPr="002276D9">
              <w:rPr>
                <w:bCs/>
                <w:i/>
                <w:iCs/>
                <w:sz w:val="22"/>
                <w:szCs w:val="22"/>
                <w:lang w:val="en-US"/>
              </w:rPr>
              <w:t>Limosa lapponica</w:t>
            </w:r>
            <w:r w:rsidRPr="002276D9">
              <w:rPr>
                <w:bCs/>
                <w:sz w:val="22"/>
                <w:szCs w:val="22"/>
                <w:lang w:val="en-US"/>
              </w:rPr>
              <w:t xml:space="preserve">) (potential splitting of ssp </w:t>
            </w:r>
            <w:r w:rsidRPr="002276D9">
              <w:rPr>
                <w:bCs/>
                <w:i/>
                <w:iCs/>
                <w:sz w:val="22"/>
                <w:szCs w:val="22"/>
                <w:lang w:val="en-US"/>
              </w:rPr>
              <w:t xml:space="preserve">taymyrensis </w:t>
            </w:r>
            <w:r w:rsidRPr="002276D9">
              <w:rPr>
                <w:bCs/>
                <w:sz w:val="22"/>
                <w:szCs w:val="22"/>
                <w:lang w:val="en-US"/>
              </w:rPr>
              <w:t>Central Siberia/South &amp; SW Asia &amp; Eastern Africa population based on morphological differences);</w:t>
            </w:r>
          </w:p>
          <w:p w14:paraId="2568F99D" w14:textId="075D0968" w:rsidR="002F6ED1" w:rsidRPr="00E75F1F" w:rsidRDefault="002276D9" w:rsidP="00E75F1F">
            <w:pPr>
              <w:pStyle w:val="ListParagraph"/>
              <w:numPr>
                <w:ilvl w:val="0"/>
                <w:numId w:val="19"/>
              </w:numPr>
              <w:rPr>
                <w:bCs/>
                <w:sz w:val="22"/>
                <w:szCs w:val="22"/>
                <w:lang w:val="en-US"/>
              </w:rPr>
            </w:pPr>
            <w:r w:rsidRPr="002276D9">
              <w:rPr>
                <w:b/>
                <w:sz w:val="22"/>
                <w:szCs w:val="22"/>
                <w:lang w:val="en-US"/>
              </w:rPr>
              <w:t>Caspian Tern</w:t>
            </w:r>
            <w:r w:rsidRPr="002276D9">
              <w:rPr>
                <w:bCs/>
                <w:sz w:val="22"/>
                <w:szCs w:val="22"/>
                <w:lang w:val="en-US"/>
              </w:rPr>
              <w:t xml:space="preserve"> (</w:t>
            </w:r>
            <w:r w:rsidRPr="002276D9">
              <w:rPr>
                <w:bCs/>
                <w:i/>
                <w:iCs/>
                <w:sz w:val="22"/>
                <w:szCs w:val="22"/>
                <w:lang w:val="en-US"/>
              </w:rPr>
              <w:t>Hydroprogne caspia</w:t>
            </w:r>
            <w:r w:rsidRPr="002276D9">
              <w:rPr>
                <w:bCs/>
                <w:sz w:val="22"/>
                <w:szCs w:val="22"/>
                <w:lang w:val="en-US"/>
              </w:rPr>
              <w:t xml:space="preserve">) (Baltic (bre) population – potential revision of the wintering range). </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473CB9DA" w14:textId="77777777" w:rsidR="002F6ED1" w:rsidRDefault="002F6ED1" w:rsidP="002F6ED1">
            <w:pPr>
              <w:spacing w:line="276" w:lineRule="auto"/>
              <w:rPr>
                <w:sz w:val="22"/>
                <w:szCs w:val="22"/>
                <w:lang w:val="en-GB"/>
              </w:rPr>
            </w:pPr>
            <w:r w:rsidRPr="00AC70CB">
              <w:rPr>
                <w:b/>
                <w:bCs/>
                <w:sz w:val="22"/>
                <w:szCs w:val="22"/>
                <w:shd w:val="clear" w:color="auto" w:fill="FF9999"/>
              </w:rPr>
              <w:lastRenderedPageBreak/>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7FB2B469" w14:textId="77777777" w:rsidR="002F6ED1" w:rsidRDefault="002F6ED1" w:rsidP="002F6ED1">
            <w:pPr>
              <w:spacing w:line="276" w:lineRule="auto"/>
              <w:rPr>
                <w:sz w:val="22"/>
                <w:szCs w:val="22"/>
                <w:lang w:val="en-GB"/>
              </w:rPr>
            </w:pPr>
            <w:r w:rsidRPr="00092BFA">
              <w:rPr>
                <w:b/>
                <w:bCs/>
                <w:sz w:val="22"/>
                <w:szCs w:val="22"/>
                <w:shd w:val="clear" w:color="auto" w:fill="92D050"/>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05C026A5" w14:textId="31B51228" w:rsidR="002F6ED1" w:rsidRDefault="002F6ED1" w:rsidP="002F6ED1">
            <w:pPr>
              <w:spacing w:line="276" w:lineRule="auto"/>
              <w:rPr>
                <w:sz w:val="22"/>
                <w:szCs w:val="22"/>
                <w:lang w:val="en-GB"/>
              </w:rPr>
            </w:pPr>
            <w:r>
              <w:rPr>
                <w:sz w:val="22"/>
                <w:szCs w:val="22"/>
                <w:lang w:val="en-GB"/>
              </w:rPr>
              <w:t xml:space="preserve">Following the </w:t>
            </w:r>
            <w:r w:rsidRPr="00480DF1">
              <w:rPr>
                <w:sz w:val="22"/>
                <w:szCs w:val="22"/>
                <w:lang w:val="en-GB"/>
              </w:rPr>
              <w:t xml:space="preserve">General guidance </w:t>
            </w:r>
            <w:r>
              <w:rPr>
                <w:sz w:val="22"/>
                <w:szCs w:val="22"/>
                <w:lang w:val="en-GB"/>
              </w:rPr>
              <w:t>on the definition of species populations under AEWA, approved by the Standing Committee (StC) at its 12</w:t>
            </w:r>
            <w:r w:rsidRPr="005F7268">
              <w:rPr>
                <w:sz w:val="22"/>
                <w:szCs w:val="22"/>
                <w:vertAlign w:val="superscript"/>
                <w:lang w:val="en-GB"/>
              </w:rPr>
              <w:t>th</w:t>
            </w:r>
            <w:r>
              <w:rPr>
                <w:sz w:val="22"/>
                <w:szCs w:val="22"/>
                <w:lang w:val="en-GB"/>
              </w:rPr>
              <w:t xml:space="preserve"> meeting (</w:t>
            </w:r>
            <w:hyperlink r:id="rId21" w:history="1">
              <w:r w:rsidRPr="00385A5F">
                <w:rPr>
                  <w:rStyle w:val="Hyperlink"/>
                  <w:sz w:val="22"/>
                  <w:szCs w:val="22"/>
                  <w:lang w:val="en-GB"/>
                </w:rPr>
                <w:t>Doc. AEWA</w:t>
              </w:r>
              <w:r>
                <w:rPr>
                  <w:rStyle w:val="Hyperlink"/>
                  <w:sz w:val="22"/>
                  <w:szCs w:val="22"/>
                  <w:lang w:val="en-GB"/>
                </w:rPr>
                <w:t>/</w:t>
              </w:r>
              <w:r w:rsidRPr="00385A5F">
                <w:rPr>
                  <w:rStyle w:val="Hyperlink"/>
                  <w:sz w:val="22"/>
                  <w:szCs w:val="22"/>
                  <w:lang w:val="en-GB"/>
                </w:rPr>
                <w:t>StC</w:t>
              </w:r>
              <w:r>
                <w:rPr>
                  <w:rStyle w:val="Hyperlink"/>
                  <w:sz w:val="22"/>
                  <w:szCs w:val="22"/>
                  <w:lang w:val="en-GB"/>
                </w:rPr>
                <w:t xml:space="preserve"> </w:t>
              </w:r>
              <w:r w:rsidRPr="00385A5F">
                <w:rPr>
                  <w:rStyle w:val="Hyperlink"/>
                  <w:sz w:val="22"/>
                  <w:szCs w:val="22"/>
                  <w:lang w:val="en-GB"/>
                </w:rPr>
                <w:t>12.11</w:t>
              </w:r>
            </w:hyperlink>
            <w:r>
              <w:rPr>
                <w:sz w:val="22"/>
                <w:szCs w:val="22"/>
                <w:lang w:val="en-GB"/>
              </w:rPr>
              <w:t xml:space="preserve">), the </w:t>
            </w:r>
            <w:r w:rsidR="003F63D8">
              <w:rPr>
                <w:sz w:val="22"/>
                <w:szCs w:val="22"/>
                <w:lang w:val="en-GB"/>
              </w:rPr>
              <w:t>TC</w:t>
            </w:r>
            <w:r>
              <w:rPr>
                <w:sz w:val="22"/>
                <w:szCs w:val="22"/>
                <w:lang w:val="en-GB"/>
              </w:rPr>
              <w:t xml:space="preserve"> reviewed at its 1</w:t>
            </w:r>
            <w:r w:rsidR="00CC4993">
              <w:rPr>
                <w:sz w:val="22"/>
                <w:szCs w:val="22"/>
                <w:lang w:val="en-GB"/>
              </w:rPr>
              <w:t>8</w:t>
            </w:r>
            <w:r w:rsidRPr="00DD3648">
              <w:rPr>
                <w:sz w:val="22"/>
                <w:szCs w:val="22"/>
                <w:vertAlign w:val="superscript"/>
                <w:lang w:val="en-GB"/>
              </w:rPr>
              <w:t>th</w:t>
            </w:r>
            <w:r>
              <w:rPr>
                <w:sz w:val="22"/>
                <w:szCs w:val="22"/>
                <w:lang w:val="en-GB"/>
              </w:rPr>
              <w:t xml:space="preserve"> meeting</w:t>
            </w:r>
            <w:r w:rsidR="00893014">
              <w:rPr>
                <w:sz w:val="22"/>
                <w:szCs w:val="22"/>
                <w:lang w:val="en-GB"/>
              </w:rPr>
              <w:t xml:space="preserve"> (TC18) </w:t>
            </w:r>
            <w:r>
              <w:rPr>
                <w:sz w:val="22"/>
                <w:szCs w:val="22"/>
                <w:lang w:val="en-GB"/>
              </w:rPr>
              <w:t xml:space="preserve"> in 20</w:t>
            </w:r>
            <w:r w:rsidR="00CC4993">
              <w:rPr>
                <w:sz w:val="22"/>
                <w:szCs w:val="22"/>
                <w:lang w:val="en-GB"/>
              </w:rPr>
              <w:t>23</w:t>
            </w:r>
            <w:r>
              <w:rPr>
                <w:sz w:val="22"/>
                <w:szCs w:val="22"/>
                <w:lang w:val="en-GB"/>
              </w:rPr>
              <w:t xml:space="preserve"> the evidence provided through the proforma for the submission of proposals for population delineation to the TC for </w:t>
            </w:r>
            <w:r w:rsidR="00CC4993">
              <w:rPr>
                <w:sz w:val="22"/>
                <w:szCs w:val="22"/>
                <w:lang w:val="en-GB"/>
              </w:rPr>
              <w:t xml:space="preserve">seven of </w:t>
            </w:r>
            <w:r>
              <w:rPr>
                <w:sz w:val="22"/>
                <w:szCs w:val="22"/>
                <w:lang w:val="en-GB"/>
              </w:rPr>
              <w:t>the eight species on the list</w:t>
            </w:r>
            <w:r w:rsidR="00CC4993">
              <w:rPr>
                <w:sz w:val="22"/>
                <w:szCs w:val="22"/>
                <w:lang w:val="en-GB"/>
              </w:rPr>
              <w:t xml:space="preserve"> apart from the Bean Goose, which was addressed under task 1.1 (see above)</w:t>
            </w:r>
            <w:r w:rsidR="00E75F1F">
              <w:rPr>
                <w:sz w:val="22"/>
                <w:szCs w:val="22"/>
                <w:lang w:val="en-GB"/>
              </w:rPr>
              <w:t xml:space="preserve"> and agreed on recommendations for amending their population delineations</w:t>
            </w:r>
            <w:r>
              <w:rPr>
                <w:sz w:val="22"/>
                <w:szCs w:val="22"/>
                <w:lang w:val="en-GB"/>
              </w:rPr>
              <w:t>. The TC also announced a call through the AEWA website for submission of further proposals</w:t>
            </w:r>
            <w:r w:rsidR="00893014">
              <w:rPr>
                <w:sz w:val="22"/>
                <w:szCs w:val="22"/>
                <w:lang w:val="en-GB"/>
              </w:rPr>
              <w:t>, but no submissions were made.</w:t>
            </w:r>
          </w:p>
          <w:p w14:paraId="5463E3C5" w14:textId="77777777" w:rsidR="00893014" w:rsidRDefault="00893014" w:rsidP="00893014">
            <w:pPr>
              <w:spacing w:line="276" w:lineRule="auto"/>
              <w:rPr>
                <w:sz w:val="22"/>
                <w:szCs w:val="22"/>
                <w:lang w:val="en-GB"/>
              </w:rPr>
            </w:pPr>
          </w:p>
          <w:p w14:paraId="110E3FA0" w14:textId="2EBDA5E2" w:rsidR="00893014" w:rsidRDefault="00893014" w:rsidP="00893014">
            <w:pPr>
              <w:spacing w:line="276" w:lineRule="auto"/>
              <w:rPr>
                <w:sz w:val="22"/>
                <w:szCs w:val="22"/>
                <w:lang w:val="en-GB"/>
              </w:rPr>
            </w:pPr>
            <w:r>
              <w:rPr>
                <w:sz w:val="22"/>
                <w:szCs w:val="22"/>
                <w:lang w:val="en-GB"/>
              </w:rPr>
              <w:t xml:space="preserve">At TC19 in 2024, the Committee reviewed the delineation of additional 33 </w:t>
            </w:r>
            <w:r w:rsidRPr="00931864">
              <w:rPr>
                <w:sz w:val="22"/>
                <w:szCs w:val="22"/>
                <w:lang w:val="en-GB"/>
              </w:rPr>
              <w:t>population</w:t>
            </w:r>
            <w:r>
              <w:rPr>
                <w:sz w:val="22"/>
                <w:szCs w:val="22"/>
                <w:lang w:val="en-GB"/>
              </w:rPr>
              <w:t>s</w:t>
            </w:r>
            <w:r w:rsidR="00D159DC">
              <w:rPr>
                <w:sz w:val="22"/>
                <w:szCs w:val="22"/>
                <w:lang w:val="en-GB"/>
              </w:rPr>
              <w:t xml:space="preserve"> of 27 species</w:t>
            </w:r>
            <w:r>
              <w:rPr>
                <w:sz w:val="22"/>
                <w:szCs w:val="22"/>
                <w:lang w:val="en-GB"/>
              </w:rPr>
              <w:t xml:space="preserve">, which </w:t>
            </w:r>
            <w:r w:rsidRPr="00931864">
              <w:rPr>
                <w:sz w:val="22"/>
                <w:szCs w:val="22"/>
                <w:lang w:val="en-GB"/>
              </w:rPr>
              <w:t>resulted in a recommendation for amendment</w:t>
            </w:r>
            <w:r>
              <w:rPr>
                <w:sz w:val="22"/>
                <w:szCs w:val="22"/>
                <w:lang w:val="en-GB"/>
              </w:rPr>
              <w:t>s</w:t>
            </w:r>
            <w:r w:rsidRPr="00931864">
              <w:rPr>
                <w:sz w:val="22"/>
                <w:szCs w:val="22"/>
                <w:lang w:val="en-GB"/>
              </w:rPr>
              <w:t xml:space="preserve"> of delineation </w:t>
            </w:r>
            <w:r w:rsidR="00E75F1F">
              <w:rPr>
                <w:sz w:val="22"/>
                <w:szCs w:val="22"/>
                <w:lang w:val="en-GB"/>
              </w:rPr>
              <w:t xml:space="preserve">all but </w:t>
            </w:r>
            <w:r w:rsidRPr="00931864">
              <w:rPr>
                <w:sz w:val="22"/>
                <w:szCs w:val="22"/>
                <w:lang w:val="en-GB"/>
              </w:rPr>
              <w:t xml:space="preserve">one </w:t>
            </w:r>
            <w:r w:rsidRPr="005B29E3">
              <w:rPr>
                <w:sz w:val="22"/>
                <w:szCs w:val="22"/>
                <w:lang w:val="en-GB"/>
              </w:rPr>
              <w:t>population</w:t>
            </w:r>
            <w:r w:rsidR="00E75F1F">
              <w:rPr>
                <w:sz w:val="22"/>
                <w:szCs w:val="22"/>
                <w:lang w:val="en-GB"/>
              </w:rPr>
              <w:t>, including two splits</w:t>
            </w:r>
            <w:r w:rsidRPr="00931864">
              <w:rPr>
                <w:sz w:val="22"/>
                <w:szCs w:val="22"/>
                <w:lang w:val="en-GB"/>
              </w:rPr>
              <w:t>.</w:t>
            </w:r>
            <w:r>
              <w:rPr>
                <w:sz w:val="22"/>
                <w:szCs w:val="22"/>
                <w:lang w:val="en-GB"/>
              </w:rPr>
              <w:t xml:space="preserve"> </w:t>
            </w:r>
          </w:p>
          <w:p w14:paraId="37973D37" w14:textId="77777777" w:rsidR="002F6ED1" w:rsidRDefault="002F6ED1" w:rsidP="002F6ED1">
            <w:pPr>
              <w:spacing w:line="276" w:lineRule="auto"/>
              <w:rPr>
                <w:sz w:val="22"/>
                <w:szCs w:val="22"/>
                <w:lang w:val="en-GB"/>
              </w:rPr>
            </w:pPr>
          </w:p>
          <w:p w14:paraId="414BB4B6" w14:textId="3854DF27" w:rsidR="00E75F1F" w:rsidRDefault="00E75F1F" w:rsidP="00E75F1F">
            <w:pPr>
              <w:spacing w:line="276" w:lineRule="auto"/>
              <w:rPr>
                <w:sz w:val="22"/>
                <w:szCs w:val="22"/>
                <w:lang w:val="en-GB"/>
              </w:rPr>
            </w:pPr>
            <w:r>
              <w:rPr>
                <w:sz w:val="22"/>
                <w:szCs w:val="22"/>
                <w:lang w:val="en-GB"/>
              </w:rPr>
              <w:t xml:space="preserve">The </w:t>
            </w:r>
            <w:r w:rsidR="002F6ED1">
              <w:rPr>
                <w:sz w:val="22"/>
                <w:szCs w:val="22"/>
                <w:lang w:val="en-GB"/>
              </w:rPr>
              <w:t xml:space="preserve">TC </w:t>
            </w:r>
            <w:r w:rsidR="002F6ED1" w:rsidRPr="00480DF1">
              <w:rPr>
                <w:sz w:val="22"/>
                <w:szCs w:val="22"/>
                <w:lang w:val="en-GB"/>
              </w:rPr>
              <w:t xml:space="preserve">delivered to the </w:t>
            </w:r>
            <w:r w:rsidR="002F6ED1">
              <w:rPr>
                <w:sz w:val="22"/>
                <w:szCs w:val="22"/>
                <w:lang w:val="en-GB"/>
              </w:rPr>
              <w:t xml:space="preserve">StC </w:t>
            </w:r>
            <w:r>
              <w:rPr>
                <w:sz w:val="22"/>
                <w:szCs w:val="22"/>
                <w:lang w:val="en-GB"/>
              </w:rPr>
              <w:t>the two sets of</w:t>
            </w:r>
            <w:r w:rsidR="002F6ED1">
              <w:rPr>
                <w:sz w:val="22"/>
                <w:szCs w:val="22"/>
                <w:lang w:val="en-GB"/>
              </w:rPr>
              <w:t xml:space="preserve"> recommendation</w:t>
            </w:r>
            <w:r>
              <w:rPr>
                <w:sz w:val="22"/>
                <w:szCs w:val="22"/>
                <w:lang w:val="en-GB"/>
              </w:rPr>
              <w:t>s</w:t>
            </w:r>
            <w:r w:rsidR="002F6ED1">
              <w:rPr>
                <w:sz w:val="22"/>
                <w:szCs w:val="22"/>
                <w:lang w:val="en-GB"/>
              </w:rPr>
              <w:t xml:space="preserve"> for the </w:t>
            </w:r>
            <w:r>
              <w:rPr>
                <w:sz w:val="22"/>
                <w:szCs w:val="22"/>
                <w:lang w:val="en-GB"/>
              </w:rPr>
              <w:t xml:space="preserve">amendment of </w:t>
            </w:r>
            <w:r w:rsidR="002F6ED1">
              <w:rPr>
                <w:sz w:val="22"/>
                <w:szCs w:val="22"/>
                <w:lang w:val="en-GB"/>
              </w:rPr>
              <w:t xml:space="preserve">delineation of the </w:t>
            </w:r>
            <w:r>
              <w:rPr>
                <w:sz w:val="22"/>
                <w:szCs w:val="22"/>
                <w:lang w:val="en-GB"/>
              </w:rPr>
              <w:t xml:space="preserve">reviewed </w:t>
            </w:r>
            <w:r w:rsidR="002F6ED1">
              <w:rPr>
                <w:sz w:val="22"/>
                <w:szCs w:val="22"/>
                <w:lang w:val="en-GB"/>
              </w:rPr>
              <w:t>populations</w:t>
            </w:r>
            <w:r>
              <w:rPr>
                <w:sz w:val="22"/>
                <w:szCs w:val="22"/>
                <w:lang w:val="en-GB"/>
              </w:rPr>
              <w:t>, which the StC approved in its 23</w:t>
            </w:r>
            <w:r w:rsidRPr="00E75F1F">
              <w:rPr>
                <w:sz w:val="22"/>
                <w:szCs w:val="22"/>
                <w:vertAlign w:val="superscript"/>
                <w:lang w:val="en-GB"/>
              </w:rPr>
              <w:t>rd</w:t>
            </w:r>
            <w:r>
              <w:rPr>
                <w:sz w:val="22"/>
                <w:szCs w:val="22"/>
                <w:lang w:val="en-GB"/>
              </w:rPr>
              <w:t xml:space="preserve"> and 24</w:t>
            </w:r>
            <w:r w:rsidRPr="00E75F1F">
              <w:rPr>
                <w:sz w:val="22"/>
                <w:szCs w:val="22"/>
                <w:vertAlign w:val="superscript"/>
                <w:lang w:val="en-GB"/>
              </w:rPr>
              <w:t>th</w:t>
            </w:r>
            <w:r>
              <w:rPr>
                <w:sz w:val="22"/>
                <w:szCs w:val="22"/>
                <w:lang w:val="en-GB"/>
              </w:rPr>
              <w:t xml:space="preserve"> meetings, respectively. </w:t>
            </w:r>
            <w:r w:rsidR="00A922EB">
              <w:rPr>
                <w:sz w:val="22"/>
                <w:szCs w:val="22"/>
                <w:lang w:val="en-GB"/>
              </w:rPr>
              <w:t>T</w:t>
            </w:r>
            <w:r w:rsidR="002F6ED1">
              <w:rPr>
                <w:sz w:val="22"/>
                <w:szCs w:val="22"/>
                <w:lang w:val="en-GB"/>
              </w:rPr>
              <w:t xml:space="preserve">hey were subsequently used in the </w:t>
            </w:r>
            <w:r w:rsidR="00650C87">
              <w:rPr>
                <w:sz w:val="22"/>
                <w:szCs w:val="22"/>
                <w:lang w:val="en-GB"/>
              </w:rPr>
              <w:t xml:space="preserve">population status assessment as part of </w:t>
            </w:r>
            <w:r w:rsidR="002F6ED1">
              <w:rPr>
                <w:sz w:val="22"/>
                <w:szCs w:val="22"/>
                <w:lang w:val="en-GB"/>
              </w:rPr>
              <w:t xml:space="preserve">the </w:t>
            </w:r>
            <w:r w:rsidR="00650C87">
              <w:rPr>
                <w:sz w:val="22"/>
                <w:szCs w:val="22"/>
                <w:lang w:val="en-GB"/>
              </w:rPr>
              <w:t>development process for the 9</w:t>
            </w:r>
            <w:r w:rsidR="002F6ED1" w:rsidRPr="00126467">
              <w:rPr>
                <w:sz w:val="22"/>
                <w:szCs w:val="22"/>
                <w:vertAlign w:val="superscript"/>
                <w:lang w:val="en-GB"/>
              </w:rPr>
              <w:t>th</w:t>
            </w:r>
            <w:r w:rsidR="002F6ED1">
              <w:rPr>
                <w:sz w:val="22"/>
                <w:szCs w:val="22"/>
                <w:lang w:val="en-GB"/>
              </w:rPr>
              <w:t xml:space="preserve"> edition of the AEWA Conservation Status Report </w:t>
            </w:r>
            <w:r w:rsidR="002F6ED1">
              <w:t>(CSR</w:t>
            </w:r>
            <w:r w:rsidR="00650C87">
              <w:t>9</w:t>
            </w:r>
            <w:r w:rsidR="002F6ED1">
              <w:t>)</w:t>
            </w:r>
            <w:r w:rsidR="002F6ED1" w:rsidRPr="00480DF1">
              <w:rPr>
                <w:sz w:val="22"/>
                <w:szCs w:val="22"/>
                <w:lang w:val="en-GB"/>
              </w:rPr>
              <w:t>.</w:t>
            </w:r>
          </w:p>
          <w:p w14:paraId="307050A8" w14:textId="77777777" w:rsidR="00A922EB" w:rsidRDefault="00A922EB" w:rsidP="00E75F1F">
            <w:pPr>
              <w:spacing w:line="276" w:lineRule="auto"/>
              <w:rPr>
                <w:sz w:val="22"/>
                <w:szCs w:val="22"/>
                <w:lang w:val="en-GB"/>
              </w:rPr>
            </w:pPr>
          </w:p>
          <w:p w14:paraId="0AAF6044" w14:textId="4008E61A" w:rsidR="00E75F1F" w:rsidRDefault="00E75F1F" w:rsidP="00E75F1F">
            <w:pPr>
              <w:spacing w:line="276" w:lineRule="auto"/>
              <w:rPr>
                <w:sz w:val="22"/>
                <w:szCs w:val="22"/>
                <w:lang w:val="en-GB"/>
              </w:rPr>
            </w:pPr>
            <w:r>
              <w:rPr>
                <w:sz w:val="22"/>
                <w:szCs w:val="22"/>
                <w:lang w:val="en-GB"/>
              </w:rPr>
              <w:lastRenderedPageBreak/>
              <w:t>AEWA TC</w:t>
            </w:r>
            <w:r w:rsidRPr="00385A5F">
              <w:rPr>
                <w:sz w:val="22"/>
                <w:szCs w:val="22"/>
                <w:lang w:val="en-GB"/>
              </w:rPr>
              <w:t xml:space="preserve"> recommendations for the</w:t>
            </w:r>
            <w:r>
              <w:rPr>
                <w:sz w:val="22"/>
                <w:szCs w:val="22"/>
                <w:lang w:val="en-GB"/>
              </w:rPr>
              <w:t xml:space="preserve"> delineation of selected AEWA</w:t>
            </w:r>
            <w:r w:rsidRPr="00385A5F">
              <w:rPr>
                <w:sz w:val="22"/>
                <w:szCs w:val="22"/>
                <w:lang w:val="en-GB"/>
              </w:rPr>
              <w:t xml:space="preserve"> populations</w:t>
            </w:r>
            <w:r>
              <w:rPr>
                <w:sz w:val="22"/>
                <w:szCs w:val="22"/>
                <w:lang w:val="en-GB"/>
              </w:rPr>
              <w:t xml:space="preserve"> on Table 1 of the Action P</w:t>
            </w:r>
            <w:r w:rsidRPr="00385A5F">
              <w:rPr>
                <w:sz w:val="22"/>
                <w:szCs w:val="22"/>
                <w:lang w:val="en-GB"/>
              </w:rPr>
              <w:t>lan</w:t>
            </w:r>
            <w:r>
              <w:rPr>
                <w:sz w:val="22"/>
                <w:szCs w:val="22"/>
                <w:lang w:val="en-GB"/>
              </w:rPr>
              <w:t xml:space="preserve"> (</w:t>
            </w:r>
            <w:r w:rsidRPr="00893014">
              <w:rPr>
                <w:sz w:val="22"/>
                <w:szCs w:val="22"/>
                <w:lang w:val="en-GB"/>
              </w:rPr>
              <w:t xml:space="preserve">Doc. </w:t>
            </w:r>
            <w:hyperlink r:id="rId22" w:history="1">
              <w:r w:rsidRPr="00893014">
                <w:rPr>
                  <w:rStyle w:val="Hyperlink"/>
                  <w:sz w:val="22"/>
                  <w:szCs w:val="22"/>
                  <w:lang w:val="en-GB"/>
                </w:rPr>
                <w:t>AEWA/StC 23.7</w:t>
              </w:r>
            </w:hyperlink>
            <w:r w:rsidRPr="00FD6231">
              <w:rPr>
                <w:rStyle w:val="Hyperlink"/>
                <w:color w:val="auto"/>
                <w:sz w:val="22"/>
                <w:szCs w:val="22"/>
                <w:u w:val="none"/>
                <w:lang w:val="en-GB"/>
              </w:rPr>
              <w:t xml:space="preserve"> </w:t>
            </w:r>
            <w:r w:rsidRPr="00FD6231">
              <w:rPr>
                <w:rStyle w:val="Hyperlink"/>
                <w:color w:val="auto"/>
                <w:sz w:val="22"/>
                <w:szCs w:val="22"/>
                <w:u w:val="none"/>
              </w:rPr>
              <w:t xml:space="preserve">and </w:t>
            </w:r>
            <w:hyperlink r:id="rId23" w:history="1">
              <w:r w:rsidRPr="00E75F1F">
                <w:rPr>
                  <w:rStyle w:val="Hyperlink"/>
                  <w:sz w:val="22"/>
                  <w:szCs w:val="22"/>
                </w:rPr>
                <w:t>AEWA/StC 24.9 Rev1</w:t>
              </w:r>
            </w:hyperlink>
            <w:r w:rsidRPr="00FD6231">
              <w:rPr>
                <w:sz w:val="22"/>
                <w:szCs w:val="22"/>
                <w:lang w:val="en-GB"/>
              </w:rPr>
              <w:t>).</w:t>
            </w:r>
          </w:p>
          <w:p w14:paraId="40144670" w14:textId="050CBB57" w:rsidR="002F6ED1" w:rsidRDefault="002F6ED1" w:rsidP="002F6ED1">
            <w:pPr>
              <w:spacing w:line="276" w:lineRule="auto"/>
              <w:rPr>
                <w:sz w:val="22"/>
                <w:szCs w:val="22"/>
                <w:lang w:val="en-GB"/>
              </w:rPr>
            </w:pPr>
          </w:p>
          <w:p w14:paraId="64DF2042" w14:textId="66E2D6CE" w:rsidR="002F6ED1" w:rsidRDefault="002F6ED1" w:rsidP="002F6ED1">
            <w:pPr>
              <w:spacing w:line="276" w:lineRule="auto"/>
              <w:rPr>
                <w:sz w:val="22"/>
                <w:szCs w:val="22"/>
                <w:lang w:val="en-GB"/>
              </w:rPr>
            </w:pPr>
          </w:p>
          <w:p w14:paraId="5EE5818E" w14:textId="106084A2" w:rsidR="003A5D82" w:rsidRPr="00480DF1" w:rsidRDefault="003A5D82" w:rsidP="003A5D82">
            <w:pPr>
              <w:spacing w:line="276" w:lineRule="auto"/>
              <w:rPr>
                <w:sz w:val="22"/>
                <w:szCs w:val="22"/>
                <w:lang w:val="en-GB"/>
              </w:rPr>
            </w:pPr>
          </w:p>
        </w:tc>
        <w:tc>
          <w:tcPr>
            <w:tcW w:w="823" w:type="pct"/>
            <w:tcBorders>
              <w:top w:val="single" w:sz="4" w:space="0" w:color="000000"/>
              <w:left w:val="single" w:sz="4" w:space="0" w:color="000000"/>
              <w:bottom w:val="single" w:sz="4" w:space="0" w:color="000000"/>
              <w:right w:val="single" w:sz="4" w:space="0" w:color="000000"/>
            </w:tcBorders>
          </w:tcPr>
          <w:p w14:paraId="25A80EE9" w14:textId="46B89910" w:rsidR="002F6ED1" w:rsidRPr="00860CD7" w:rsidRDefault="00AA5F48" w:rsidP="002F6ED1">
            <w:pPr>
              <w:spacing w:line="276" w:lineRule="auto"/>
              <w:rPr>
                <w:sz w:val="22"/>
                <w:szCs w:val="22"/>
                <w:lang w:val="en-GB"/>
              </w:rPr>
            </w:pPr>
            <w:r w:rsidRPr="00AA5F48">
              <w:rPr>
                <w:sz w:val="22"/>
                <w:szCs w:val="22"/>
                <w:lang w:val="en-GB"/>
              </w:rPr>
              <w:lastRenderedPageBreak/>
              <w:t xml:space="preserve">Doc. AEWA/MOP </w:t>
            </w:r>
            <w:r w:rsidR="00650C87">
              <w:rPr>
                <w:sz w:val="22"/>
                <w:szCs w:val="22"/>
                <w:lang w:val="en-GB"/>
              </w:rPr>
              <w:t>9</w:t>
            </w:r>
            <w:r w:rsidRPr="00AA5F48">
              <w:rPr>
                <w:sz w:val="22"/>
                <w:szCs w:val="22"/>
                <w:lang w:val="en-GB"/>
              </w:rPr>
              <w:t>.1</w:t>
            </w:r>
            <w:r w:rsidR="00650C87">
              <w:rPr>
                <w:sz w:val="22"/>
                <w:szCs w:val="22"/>
                <w:lang w:val="en-GB"/>
              </w:rPr>
              <w:t>6</w:t>
            </w:r>
          </w:p>
        </w:tc>
      </w:tr>
      <w:tr w:rsidR="002F6ED1" w:rsidRPr="00860CD7" w14:paraId="3FE37D48"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2667C967" w14:textId="6370DA76" w:rsidR="002F6ED1" w:rsidRPr="0036413B" w:rsidRDefault="002F6ED1" w:rsidP="002F6ED1">
            <w:pPr>
              <w:spacing w:line="276" w:lineRule="auto"/>
              <w:rPr>
                <w:b/>
                <w:bCs/>
                <w:sz w:val="22"/>
                <w:szCs w:val="22"/>
                <w:lang w:val="en-GB"/>
              </w:rPr>
            </w:pPr>
            <w:r>
              <w:rPr>
                <w:b/>
                <w:bCs/>
                <w:sz w:val="22"/>
                <w:szCs w:val="22"/>
                <w:lang w:val="en-GB"/>
              </w:rPr>
              <w:t>1</w:t>
            </w:r>
            <w:r w:rsidRPr="0036413B">
              <w:rPr>
                <w:b/>
                <w:bCs/>
                <w:sz w:val="22"/>
                <w:szCs w:val="22"/>
                <w:lang w:val="en-GB"/>
              </w:rPr>
              <w:t>.</w:t>
            </w:r>
            <w:r w:rsidR="00A922EB">
              <w:rPr>
                <w:b/>
                <w:bCs/>
                <w:sz w:val="22"/>
                <w:szCs w:val="22"/>
                <w:lang w:val="en-GB"/>
              </w:rPr>
              <w:t>3.</w:t>
            </w:r>
            <w:r w:rsidRPr="0036413B">
              <w:rPr>
                <w:b/>
                <w:bCs/>
                <w:sz w:val="22"/>
                <w:szCs w:val="22"/>
                <w:lang w:val="en-GB"/>
              </w:rPr>
              <w:t xml:space="preserve"> Review of Table 1 in Annex 3 to the Agreement</w:t>
            </w:r>
          </w:p>
          <w:p w14:paraId="76A64856" w14:textId="78ACE060" w:rsidR="002F6ED1" w:rsidRPr="0036413B" w:rsidRDefault="002F6ED1" w:rsidP="002F6ED1">
            <w:pPr>
              <w:spacing w:line="276" w:lineRule="auto"/>
              <w:rPr>
                <w:sz w:val="22"/>
                <w:szCs w:val="22"/>
                <w:lang w:val="en-GB"/>
              </w:rPr>
            </w:pPr>
            <w:r w:rsidRPr="0036413B">
              <w:rPr>
                <w:sz w:val="22"/>
                <w:szCs w:val="22"/>
                <w:lang w:val="en-GB"/>
              </w:rPr>
              <w:t xml:space="preserve">Prepare </w:t>
            </w:r>
            <w:r>
              <w:rPr>
                <w:sz w:val="22"/>
                <w:szCs w:val="22"/>
                <w:lang w:val="en-GB"/>
              </w:rPr>
              <w:t>a</w:t>
            </w:r>
            <w:r>
              <w:t xml:space="preserve"> </w:t>
            </w:r>
            <w:r w:rsidRPr="0036413B">
              <w:rPr>
                <w:sz w:val="22"/>
                <w:szCs w:val="22"/>
                <w:lang w:val="en-GB"/>
              </w:rPr>
              <w:t xml:space="preserve">proposal for revision of Table 1 in </w:t>
            </w:r>
            <w:r>
              <w:rPr>
                <w:sz w:val="22"/>
                <w:szCs w:val="22"/>
                <w:lang w:val="en-GB"/>
              </w:rPr>
              <w:t xml:space="preserve">AEWA </w:t>
            </w:r>
            <w:r w:rsidRPr="0036413B">
              <w:rPr>
                <w:sz w:val="22"/>
                <w:szCs w:val="22"/>
                <w:lang w:val="en-GB"/>
              </w:rPr>
              <w:t>Annex 3 for submission to MOP</w:t>
            </w:r>
            <w:r w:rsidR="00A922EB">
              <w:rPr>
                <w:sz w:val="22"/>
                <w:szCs w:val="22"/>
                <w:lang w:val="en-GB"/>
              </w:rPr>
              <w:t>9</w:t>
            </w:r>
            <w:r>
              <w:rPr>
                <w:sz w:val="22"/>
                <w:szCs w:val="22"/>
                <w:lang w:val="en-GB"/>
              </w:rPr>
              <w:t xml:space="preserve">. </w:t>
            </w:r>
            <w:r w:rsidRPr="006126CE">
              <w:rPr>
                <w:sz w:val="22"/>
                <w:szCs w:val="22"/>
                <w:lang w:val="en-GB"/>
              </w:rPr>
              <w:t>(</w:t>
            </w:r>
            <w:r w:rsidRPr="006126CE">
              <w:rPr>
                <w:i/>
                <w:iCs/>
                <w:sz w:val="22"/>
                <w:szCs w:val="22"/>
                <w:lang w:val="en-GB"/>
              </w:rPr>
              <w:t>AEWA Article VII.3(b)</w:t>
            </w:r>
            <w:r w:rsidRPr="006126CE">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6431F5DD" w14:textId="77777777" w:rsidR="002F6ED1" w:rsidRDefault="002F6ED1" w:rsidP="002F6ED1">
            <w:pPr>
              <w:spacing w:line="276" w:lineRule="auto"/>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6BB20B68" w14:textId="77777777" w:rsidR="002F6ED1" w:rsidRPr="00860CD7" w:rsidRDefault="002F6ED1" w:rsidP="002F6ED1">
            <w:pPr>
              <w:spacing w:line="276" w:lineRule="auto"/>
              <w:rPr>
                <w:sz w:val="22"/>
                <w:szCs w:val="22"/>
                <w:lang w:val="en-GB"/>
              </w:rPr>
            </w:pPr>
            <w:r w:rsidRPr="00092BFA">
              <w:rPr>
                <w:b/>
                <w:bCs/>
                <w:sz w:val="22"/>
                <w:szCs w:val="22"/>
                <w:shd w:val="clear" w:color="auto" w:fill="92D050"/>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637AB478" w14:textId="0B3A5C08" w:rsidR="002F6ED1" w:rsidRPr="003A5D82" w:rsidRDefault="002F6ED1" w:rsidP="002F6ED1">
            <w:pPr>
              <w:spacing w:line="276" w:lineRule="auto"/>
              <w:rPr>
                <w:sz w:val="22"/>
                <w:szCs w:val="22"/>
              </w:rPr>
            </w:pPr>
            <w:r w:rsidRPr="003A5D82">
              <w:rPr>
                <w:sz w:val="22"/>
                <w:szCs w:val="22"/>
                <w:lang w:val="en-GB"/>
              </w:rPr>
              <w:t>B</w:t>
            </w:r>
            <w:r w:rsidRPr="003A5D82">
              <w:rPr>
                <w:sz w:val="22"/>
                <w:szCs w:val="22"/>
              </w:rPr>
              <w:t xml:space="preserve">ased on the </w:t>
            </w:r>
            <w:r w:rsidR="00A922EB">
              <w:rPr>
                <w:sz w:val="22"/>
                <w:szCs w:val="22"/>
              </w:rPr>
              <w:t xml:space="preserve">population status assessments as part of the </w:t>
            </w:r>
            <w:r w:rsidRPr="003A5D82">
              <w:rPr>
                <w:sz w:val="22"/>
                <w:szCs w:val="22"/>
              </w:rPr>
              <w:t>CSR</w:t>
            </w:r>
            <w:r w:rsidR="00A922EB">
              <w:rPr>
                <w:sz w:val="22"/>
                <w:szCs w:val="22"/>
              </w:rPr>
              <w:t>9</w:t>
            </w:r>
            <w:r w:rsidR="00E13A41">
              <w:rPr>
                <w:sz w:val="22"/>
                <w:szCs w:val="22"/>
              </w:rPr>
              <w:t xml:space="preserve"> </w:t>
            </w:r>
            <w:r w:rsidR="00A922EB">
              <w:rPr>
                <w:sz w:val="22"/>
                <w:szCs w:val="22"/>
              </w:rPr>
              <w:t xml:space="preserve">development process </w:t>
            </w:r>
            <w:r w:rsidR="00E13A41">
              <w:rPr>
                <w:sz w:val="22"/>
                <w:szCs w:val="22"/>
              </w:rPr>
              <w:t>and task 1.</w:t>
            </w:r>
            <w:r w:rsidR="00A922EB">
              <w:rPr>
                <w:sz w:val="22"/>
                <w:szCs w:val="22"/>
              </w:rPr>
              <w:t>2</w:t>
            </w:r>
            <w:r w:rsidR="00E13A41">
              <w:rPr>
                <w:sz w:val="22"/>
                <w:szCs w:val="22"/>
              </w:rPr>
              <w:t xml:space="preserve"> above</w:t>
            </w:r>
            <w:r w:rsidRPr="003A5D82">
              <w:rPr>
                <w:sz w:val="22"/>
                <w:szCs w:val="22"/>
              </w:rPr>
              <w:t xml:space="preserve">, the TC prepared </w:t>
            </w:r>
            <w:r w:rsidR="00E13A41">
              <w:rPr>
                <w:sz w:val="22"/>
                <w:szCs w:val="22"/>
              </w:rPr>
              <w:t>in 202</w:t>
            </w:r>
            <w:r w:rsidR="00A922EB">
              <w:rPr>
                <w:sz w:val="22"/>
                <w:szCs w:val="22"/>
              </w:rPr>
              <w:t>5</w:t>
            </w:r>
            <w:r w:rsidR="00E13A41">
              <w:rPr>
                <w:sz w:val="22"/>
                <w:szCs w:val="22"/>
              </w:rPr>
              <w:t xml:space="preserve"> </w:t>
            </w:r>
            <w:r w:rsidRPr="003A5D82">
              <w:rPr>
                <w:sz w:val="22"/>
                <w:szCs w:val="22"/>
              </w:rPr>
              <w:t>a proposal for amendments to Table 1 of AEWA Annex 3</w:t>
            </w:r>
            <w:r w:rsidR="00E13A41">
              <w:rPr>
                <w:sz w:val="22"/>
                <w:szCs w:val="22"/>
              </w:rPr>
              <w:t xml:space="preserve"> which was </w:t>
            </w:r>
            <w:r w:rsidRPr="003A5D82">
              <w:rPr>
                <w:sz w:val="22"/>
                <w:szCs w:val="22"/>
              </w:rPr>
              <w:t>submitted to MOP</w:t>
            </w:r>
            <w:r w:rsidR="00A922EB">
              <w:rPr>
                <w:sz w:val="22"/>
                <w:szCs w:val="22"/>
              </w:rPr>
              <w:t>9</w:t>
            </w:r>
            <w:r w:rsidRPr="003A5D82">
              <w:rPr>
                <w:sz w:val="22"/>
                <w:szCs w:val="22"/>
              </w:rPr>
              <w:t xml:space="preserve"> by </w:t>
            </w:r>
            <w:r w:rsidR="00FD6231" w:rsidRPr="003A5D82">
              <w:rPr>
                <w:sz w:val="22"/>
                <w:szCs w:val="22"/>
              </w:rPr>
              <w:t xml:space="preserve">the United Kingdom </w:t>
            </w:r>
            <w:r w:rsidRPr="003A5D82">
              <w:rPr>
                <w:sz w:val="22"/>
                <w:szCs w:val="22"/>
              </w:rPr>
              <w:t xml:space="preserve">in accordance with Article X of the Agreement. </w:t>
            </w:r>
          </w:p>
        </w:tc>
        <w:tc>
          <w:tcPr>
            <w:tcW w:w="823" w:type="pct"/>
            <w:tcBorders>
              <w:top w:val="single" w:sz="4" w:space="0" w:color="000000"/>
              <w:left w:val="single" w:sz="4" w:space="0" w:color="000000"/>
              <w:bottom w:val="single" w:sz="4" w:space="0" w:color="000000"/>
              <w:right w:val="single" w:sz="4" w:space="0" w:color="000000"/>
            </w:tcBorders>
          </w:tcPr>
          <w:p w14:paraId="756A4A70" w14:textId="5BE2B8D3" w:rsidR="002F6ED1" w:rsidRDefault="002F6ED1" w:rsidP="002F6ED1">
            <w:pPr>
              <w:spacing w:line="276" w:lineRule="auto"/>
              <w:rPr>
                <w:sz w:val="22"/>
                <w:szCs w:val="22"/>
                <w:lang w:val="en-GB"/>
              </w:rPr>
            </w:pPr>
            <w:r>
              <w:rPr>
                <w:sz w:val="22"/>
                <w:szCs w:val="22"/>
                <w:lang w:val="en-GB"/>
              </w:rPr>
              <w:t xml:space="preserve">Doc. AEWA/MOP </w:t>
            </w:r>
            <w:r w:rsidR="00A922EB">
              <w:rPr>
                <w:sz w:val="22"/>
                <w:szCs w:val="22"/>
                <w:lang w:val="en-GB"/>
              </w:rPr>
              <w:t>9</w:t>
            </w:r>
            <w:r>
              <w:rPr>
                <w:sz w:val="22"/>
                <w:szCs w:val="22"/>
                <w:lang w:val="en-GB"/>
              </w:rPr>
              <w:t>.</w:t>
            </w:r>
            <w:r w:rsidR="00A25C80">
              <w:rPr>
                <w:sz w:val="22"/>
                <w:szCs w:val="22"/>
                <w:lang w:val="en-GB"/>
              </w:rPr>
              <w:t>1</w:t>
            </w:r>
            <w:r w:rsidR="00A922EB">
              <w:rPr>
                <w:sz w:val="22"/>
                <w:szCs w:val="22"/>
                <w:lang w:val="en-GB"/>
              </w:rPr>
              <w:t>6</w:t>
            </w:r>
          </w:p>
          <w:p w14:paraId="09B6ABA5" w14:textId="77777777" w:rsidR="002F6ED1" w:rsidRPr="00860CD7" w:rsidRDefault="002F6ED1" w:rsidP="002F6ED1">
            <w:pPr>
              <w:spacing w:line="276" w:lineRule="auto"/>
              <w:rPr>
                <w:sz w:val="22"/>
                <w:szCs w:val="22"/>
                <w:lang w:val="en-GB"/>
              </w:rPr>
            </w:pPr>
          </w:p>
        </w:tc>
      </w:tr>
      <w:tr w:rsidR="00A922EB" w:rsidRPr="00860CD7" w14:paraId="403B3664" w14:textId="77777777" w:rsidTr="00A922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44DB032A" w14:textId="55627029" w:rsidR="00A922EB" w:rsidRPr="0036413B" w:rsidRDefault="00A922EB" w:rsidP="00A922EB">
            <w:pPr>
              <w:spacing w:line="276" w:lineRule="auto"/>
              <w:rPr>
                <w:b/>
                <w:bCs/>
                <w:sz w:val="22"/>
                <w:szCs w:val="22"/>
                <w:lang w:val="en-GB"/>
              </w:rPr>
            </w:pPr>
            <w:r>
              <w:rPr>
                <w:b/>
                <w:bCs/>
                <w:sz w:val="22"/>
                <w:szCs w:val="22"/>
                <w:lang w:val="en-GB"/>
              </w:rPr>
              <w:t>1</w:t>
            </w:r>
            <w:r w:rsidRPr="0036413B">
              <w:rPr>
                <w:b/>
                <w:bCs/>
                <w:sz w:val="22"/>
                <w:szCs w:val="22"/>
                <w:lang w:val="en-GB"/>
              </w:rPr>
              <w:t>.</w:t>
            </w:r>
            <w:r>
              <w:rPr>
                <w:b/>
                <w:bCs/>
                <w:sz w:val="22"/>
                <w:szCs w:val="22"/>
                <w:lang w:val="en-GB"/>
              </w:rPr>
              <w:t>4.</w:t>
            </w:r>
            <w:r w:rsidRPr="0036413B">
              <w:rPr>
                <w:b/>
                <w:bCs/>
                <w:sz w:val="22"/>
                <w:szCs w:val="22"/>
                <w:lang w:val="en-GB"/>
              </w:rPr>
              <w:t xml:space="preserve"> </w:t>
            </w:r>
            <w:r w:rsidRPr="00A922EB">
              <w:rPr>
                <w:b/>
                <w:bCs/>
                <w:sz w:val="22"/>
                <w:szCs w:val="22"/>
                <w:lang w:val="en-GB"/>
              </w:rPr>
              <w:t>Review of intended proposals for amendments to the Agreement</w:t>
            </w:r>
          </w:p>
          <w:p w14:paraId="6E474908" w14:textId="209A0BE9" w:rsidR="00A922EB" w:rsidRDefault="00A922EB" w:rsidP="00A922EB">
            <w:pPr>
              <w:spacing w:line="276" w:lineRule="auto"/>
              <w:rPr>
                <w:b/>
                <w:bCs/>
                <w:sz w:val="22"/>
                <w:szCs w:val="22"/>
                <w:lang w:val="en-GB"/>
              </w:rPr>
            </w:pPr>
            <w:r w:rsidRPr="00A922EB">
              <w:rPr>
                <w:sz w:val="22"/>
                <w:szCs w:val="22"/>
                <w:lang w:val="en-GB"/>
              </w:rPr>
              <w:t>Review the submission by Contracting Parties of intended proposals for amendments to the Agreement and its annexes and provide its advice on the text of the proposed amendments and the reasons for it to the submitting Contracting Party for its consideration not later than 180 days before the opening of the session of the Meeting of the Parties</w:t>
            </w:r>
            <w:r>
              <w:rPr>
                <w:sz w:val="22"/>
                <w:szCs w:val="22"/>
                <w:lang w:val="en-GB"/>
              </w:rPr>
              <w:t>.</w:t>
            </w:r>
            <w:r w:rsidRPr="00A922EB">
              <w:rPr>
                <w:sz w:val="22"/>
                <w:szCs w:val="22"/>
                <w:lang w:val="en-GB"/>
              </w:rPr>
              <w:t xml:space="preserve"> (</w:t>
            </w:r>
            <w:r w:rsidRPr="00A922EB">
              <w:rPr>
                <w:i/>
                <w:iCs/>
                <w:sz w:val="22"/>
                <w:szCs w:val="22"/>
                <w:lang w:val="en-GB"/>
              </w:rPr>
              <w:t>Resolution 8.1</w:t>
            </w:r>
            <w:r w:rsidRPr="00A922EB">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3FC9AD18" w14:textId="0C189C84" w:rsidR="00A922EB" w:rsidRPr="00AC70CB" w:rsidRDefault="00A922EB" w:rsidP="00A922EB">
            <w:pPr>
              <w:spacing w:line="276" w:lineRule="auto"/>
              <w:rPr>
                <w:b/>
                <w:bCs/>
                <w:sz w:val="22"/>
                <w:szCs w:val="22"/>
                <w:shd w:val="clear" w:color="auto" w:fill="FF9999"/>
              </w:rPr>
            </w:pPr>
            <w:r>
              <w:rPr>
                <w:b/>
                <w:bCs/>
                <w:sz w:val="22"/>
                <w:szCs w:val="22"/>
                <w:shd w:val="clear" w:color="auto" w:fill="FF9999"/>
              </w:rPr>
              <w:t>Essential</w:t>
            </w:r>
            <w:r w:rsidR="000A01C2">
              <w:rPr>
                <w:b/>
                <w:bCs/>
                <w:sz w:val="22"/>
                <w:szCs w:val="22"/>
                <w:lang w:val="en-GB" w:eastAsia="nl-NL"/>
              </w:rPr>
              <w:t xml:space="preserve">/ </w:t>
            </w:r>
            <w:r w:rsidR="000A01C2" w:rsidRPr="006E2325">
              <w:rPr>
                <w:b/>
                <w:bCs/>
                <w:sz w:val="22"/>
                <w:szCs w:val="22"/>
                <w:lang w:val="en-GB" w:eastAsia="nl-NL"/>
              </w:rPr>
              <w:t>No action required</w:t>
            </w:r>
          </w:p>
        </w:tc>
        <w:tc>
          <w:tcPr>
            <w:tcW w:w="682" w:type="pct"/>
            <w:tcBorders>
              <w:top w:val="single" w:sz="4" w:space="0" w:color="000000"/>
              <w:left w:val="single" w:sz="4" w:space="0" w:color="000000"/>
              <w:bottom w:val="single" w:sz="4" w:space="0" w:color="000000"/>
              <w:right w:val="single" w:sz="4" w:space="0" w:color="000000"/>
            </w:tcBorders>
          </w:tcPr>
          <w:p w14:paraId="37024EDB" w14:textId="1A7CE85A" w:rsidR="00A922EB" w:rsidRPr="00092BFA" w:rsidRDefault="00A922EB" w:rsidP="00A922EB">
            <w:pPr>
              <w:spacing w:line="276" w:lineRule="auto"/>
              <w:rPr>
                <w:b/>
                <w:bCs/>
                <w:sz w:val="22"/>
                <w:szCs w:val="22"/>
                <w:shd w:val="clear" w:color="auto" w:fill="92D050"/>
                <w:lang w:val="en-GB"/>
              </w:rPr>
            </w:pPr>
            <w:r>
              <w:rPr>
                <w:sz w:val="22"/>
                <w:szCs w:val="22"/>
                <w:lang w:val="en-GB"/>
              </w:rPr>
              <w:t>N/A</w:t>
            </w:r>
          </w:p>
        </w:tc>
        <w:tc>
          <w:tcPr>
            <w:tcW w:w="1629" w:type="pct"/>
            <w:tcBorders>
              <w:top w:val="single" w:sz="4" w:space="0" w:color="000000"/>
              <w:left w:val="single" w:sz="4" w:space="0" w:color="000000"/>
              <w:bottom w:val="single" w:sz="4" w:space="0" w:color="000000"/>
              <w:right w:val="single" w:sz="4" w:space="0" w:color="000000"/>
            </w:tcBorders>
          </w:tcPr>
          <w:p w14:paraId="6E97F8EE" w14:textId="0A93249D" w:rsidR="00A922EB" w:rsidRPr="003A5D82" w:rsidRDefault="000A01C2" w:rsidP="00A922EB">
            <w:pPr>
              <w:spacing w:line="276" w:lineRule="auto"/>
              <w:rPr>
                <w:sz w:val="22"/>
                <w:szCs w:val="22"/>
                <w:lang w:val="en-GB"/>
              </w:rPr>
            </w:pPr>
            <w:r>
              <w:rPr>
                <w:sz w:val="22"/>
                <w:szCs w:val="22"/>
                <w:lang w:val="en-GB"/>
              </w:rPr>
              <w:t xml:space="preserve">As no Contracting Party submitted an intended proposal for review, the Technical Committee did not need to act on this task. </w:t>
            </w:r>
          </w:p>
        </w:tc>
        <w:tc>
          <w:tcPr>
            <w:tcW w:w="823" w:type="pct"/>
            <w:tcBorders>
              <w:top w:val="single" w:sz="4" w:space="0" w:color="000000"/>
              <w:left w:val="single" w:sz="4" w:space="0" w:color="000000"/>
              <w:bottom w:val="single" w:sz="4" w:space="0" w:color="000000"/>
              <w:right w:val="single" w:sz="4" w:space="0" w:color="000000"/>
            </w:tcBorders>
          </w:tcPr>
          <w:p w14:paraId="5735A657" w14:textId="38A2A58C" w:rsidR="00A922EB" w:rsidRDefault="00B87FC3" w:rsidP="00A922EB">
            <w:pPr>
              <w:spacing w:line="276" w:lineRule="auto"/>
              <w:rPr>
                <w:sz w:val="22"/>
                <w:szCs w:val="22"/>
                <w:lang w:val="en-GB"/>
              </w:rPr>
            </w:pPr>
            <w:r>
              <w:rPr>
                <w:sz w:val="22"/>
                <w:szCs w:val="22"/>
                <w:lang w:val="en-GB"/>
              </w:rPr>
              <w:t>--</w:t>
            </w:r>
          </w:p>
        </w:tc>
      </w:tr>
      <w:tr w:rsidR="005520BE" w:rsidRPr="00860CD7" w14:paraId="1740C2EE" w14:textId="77777777" w:rsidTr="005520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5D95C67D" w14:textId="53079AA9" w:rsidR="005520BE" w:rsidRPr="0036413B" w:rsidRDefault="005520BE" w:rsidP="005520BE">
            <w:pPr>
              <w:spacing w:line="276" w:lineRule="auto"/>
              <w:rPr>
                <w:b/>
                <w:bCs/>
                <w:sz w:val="22"/>
                <w:szCs w:val="22"/>
                <w:lang w:val="en-GB"/>
              </w:rPr>
            </w:pPr>
            <w:r>
              <w:rPr>
                <w:b/>
                <w:bCs/>
                <w:sz w:val="22"/>
                <w:szCs w:val="22"/>
                <w:lang w:val="en-GB"/>
              </w:rPr>
              <w:t>1</w:t>
            </w:r>
            <w:r w:rsidRPr="0036413B">
              <w:rPr>
                <w:b/>
                <w:bCs/>
                <w:sz w:val="22"/>
                <w:szCs w:val="22"/>
                <w:lang w:val="en-GB"/>
              </w:rPr>
              <w:t>.</w:t>
            </w:r>
            <w:r>
              <w:rPr>
                <w:b/>
                <w:bCs/>
                <w:sz w:val="22"/>
                <w:szCs w:val="22"/>
                <w:lang w:val="en-GB"/>
              </w:rPr>
              <w:t>5.</w:t>
            </w:r>
            <w:r w:rsidRPr="0036413B">
              <w:rPr>
                <w:b/>
                <w:bCs/>
                <w:sz w:val="22"/>
                <w:szCs w:val="22"/>
                <w:lang w:val="en-GB"/>
              </w:rPr>
              <w:t xml:space="preserve"> </w:t>
            </w:r>
            <w:r w:rsidRPr="005520BE">
              <w:rPr>
                <w:b/>
                <w:bCs/>
                <w:sz w:val="22"/>
                <w:szCs w:val="22"/>
                <w:lang w:val="en-GB"/>
              </w:rPr>
              <w:t>Definition of the term “livelihood”</w:t>
            </w:r>
          </w:p>
          <w:p w14:paraId="1A3BF6DB" w14:textId="120054F1" w:rsidR="005520BE" w:rsidRDefault="005520BE" w:rsidP="005520BE">
            <w:pPr>
              <w:spacing w:line="276" w:lineRule="auto"/>
              <w:rPr>
                <w:b/>
                <w:bCs/>
                <w:sz w:val="22"/>
                <w:szCs w:val="22"/>
                <w:lang w:val="en-GB"/>
              </w:rPr>
            </w:pPr>
            <w:r w:rsidRPr="005520BE">
              <w:rPr>
                <w:sz w:val="22"/>
                <w:szCs w:val="22"/>
                <w:lang w:val="en-GB"/>
              </w:rPr>
              <w:lastRenderedPageBreak/>
              <w:t>In the context of implementation of the Agreement, in particular paragraph 2.1.2 of Annex 3 (Action Plan), propose a definition of the term “livelihood” for consideration by MOP9</w:t>
            </w:r>
            <w:r>
              <w:rPr>
                <w:sz w:val="22"/>
                <w:szCs w:val="22"/>
                <w:lang w:val="en-GB"/>
              </w:rPr>
              <w:t>.</w:t>
            </w:r>
            <w:r w:rsidRPr="005520BE">
              <w:rPr>
                <w:sz w:val="22"/>
                <w:szCs w:val="22"/>
                <w:lang w:val="en-GB"/>
              </w:rPr>
              <w:t xml:space="preserve"> (</w:t>
            </w:r>
            <w:r w:rsidRPr="005520BE">
              <w:rPr>
                <w:i/>
                <w:iCs/>
                <w:sz w:val="22"/>
                <w:szCs w:val="22"/>
                <w:lang w:val="en-GB"/>
              </w:rPr>
              <w:t>Resolution 8.3</w:t>
            </w:r>
            <w:r w:rsidRPr="005520BE">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0979F5B2" w14:textId="26782598" w:rsidR="005520BE" w:rsidRPr="005520BE" w:rsidRDefault="005520BE" w:rsidP="005520BE">
            <w:pPr>
              <w:spacing w:line="276" w:lineRule="auto"/>
              <w:rPr>
                <w:b/>
                <w:bCs/>
                <w:sz w:val="22"/>
                <w:szCs w:val="22"/>
                <w:shd w:val="clear" w:color="auto" w:fill="FF9999"/>
              </w:rPr>
            </w:pPr>
            <w:r w:rsidRPr="005520BE">
              <w:rPr>
                <w:b/>
                <w:bCs/>
                <w:sz w:val="22"/>
                <w:szCs w:val="22"/>
                <w:lang w:val="en-GB"/>
              </w:rPr>
              <w:lastRenderedPageBreak/>
              <w:t>High</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26D361BE" w14:textId="7E368245" w:rsidR="005520BE" w:rsidRPr="00092BFA" w:rsidRDefault="007160EF" w:rsidP="005520BE">
            <w:pPr>
              <w:spacing w:line="276" w:lineRule="auto"/>
              <w:rPr>
                <w:b/>
                <w:bCs/>
                <w:sz w:val="22"/>
                <w:szCs w:val="22"/>
                <w:shd w:val="clear" w:color="auto" w:fill="92D050"/>
                <w:lang w:val="en-GB"/>
              </w:rPr>
            </w:pPr>
            <w:r w:rsidRPr="007160EF">
              <w:rPr>
                <w:b/>
                <w:bCs/>
                <w:sz w:val="22"/>
                <w:szCs w:val="22"/>
                <w:shd w:val="clear" w:color="auto" w:fill="92D050"/>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1AF18D70" w14:textId="77777777" w:rsidR="000B1515" w:rsidRPr="000B1515" w:rsidRDefault="000B1515" w:rsidP="000B1515">
            <w:pPr>
              <w:spacing w:line="276" w:lineRule="auto"/>
              <w:rPr>
                <w:sz w:val="22"/>
                <w:szCs w:val="22"/>
                <w:lang w:val="en-GB"/>
              </w:rPr>
            </w:pPr>
            <w:r w:rsidRPr="000B1515">
              <w:rPr>
                <w:sz w:val="22"/>
                <w:szCs w:val="22"/>
                <w:lang w:val="en-GB"/>
              </w:rPr>
              <w:t xml:space="preserve">In undertaking this task, the Technical Committee noted that some guidance is already provided by the </w:t>
            </w:r>
            <w:r w:rsidRPr="000B1515">
              <w:rPr>
                <w:sz w:val="22"/>
                <w:szCs w:val="22"/>
                <w:lang w:val="en-GB"/>
              </w:rPr>
              <w:lastRenderedPageBreak/>
              <w:t xml:space="preserve">AEWA Conservation Guidelines on Sustainable Harvest and concluded that in the context of paragraph 2.1.2, as well as in general with respect to the legal text of the Agreement, the term “sustainable” should be defined more clearly instead. </w:t>
            </w:r>
          </w:p>
          <w:p w14:paraId="3FCBBB9B" w14:textId="77777777" w:rsidR="000B1515" w:rsidRPr="000B1515" w:rsidRDefault="000B1515" w:rsidP="000B1515">
            <w:pPr>
              <w:spacing w:line="276" w:lineRule="auto"/>
              <w:rPr>
                <w:sz w:val="22"/>
                <w:szCs w:val="22"/>
                <w:lang w:val="en-GB"/>
              </w:rPr>
            </w:pPr>
          </w:p>
          <w:p w14:paraId="165972B8" w14:textId="05E912D0" w:rsidR="005520BE" w:rsidRPr="003A5D82" w:rsidRDefault="000B1515" w:rsidP="000B1515">
            <w:pPr>
              <w:spacing w:line="276" w:lineRule="auto"/>
              <w:rPr>
                <w:sz w:val="22"/>
                <w:szCs w:val="22"/>
                <w:lang w:val="en-GB"/>
              </w:rPr>
            </w:pPr>
            <w:r w:rsidRPr="000B1515">
              <w:rPr>
                <w:sz w:val="22"/>
                <w:szCs w:val="22"/>
                <w:lang w:val="en-GB"/>
              </w:rPr>
              <w:t>It was agreed that livelihoods is a topic that is likely to be identified as an overarching and crosscutting issue in the context of the future Strategic Plan for the period 2029-2037 and it would benefit from a short guidance or guide to guidance for the Contracting Parties in this, broader, context.</w:t>
            </w:r>
          </w:p>
        </w:tc>
        <w:tc>
          <w:tcPr>
            <w:tcW w:w="823" w:type="pct"/>
            <w:tcBorders>
              <w:top w:val="single" w:sz="4" w:space="0" w:color="000000"/>
              <w:left w:val="single" w:sz="4" w:space="0" w:color="000000"/>
              <w:bottom w:val="single" w:sz="4" w:space="0" w:color="000000"/>
              <w:right w:val="single" w:sz="4" w:space="0" w:color="000000"/>
            </w:tcBorders>
          </w:tcPr>
          <w:p w14:paraId="61BFD01A" w14:textId="436EFE7B" w:rsidR="005520BE" w:rsidRDefault="00154BDC" w:rsidP="005520BE">
            <w:pPr>
              <w:spacing w:line="276" w:lineRule="auto"/>
              <w:rPr>
                <w:sz w:val="22"/>
                <w:szCs w:val="22"/>
                <w:lang w:val="en-GB"/>
              </w:rPr>
            </w:pPr>
            <w:r>
              <w:rPr>
                <w:sz w:val="22"/>
                <w:szCs w:val="22"/>
                <w:lang w:val="en-GB"/>
              </w:rPr>
              <w:lastRenderedPageBreak/>
              <w:t xml:space="preserve">Doc. </w:t>
            </w:r>
            <w:r w:rsidR="00F373F2" w:rsidRPr="00F373F2">
              <w:rPr>
                <w:sz w:val="22"/>
                <w:szCs w:val="22"/>
                <w:lang w:val="en-GB"/>
              </w:rPr>
              <w:t>AEWA/MOP9 DR.1</w:t>
            </w:r>
          </w:p>
          <w:p w14:paraId="0092B545" w14:textId="77783A1D" w:rsidR="00F373F2" w:rsidRDefault="00154BDC" w:rsidP="005520BE">
            <w:pPr>
              <w:spacing w:line="276" w:lineRule="auto"/>
              <w:rPr>
                <w:sz w:val="22"/>
                <w:szCs w:val="22"/>
                <w:lang w:val="en-GB"/>
              </w:rPr>
            </w:pPr>
            <w:r>
              <w:rPr>
                <w:sz w:val="22"/>
                <w:szCs w:val="22"/>
                <w:lang w:val="en-GB"/>
              </w:rPr>
              <w:t xml:space="preserve">Doc. </w:t>
            </w:r>
            <w:r w:rsidR="00F373F2" w:rsidRPr="00F373F2">
              <w:rPr>
                <w:sz w:val="22"/>
                <w:szCs w:val="22"/>
                <w:lang w:val="en-GB"/>
              </w:rPr>
              <w:t>AEWA/MOP9 DR.</w:t>
            </w:r>
            <w:r w:rsidR="00F373F2">
              <w:rPr>
                <w:sz w:val="22"/>
                <w:szCs w:val="22"/>
                <w:lang w:val="en-GB"/>
              </w:rPr>
              <w:t>2</w:t>
            </w:r>
          </w:p>
        </w:tc>
      </w:tr>
      <w:tr w:rsidR="00FC65F0" w:rsidRPr="00860CD7" w14:paraId="5B020510" w14:textId="77777777" w:rsidTr="00FC65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63CDE8C7" w14:textId="6AE66C39" w:rsidR="00FC65F0" w:rsidRPr="0036413B" w:rsidRDefault="00FC65F0" w:rsidP="00FC65F0">
            <w:pPr>
              <w:spacing w:line="276" w:lineRule="auto"/>
              <w:rPr>
                <w:b/>
                <w:bCs/>
                <w:sz w:val="22"/>
                <w:szCs w:val="22"/>
                <w:lang w:val="en-GB"/>
              </w:rPr>
            </w:pPr>
            <w:r>
              <w:rPr>
                <w:b/>
                <w:bCs/>
                <w:sz w:val="22"/>
                <w:szCs w:val="22"/>
                <w:lang w:val="en-GB"/>
              </w:rPr>
              <w:t>1</w:t>
            </w:r>
            <w:r w:rsidRPr="0036413B">
              <w:rPr>
                <w:b/>
                <w:bCs/>
                <w:sz w:val="22"/>
                <w:szCs w:val="22"/>
                <w:lang w:val="en-GB"/>
              </w:rPr>
              <w:t>.</w:t>
            </w:r>
            <w:r>
              <w:rPr>
                <w:b/>
                <w:bCs/>
                <w:sz w:val="22"/>
                <w:szCs w:val="22"/>
                <w:lang w:val="en-GB"/>
              </w:rPr>
              <w:t>6.</w:t>
            </w:r>
            <w:r w:rsidRPr="0036413B">
              <w:rPr>
                <w:b/>
                <w:bCs/>
                <w:sz w:val="22"/>
                <w:szCs w:val="22"/>
                <w:lang w:val="en-GB"/>
              </w:rPr>
              <w:t xml:space="preserve"> </w:t>
            </w:r>
            <w:r w:rsidRPr="00FC65F0">
              <w:rPr>
                <w:b/>
                <w:bCs/>
                <w:sz w:val="22"/>
                <w:szCs w:val="22"/>
                <w:lang w:val="en-GB"/>
              </w:rPr>
              <w:t>Guidance on Favourable Reference Values</w:t>
            </w:r>
          </w:p>
          <w:p w14:paraId="23BDE1D3" w14:textId="544EDB4A" w:rsidR="00FC65F0" w:rsidRDefault="00FC65F0" w:rsidP="00FC65F0">
            <w:pPr>
              <w:spacing w:line="276" w:lineRule="auto"/>
              <w:rPr>
                <w:b/>
                <w:bCs/>
                <w:sz w:val="22"/>
                <w:szCs w:val="22"/>
                <w:lang w:val="en-GB"/>
              </w:rPr>
            </w:pPr>
            <w:r w:rsidRPr="00FC65F0">
              <w:rPr>
                <w:sz w:val="22"/>
                <w:szCs w:val="22"/>
                <w:lang w:val="en-GB"/>
              </w:rPr>
              <w:t xml:space="preserve">Develop more detailed guidance on the interpretation and establishment of Favourable Reference Values </w:t>
            </w:r>
            <w:r>
              <w:rPr>
                <w:sz w:val="22"/>
                <w:szCs w:val="22"/>
                <w:lang w:val="en-GB"/>
              </w:rPr>
              <w:t xml:space="preserve">(FRVs) </w:t>
            </w:r>
            <w:r w:rsidRPr="00FC65F0">
              <w:rPr>
                <w:sz w:val="22"/>
                <w:szCs w:val="22"/>
                <w:lang w:val="en-GB"/>
              </w:rPr>
              <w:t>building</w:t>
            </w:r>
            <w:r>
              <w:rPr>
                <w:sz w:val="22"/>
                <w:szCs w:val="22"/>
                <w:lang w:val="en-GB"/>
              </w:rPr>
              <w:t xml:space="preserve"> </w:t>
            </w:r>
            <w:r w:rsidRPr="00FC65F0">
              <w:rPr>
                <w:sz w:val="22"/>
                <w:szCs w:val="22"/>
                <w:lang w:val="en-GB"/>
              </w:rPr>
              <w:t>on existing definitions and ongoing work under other relevant international frameworks</w:t>
            </w:r>
            <w:r>
              <w:rPr>
                <w:sz w:val="22"/>
                <w:szCs w:val="22"/>
                <w:lang w:val="en-GB"/>
              </w:rPr>
              <w:t>.</w:t>
            </w:r>
            <w:r w:rsidRPr="00FC65F0">
              <w:rPr>
                <w:sz w:val="22"/>
                <w:szCs w:val="22"/>
                <w:lang w:val="en-GB"/>
              </w:rPr>
              <w:t xml:space="preserve"> (</w:t>
            </w:r>
            <w:r w:rsidRPr="00FC65F0">
              <w:rPr>
                <w:i/>
                <w:iCs/>
                <w:sz w:val="22"/>
                <w:szCs w:val="22"/>
                <w:lang w:val="en-GB"/>
              </w:rPr>
              <w:t>Resolution 8.4</w:t>
            </w:r>
            <w:r w:rsidRPr="00FC65F0">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468D2455" w14:textId="7B112A88" w:rsidR="00FC65F0" w:rsidRPr="00FC65F0" w:rsidRDefault="00FC65F0" w:rsidP="00FC65F0">
            <w:pPr>
              <w:spacing w:line="276" w:lineRule="auto"/>
              <w:rPr>
                <w:b/>
                <w:bCs/>
                <w:sz w:val="22"/>
                <w:szCs w:val="22"/>
                <w:shd w:val="clear" w:color="auto" w:fill="FF9999"/>
              </w:rPr>
            </w:pPr>
            <w:r w:rsidRPr="00FC65F0">
              <w:rPr>
                <w:b/>
                <w:bCs/>
                <w:sz w:val="22"/>
                <w:szCs w:val="22"/>
                <w:lang w:val="en-GB"/>
              </w:rPr>
              <w:t>High</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2FB7B210" w14:textId="0FD18673" w:rsidR="00FC65F0" w:rsidRPr="00FC65F0" w:rsidRDefault="00FC65F0" w:rsidP="00FC65F0">
            <w:pPr>
              <w:spacing w:line="276" w:lineRule="auto"/>
              <w:rPr>
                <w:b/>
                <w:bCs/>
                <w:sz w:val="22"/>
                <w:szCs w:val="22"/>
                <w:shd w:val="clear" w:color="auto" w:fill="92D050"/>
                <w:lang w:val="en-GB"/>
              </w:rPr>
            </w:pPr>
            <w:r w:rsidRPr="00FC65F0">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3536D9D8" w14:textId="29DA5055" w:rsidR="00FC65F0" w:rsidRPr="003A5D82" w:rsidRDefault="000B1515" w:rsidP="00FC65F0">
            <w:pPr>
              <w:spacing w:line="276" w:lineRule="auto"/>
              <w:rPr>
                <w:sz w:val="22"/>
                <w:szCs w:val="22"/>
                <w:lang w:val="en-GB"/>
              </w:rPr>
            </w:pPr>
            <w:r w:rsidRPr="000B1515">
              <w:rPr>
                <w:sz w:val="22"/>
                <w:szCs w:val="22"/>
                <w:lang w:val="en-GB"/>
              </w:rPr>
              <w:t>Although interaction was established with the European Commission on this topic and a process was initiated to simultaneously develop guidance for the EU and for AEWA on FRVs, it was ultimately determined that a more appropriate approach would be for the compilation of EU guidance to be concluded, with input from the AEWA Technical Committee, before proceeding with the development of AEWA-specific guidance..  This task will be carried over for implementation in the next triennium, funding permitting, and subject to the finalisation of the EU guidance.</w:t>
            </w:r>
          </w:p>
        </w:tc>
        <w:tc>
          <w:tcPr>
            <w:tcW w:w="823" w:type="pct"/>
            <w:tcBorders>
              <w:top w:val="single" w:sz="4" w:space="0" w:color="000000"/>
              <w:left w:val="single" w:sz="4" w:space="0" w:color="000000"/>
              <w:bottom w:val="single" w:sz="4" w:space="0" w:color="000000"/>
              <w:right w:val="single" w:sz="4" w:space="0" w:color="000000"/>
            </w:tcBorders>
          </w:tcPr>
          <w:p w14:paraId="144FF8A1" w14:textId="23629858" w:rsidR="00FC65F0" w:rsidRDefault="00B87FC3" w:rsidP="00FC65F0">
            <w:pPr>
              <w:spacing w:line="276" w:lineRule="auto"/>
              <w:rPr>
                <w:sz w:val="22"/>
                <w:szCs w:val="22"/>
                <w:lang w:val="en-GB"/>
              </w:rPr>
            </w:pPr>
            <w:r>
              <w:rPr>
                <w:sz w:val="22"/>
                <w:szCs w:val="22"/>
                <w:lang w:val="en-GB"/>
              </w:rPr>
              <w:t>--</w:t>
            </w:r>
          </w:p>
        </w:tc>
      </w:tr>
      <w:tr w:rsidR="002E1AAF" w:rsidRPr="00860CD7" w14:paraId="1BFC6905" w14:textId="77777777" w:rsidTr="002E1A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31AF0BE5" w14:textId="77777777" w:rsidR="002E1AAF" w:rsidRDefault="002E1AAF" w:rsidP="00FC65F0">
            <w:pPr>
              <w:spacing w:line="276" w:lineRule="auto"/>
              <w:rPr>
                <w:b/>
                <w:bCs/>
                <w:sz w:val="22"/>
                <w:szCs w:val="22"/>
                <w:lang w:val="en-GB"/>
              </w:rPr>
            </w:pPr>
            <w:r w:rsidRPr="002E1AAF">
              <w:rPr>
                <w:b/>
                <w:bCs/>
                <w:sz w:val="22"/>
                <w:szCs w:val="22"/>
                <w:lang w:val="en-GB"/>
              </w:rPr>
              <w:t>1.7.</w:t>
            </w:r>
            <w:r>
              <w:rPr>
                <w:b/>
                <w:bCs/>
                <w:sz w:val="22"/>
                <w:szCs w:val="22"/>
                <w:lang w:val="en-GB"/>
              </w:rPr>
              <w:t xml:space="preserve"> </w:t>
            </w:r>
            <w:r w:rsidRPr="002E1AAF">
              <w:rPr>
                <w:b/>
                <w:bCs/>
                <w:sz w:val="22"/>
                <w:szCs w:val="22"/>
                <w:lang w:val="en-GB"/>
              </w:rPr>
              <w:t>Shortening of population names in Table 1 of AEWA’s Annex 3</w:t>
            </w:r>
          </w:p>
          <w:p w14:paraId="1414A41A" w14:textId="492BDE11" w:rsidR="002E1AAF" w:rsidRPr="002E1AAF" w:rsidRDefault="002E1AAF" w:rsidP="00FC65F0">
            <w:pPr>
              <w:spacing w:line="276" w:lineRule="auto"/>
              <w:rPr>
                <w:b/>
                <w:bCs/>
                <w:sz w:val="22"/>
                <w:szCs w:val="22"/>
                <w:lang w:val="en-GB"/>
              </w:rPr>
            </w:pPr>
            <w:r w:rsidRPr="002E1AAF">
              <w:rPr>
                <w:sz w:val="22"/>
                <w:szCs w:val="22"/>
              </w:rPr>
              <w:t>(</w:t>
            </w:r>
            <w:r w:rsidRPr="002E1AAF">
              <w:rPr>
                <w:i/>
                <w:iCs/>
                <w:sz w:val="22"/>
                <w:szCs w:val="22"/>
              </w:rPr>
              <w:t>task added by the TC at its 18</w:t>
            </w:r>
            <w:r w:rsidRPr="002E1AAF">
              <w:rPr>
                <w:i/>
                <w:iCs/>
                <w:sz w:val="22"/>
                <w:szCs w:val="22"/>
                <w:vertAlign w:val="superscript"/>
              </w:rPr>
              <w:t>th</w:t>
            </w:r>
            <w:r w:rsidRPr="002E1AAF">
              <w:rPr>
                <w:i/>
                <w:iCs/>
                <w:sz w:val="22"/>
                <w:szCs w:val="22"/>
              </w:rPr>
              <w:t xml:space="preserve"> meeting in March 2023</w:t>
            </w:r>
            <w:r w:rsidRPr="002E1AAF">
              <w:rPr>
                <w:sz w:val="22"/>
                <w:szCs w:val="22"/>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FF66"/>
          </w:tcPr>
          <w:p w14:paraId="76E827F9" w14:textId="159827FC" w:rsidR="002E1AAF" w:rsidRPr="00FC65F0" w:rsidRDefault="002E1AAF" w:rsidP="00FC65F0">
            <w:pPr>
              <w:spacing w:line="276" w:lineRule="auto"/>
              <w:rPr>
                <w:b/>
                <w:bCs/>
                <w:sz w:val="22"/>
                <w:szCs w:val="22"/>
                <w:lang w:val="en-GB"/>
              </w:rPr>
            </w:pPr>
            <w:r>
              <w:rPr>
                <w:b/>
                <w:bCs/>
                <w:sz w:val="22"/>
                <w:szCs w:val="22"/>
                <w:lang w:val="en-GB"/>
              </w:rPr>
              <w:t>Medium</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435273F1" w14:textId="736F6DC4" w:rsidR="002E1AAF" w:rsidRPr="00FC65F0" w:rsidRDefault="002E1AAF" w:rsidP="00FC65F0">
            <w:pPr>
              <w:spacing w:line="276" w:lineRule="auto"/>
              <w:rPr>
                <w:b/>
                <w:bCs/>
                <w:sz w:val="22"/>
                <w:szCs w:val="22"/>
                <w:lang w:val="en-GB"/>
              </w:rPr>
            </w:pPr>
            <w:r>
              <w:rPr>
                <w:b/>
                <w:bCs/>
                <w:sz w:val="22"/>
                <w:szCs w:val="22"/>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4D36C163" w14:textId="474B39C3" w:rsidR="002E1AAF" w:rsidRDefault="00474BF7" w:rsidP="00FC65F0">
            <w:pPr>
              <w:spacing w:line="276" w:lineRule="auto"/>
              <w:rPr>
                <w:sz w:val="22"/>
                <w:szCs w:val="22"/>
                <w:lang w:val="en-GB"/>
              </w:rPr>
            </w:pPr>
            <w:r w:rsidRPr="00474BF7">
              <w:rPr>
                <w:sz w:val="22"/>
                <w:szCs w:val="22"/>
                <w:lang w:val="en-GB"/>
              </w:rPr>
              <w:t>At its 18</w:t>
            </w:r>
            <w:r w:rsidRPr="00474BF7">
              <w:rPr>
                <w:sz w:val="22"/>
                <w:szCs w:val="22"/>
                <w:vertAlign w:val="superscript"/>
                <w:lang w:val="en-GB"/>
              </w:rPr>
              <w:t>th</w:t>
            </w:r>
            <w:r>
              <w:rPr>
                <w:sz w:val="22"/>
                <w:szCs w:val="22"/>
                <w:lang w:val="en-GB"/>
              </w:rPr>
              <w:t xml:space="preserve"> </w:t>
            </w:r>
            <w:r w:rsidRPr="00474BF7">
              <w:rPr>
                <w:sz w:val="22"/>
                <w:szCs w:val="22"/>
                <w:lang w:val="en-GB"/>
              </w:rPr>
              <w:t xml:space="preserve">meeting </w:t>
            </w:r>
            <w:r>
              <w:rPr>
                <w:sz w:val="22"/>
                <w:szCs w:val="22"/>
                <w:lang w:val="en-GB"/>
              </w:rPr>
              <w:t xml:space="preserve">in 2023 </w:t>
            </w:r>
            <w:r w:rsidRPr="00474BF7">
              <w:rPr>
                <w:sz w:val="22"/>
                <w:szCs w:val="22"/>
                <w:lang w:val="en-GB"/>
              </w:rPr>
              <w:t>the T</w:t>
            </w:r>
            <w:r>
              <w:rPr>
                <w:sz w:val="22"/>
                <w:szCs w:val="22"/>
                <w:lang w:val="en-GB"/>
              </w:rPr>
              <w:t xml:space="preserve">echnical </w:t>
            </w:r>
            <w:r w:rsidRPr="00474BF7">
              <w:rPr>
                <w:sz w:val="22"/>
                <w:szCs w:val="22"/>
                <w:lang w:val="en-GB"/>
              </w:rPr>
              <w:t>C</w:t>
            </w:r>
            <w:r>
              <w:rPr>
                <w:sz w:val="22"/>
                <w:szCs w:val="22"/>
                <w:lang w:val="en-GB"/>
              </w:rPr>
              <w:t xml:space="preserve">ommittee </w:t>
            </w:r>
            <w:r w:rsidRPr="00474BF7">
              <w:rPr>
                <w:sz w:val="22"/>
                <w:szCs w:val="22"/>
                <w:lang w:val="en-GB"/>
              </w:rPr>
              <w:t>agreed with exploring options for shortening population names following the principles described in doc</w:t>
            </w:r>
            <w:r>
              <w:rPr>
                <w:sz w:val="22"/>
                <w:szCs w:val="22"/>
                <w:lang w:val="en-GB"/>
              </w:rPr>
              <w:t xml:space="preserve">ument </w:t>
            </w:r>
            <w:r w:rsidRPr="00474BF7">
              <w:rPr>
                <w:sz w:val="22"/>
                <w:szCs w:val="22"/>
                <w:lang w:val="en-GB"/>
              </w:rPr>
              <w:t xml:space="preserve">AEWA/TC 18.7. Proposed list of shortened names of all populations </w:t>
            </w:r>
            <w:r>
              <w:rPr>
                <w:sz w:val="22"/>
                <w:szCs w:val="22"/>
                <w:lang w:val="en-GB"/>
              </w:rPr>
              <w:t>was agreed at TC19 in 2024 a</w:t>
            </w:r>
            <w:r w:rsidRPr="00474BF7">
              <w:rPr>
                <w:sz w:val="22"/>
                <w:szCs w:val="22"/>
                <w:lang w:val="en-GB"/>
              </w:rPr>
              <w:t xml:space="preserve">s </w:t>
            </w:r>
            <w:r w:rsidRPr="00474BF7">
              <w:rPr>
                <w:sz w:val="22"/>
                <w:szCs w:val="22"/>
                <w:lang w:val="en-GB"/>
              </w:rPr>
              <w:lastRenderedPageBreak/>
              <w:t>contained in doc</w:t>
            </w:r>
            <w:r>
              <w:rPr>
                <w:sz w:val="22"/>
                <w:szCs w:val="22"/>
                <w:lang w:val="en-GB"/>
              </w:rPr>
              <w:t>ument</w:t>
            </w:r>
            <w:r w:rsidRPr="00474BF7">
              <w:rPr>
                <w:sz w:val="22"/>
                <w:szCs w:val="22"/>
                <w:lang w:val="en-GB"/>
              </w:rPr>
              <w:t xml:space="preserve"> AEWA/TC 19.9.</w:t>
            </w:r>
            <w:r>
              <w:rPr>
                <w:sz w:val="22"/>
                <w:szCs w:val="22"/>
                <w:lang w:val="en-GB"/>
              </w:rPr>
              <w:t xml:space="preserve"> They were subsequently integrated into the </w:t>
            </w:r>
            <w:r w:rsidRPr="00474BF7">
              <w:rPr>
                <w:sz w:val="22"/>
                <w:szCs w:val="22"/>
                <w:lang w:val="en-GB"/>
              </w:rPr>
              <w:t>proposal for amendments to Table 1 of AEWA Annex 3 which was submitted to MOP9 by the United Kingdom</w:t>
            </w:r>
            <w:r>
              <w:rPr>
                <w:sz w:val="22"/>
                <w:szCs w:val="22"/>
                <w:lang w:val="en-GB"/>
              </w:rPr>
              <w:t>.</w:t>
            </w:r>
          </w:p>
        </w:tc>
        <w:tc>
          <w:tcPr>
            <w:tcW w:w="823" w:type="pct"/>
            <w:tcBorders>
              <w:top w:val="single" w:sz="4" w:space="0" w:color="000000"/>
              <w:left w:val="single" w:sz="4" w:space="0" w:color="000000"/>
              <w:bottom w:val="single" w:sz="4" w:space="0" w:color="000000"/>
              <w:right w:val="single" w:sz="4" w:space="0" w:color="000000"/>
            </w:tcBorders>
          </w:tcPr>
          <w:p w14:paraId="48A5CED4" w14:textId="547551B9" w:rsidR="002E1AAF" w:rsidRDefault="00474BF7" w:rsidP="00FC65F0">
            <w:pPr>
              <w:spacing w:line="276" w:lineRule="auto"/>
              <w:rPr>
                <w:sz w:val="22"/>
                <w:szCs w:val="22"/>
                <w:lang w:val="en-GB"/>
              </w:rPr>
            </w:pPr>
            <w:r w:rsidRPr="00474BF7">
              <w:rPr>
                <w:sz w:val="22"/>
                <w:szCs w:val="22"/>
                <w:lang w:val="en-GB"/>
              </w:rPr>
              <w:lastRenderedPageBreak/>
              <w:t>Doc. AEWA/MOP 9.16</w:t>
            </w:r>
          </w:p>
        </w:tc>
      </w:tr>
      <w:tr w:rsidR="00FC65F0" w:rsidRPr="00860CD7" w14:paraId="668F0E84"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auto"/>
              <w:left w:val="nil"/>
              <w:bottom w:val="nil"/>
              <w:right w:val="nil"/>
            </w:tcBorders>
          </w:tcPr>
          <w:p w14:paraId="154A10AB" w14:textId="12DDC0B4" w:rsidR="00FC65F0" w:rsidRPr="00860CD7" w:rsidRDefault="00FC65F0" w:rsidP="00FC65F0">
            <w:pPr>
              <w:spacing w:line="276" w:lineRule="auto"/>
              <w:jc w:val="center"/>
              <w:rPr>
                <w:b/>
                <w:bCs/>
                <w:sz w:val="22"/>
                <w:szCs w:val="22"/>
                <w:lang w:val="en-GB"/>
              </w:rPr>
            </w:pPr>
          </w:p>
        </w:tc>
        <w:tc>
          <w:tcPr>
            <w:tcW w:w="2672" w:type="pct"/>
            <w:gridSpan w:val="3"/>
            <w:tcBorders>
              <w:top w:val="single" w:sz="4" w:space="0" w:color="auto"/>
              <w:left w:val="nil"/>
              <w:bottom w:val="nil"/>
              <w:right w:val="nil"/>
            </w:tcBorders>
          </w:tcPr>
          <w:p w14:paraId="556E3DF8" w14:textId="77777777" w:rsidR="00FC65F0" w:rsidRPr="00860CD7" w:rsidRDefault="00FC65F0" w:rsidP="00FC65F0">
            <w:pPr>
              <w:spacing w:line="276" w:lineRule="auto"/>
              <w:rPr>
                <w:b/>
                <w:sz w:val="22"/>
                <w:szCs w:val="22"/>
                <w:lang w:val="en-GB"/>
              </w:rPr>
            </w:pPr>
          </w:p>
        </w:tc>
        <w:tc>
          <w:tcPr>
            <w:tcW w:w="823" w:type="pct"/>
            <w:tcBorders>
              <w:top w:val="single" w:sz="4" w:space="0" w:color="auto"/>
              <w:left w:val="nil"/>
              <w:bottom w:val="nil"/>
              <w:right w:val="nil"/>
            </w:tcBorders>
          </w:tcPr>
          <w:p w14:paraId="014C48BC" w14:textId="77777777" w:rsidR="00FC65F0" w:rsidRPr="00860CD7" w:rsidRDefault="00FC65F0" w:rsidP="00FC65F0">
            <w:pPr>
              <w:spacing w:line="276" w:lineRule="auto"/>
              <w:rPr>
                <w:sz w:val="22"/>
                <w:szCs w:val="22"/>
                <w:lang w:val="en-GB"/>
              </w:rPr>
            </w:pPr>
          </w:p>
        </w:tc>
      </w:tr>
      <w:tr w:rsidR="00FC65F0" w:rsidRPr="00860CD7" w14:paraId="645A1AF5" w14:textId="77777777" w:rsidTr="008E1311">
        <w:trPr>
          <w:trHeight w:val="567"/>
        </w:trPr>
        <w:tc>
          <w:tcPr>
            <w:tcW w:w="5000" w:type="pct"/>
            <w:gridSpan w:val="5"/>
            <w:shd w:val="clear" w:color="auto" w:fill="FFF2CC" w:themeFill="accent4" w:themeFillTint="33"/>
            <w:vAlign w:val="center"/>
            <w:hideMark/>
          </w:tcPr>
          <w:p w14:paraId="192CBCF7" w14:textId="77777777" w:rsidR="00FC65F0" w:rsidRPr="00860CD7" w:rsidRDefault="00FC65F0" w:rsidP="00FC65F0">
            <w:pPr>
              <w:keepNext/>
              <w:spacing w:line="276" w:lineRule="auto"/>
              <w:rPr>
                <w:b/>
                <w:sz w:val="22"/>
                <w:szCs w:val="22"/>
                <w:lang w:val="en-GB"/>
              </w:rPr>
            </w:pPr>
            <w:r w:rsidRPr="00860CD7">
              <w:rPr>
                <w:sz w:val="22"/>
                <w:szCs w:val="22"/>
                <w:lang w:val="en-GB"/>
              </w:rPr>
              <w:br w:type="page"/>
            </w:r>
            <w:r w:rsidRPr="00860CD7">
              <w:rPr>
                <w:sz w:val="22"/>
                <w:szCs w:val="22"/>
                <w:lang w:val="en-GB"/>
              </w:rPr>
              <w:br w:type="page"/>
            </w:r>
            <w:r w:rsidRPr="00860CD7">
              <w:rPr>
                <w:sz w:val="22"/>
                <w:szCs w:val="22"/>
                <w:lang w:val="en-GB"/>
              </w:rPr>
              <w:br w:type="page"/>
            </w:r>
            <w:r w:rsidRPr="00860CD7">
              <w:rPr>
                <w:b/>
                <w:sz w:val="22"/>
                <w:szCs w:val="22"/>
                <w:lang w:val="en-GB"/>
              </w:rPr>
              <w:t xml:space="preserve"> </w:t>
            </w:r>
            <w:r w:rsidRPr="000A7EC8">
              <w:rPr>
                <w:b/>
                <w:color w:val="2F5496" w:themeColor="accent1" w:themeShade="BF"/>
                <w:lang w:val="en-GB"/>
              </w:rPr>
              <w:t>Species Conservation (Working Group 2)</w:t>
            </w:r>
          </w:p>
        </w:tc>
      </w:tr>
      <w:tr w:rsidR="00FC65F0" w:rsidRPr="00860CD7" w14:paraId="710BF9DD"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tblHeader/>
        </w:trPr>
        <w:tc>
          <w:tcPr>
            <w:tcW w:w="1505" w:type="pct"/>
            <w:tcBorders>
              <w:top w:val="single" w:sz="4" w:space="0" w:color="000000"/>
              <w:left w:val="single" w:sz="4" w:space="0" w:color="000000"/>
              <w:bottom w:val="single" w:sz="4" w:space="0" w:color="000000"/>
              <w:right w:val="single" w:sz="4" w:space="0" w:color="000000"/>
            </w:tcBorders>
            <w:shd w:val="clear" w:color="auto" w:fill="F2F2F2"/>
            <w:hideMark/>
          </w:tcPr>
          <w:p w14:paraId="6FC910ED" w14:textId="77777777" w:rsidR="00FC65F0" w:rsidRPr="00860CD7" w:rsidRDefault="00FC65F0" w:rsidP="00FC65F0">
            <w:pPr>
              <w:keepNext/>
              <w:spacing w:line="276" w:lineRule="auto"/>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hideMark/>
          </w:tcPr>
          <w:p w14:paraId="0F9B51D5" w14:textId="77777777" w:rsidR="00FC65F0" w:rsidRPr="00126467" w:rsidRDefault="00FC65F0" w:rsidP="00FC65F0">
            <w:pPr>
              <w:keepNext/>
              <w:spacing w:line="276" w:lineRule="auto"/>
              <w:rPr>
                <w:b/>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cPr>
          <w:p w14:paraId="549F0410" w14:textId="77777777" w:rsidR="00FC65F0" w:rsidRPr="00126467" w:rsidRDefault="00FC65F0" w:rsidP="00FC65F0">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cPr>
          <w:p w14:paraId="736BAFAD" w14:textId="77777777" w:rsidR="00FC65F0" w:rsidRPr="00126467" w:rsidRDefault="00FC65F0" w:rsidP="00FC65F0">
            <w:pPr>
              <w:keepNext/>
              <w:spacing w:line="276" w:lineRule="auto"/>
              <w:rPr>
                <w:b/>
                <w:sz w:val="22"/>
                <w:szCs w:val="22"/>
                <w:lang w:val="en-GB"/>
              </w:rPr>
            </w:pPr>
            <w:r w:rsidRPr="002C2F9E">
              <w:rPr>
                <w:b/>
                <w:sz w:val="22"/>
                <w:szCs w:val="22"/>
                <w:lang w:val="en-GB"/>
              </w:rPr>
              <w:t>Actions undertaken by the TC</w:t>
            </w:r>
          </w:p>
        </w:tc>
        <w:tc>
          <w:tcPr>
            <w:tcW w:w="823" w:type="pct"/>
            <w:tcBorders>
              <w:top w:val="single" w:sz="4" w:space="0" w:color="000000"/>
              <w:left w:val="single" w:sz="4" w:space="0" w:color="000000"/>
              <w:bottom w:val="single" w:sz="4" w:space="0" w:color="000000"/>
              <w:right w:val="single" w:sz="4" w:space="0" w:color="000000"/>
            </w:tcBorders>
            <w:shd w:val="clear" w:color="auto" w:fill="F2F2F2"/>
            <w:hideMark/>
          </w:tcPr>
          <w:p w14:paraId="053F8633" w14:textId="09B9B0F1" w:rsidR="00FC65F0" w:rsidRPr="00126467" w:rsidRDefault="00FC65F0" w:rsidP="00FC65F0">
            <w:pPr>
              <w:keepNext/>
              <w:spacing w:line="276" w:lineRule="auto"/>
              <w:rPr>
                <w:b/>
                <w:sz w:val="22"/>
                <w:szCs w:val="22"/>
                <w:lang w:val="en-GB"/>
              </w:rPr>
            </w:pPr>
            <w:r w:rsidRPr="00126467">
              <w:rPr>
                <w:b/>
                <w:sz w:val="22"/>
                <w:szCs w:val="22"/>
                <w:lang w:val="en-GB"/>
              </w:rPr>
              <w:t>Relevant MOP</w:t>
            </w:r>
            <w:r>
              <w:rPr>
                <w:b/>
                <w:sz w:val="22"/>
                <w:szCs w:val="22"/>
                <w:lang w:val="en-GB"/>
              </w:rPr>
              <w:t>9</w:t>
            </w:r>
            <w:r w:rsidRPr="00126467">
              <w:rPr>
                <w:b/>
                <w:sz w:val="22"/>
                <w:szCs w:val="22"/>
                <w:lang w:val="en-GB"/>
              </w:rPr>
              <w:t xml:space="preserve"> documents </w:t>
            </w:r>
          </w:p>
        </w:tc>
      </w:tr>
      <w:tr w:rsidR="00FC65F0" w:rsidRPr="00860CD7" w14:paraId="3EA13AB6" w14:textId="77777777" w:rsidTr="006E0C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737D7AFC" w14:textId="77777777" w:rsidR="00FC65F0" w:rsidRPr="00F94BB5" w:rsidRDefault="00FC65F0" w:rsidP="00FC65F0">
            <w:pPr>
              <w:spacing w:line="276" w:lineRule="auto"/>
              <w:rPr>
                <w:b/>
                <w:bCs/>
                <w:sz w:val="22"/>
                <w:szCs w:val="22"/>
                <w:lang w:val="en-GB"/>
              </w:rPr>
            </w:pPr>
            <w:r w:rsidRPr="00F94BB5">
              <w:rPr>
                <w:b/>
                <w:bCs/>
                <w:sz w:val="22"/>
                <w:szCs w:val="22"/>
                <w:lang w:val="en-GB"/>
              </w:rPr>
              <w:t>2.1. Priority list for species action and management planning</w:t>
            </w:r>
          </w:p>
          <w:p w14:paraId="2FE3FE5F" w14:textId="508DA963" w:rsidR="00FC65F0" w:rsidRPr="00F94BB5" w:rsidRDefault="008164ED" w:rsidP="00FC65F0">
            <w:pPr>
              <w:spacing w:line="276" w:lineRule="auto"/>
              <w:rPr>
                <w:sz w:val="22"/>
                <w:szCs w:val="22"/>
                <w:lang w:val="en-GB"/>
              </w:rPr>
            </w:pPr>
            <w:r w:rsidRPr="008164ED">
              <w:rPr>
                <w:sz w:val="22"/>
                <w:szCs w:val="22"/>
                <w:lang w:val="en-GB"/>
              </w:rPr>
              <w:t>Review and update at its first meeting after each MOP, as necessary, the list of International Species Action and Management Plans required for priority species/populations, involving adaptive harvest management processes where relevant, taking into account the possible need to develop new plans and retire, revise or extend existing plans</w:t>
            </w:r>
            <w:r w:rsidR="00FC65F0">
              <w:rPr>
                <w:sz w:val="22"/>
                <w:szCs w:val="22"/>
                <w:lang w:val="en-GB"/>
              </w:rPr>
              <w:t xml:space="preserve">. </w:t>
            </w:r>
            <w:r w:rsidR="00FC65F0" w:rsidRPr="006126CE">
              <w:rPr>
                <w:sz w:val="22"/>
                <w:szCs w:val="22"/>
                <w:lang w:val="en-GB"/>
              </w:rPr>
              <w:t>(</w:t>
            </w:r>
            <w:r w:rsidR="00FC65F0" w:rsidRPr="006126CE">
              <w:rPr>
                <w:i/>
                <w:iCs/>
                <w:sz w:val="22"/>
                <w:szCs w:val="22"/>
                <w:lang w:val="en-GB"/>
              </w:rPr>
              <w:t>Resolutions 6.8 and 7.5; Strategic Plan 2019-2027</w:t>
            </w:r>
            <w:r w:rsidR="00FC65F0" w:rsidRPr="006126CE">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58A260D8" w14:textId="77777777" w:rsidR="00FC65F0" w:rsidRDefault="00FC65F0" w:rsidP="00FC65F0">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686A329B" w14:textId="4D534461" w:rsidR="00FC65F0" w:rsidRPr="00BC2852" w:rsidRDefault="00684268" w:rsidP="00FC65F0">
            <w:pPr>
              <w:spacing w:line="276" w:lineRule="auto"/>
              <w:rPr>
                <w:b/>
                <w:bCs/>
                <w:sz w:val="22"/>
                <w:szCs w:val="22"/>
                <w:lang w:val="en-GB"/>
              </w:rPr>
            </w:pPr>
            <w:r>
              <w:rPr>
                <w:b/>
                <w:bCs/>
                <w:sz w:val="22"/>
                <w:szCs w:val="22"/>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4D2452FA" w14:textId="7FD171DA" w:rsidR="00FC65F0" w:rsidRPr="00A25C80" w:rsidRDefault="00672879" w:rsidP="00FC65F0">
            <w:pPr>
              <w:spacing w:line="276" w:lineRule="auto"/>
              <w:rPr>
                <w:sz w:val="22"/>
                <w:szCs w:val="22"/>
                <w:lang w:val="en-GB"/>
              </w:rPr>
            </w:pPr>
            <w:r>
              <w:rPr>
                <w:sz w:val="22"/>
                <w:szCs w:val="22"/>
                <w:lang w:val="en-GB"/>
              </w:rPr>
              <w:t xml:space="preserve">At its first meeting of </w:t>
            </w:r>
            <w:r w:rsidR="00FC65F0" w:rsidRPr="00A25C80">
              <w:rPr>
                <w:sz w:val="22"/>
                <w:szCs w:val="22"/>
                <w:lang w:val="en-GB"/>
              </w:rPr>
              <w:t xml:space="preserve">the triennium </w:t>
            </w:r>
            <w:r>
              <w:rPr>
                <w:sz w:val="22"/>
                <w:szCs w:val="22"/>
                <w:lang w:val="en-GB"/>
              </w:rPr>
              <w:t>(</w:t>
            </w:r>
            <w:r w:rsidR="00FC65F0" w:rsidRPr="00A25C80">
              <w:rPr>
                <w:sz w:val="22"/>
                <w:szCs w:val="22"/>
                <w:lang w:val="en-GB"/>
              </w:rPr>
              <w:t>1</w:t>
            </w:r>
            <w:r>
              <w:rPr>
                <w:sz w:val="22"/>
                <w:szCs w:val="22"/>
                <w:lang w:val="en-GB"/>
              </w:rPr>
              <w:t>8</w:t>
            </w:r>
            <w:r w:rsidR="00FC65F0" w:rsidRPr="00A25C80">
              <w:rPr>
                <w:sz w:val="22"/>
                <w:szCs w:val="22"/>
                <w:vertAlign w:val="superscript"/>
                <w:lang w:val="en-GB"/>
              </w:rPr>
              <w:t>th</w:t>
            </w:r>
            <w:r w:rsidR="00FC65F0" w:rsidRPr="00A25C80">
              <w:rPr>
                <w:sz w:val="22"/>
                <w:szCs w:val="22"/>
                <w:lang w:val="en-GB"/>
              </w:rPr>
              <w:t xml:space="preserve"> meeting </w:t>
            </w:r>
            <w:r>
              <w:rPr>
                <w:sz w:val="22"/>
                <w:szCs w:val="22"/>
                <w:lang w:val="en-GB"/>
              </w:rPr>
              <w:t xml:space="preserve">of the Technical Committee in March </w:t>
            </w:r>
            <w:r w:rsidR="00FC65F0" w:rsidRPr="00A25C80">
              <w:rPr>
                <w:sz w:val="22"/>
                <w:szCs w:val="22"/>
                <w:lang w:val="en-GB"/>
              </w:rPr>
              <w:t>20</w:t>
            </w:r>
            <w:r>
              <w:rPr>
                <w:sz w:val="22"/>
                <w:szCs w:val="22"/>
                <w:lang w:val="en-GB"/>
              </w:rPr>
              <w:t xml:space="preserve">23) the Committee </w:t>
            </w:r>
            <w:r w:rsidR="00FC65F0" w:rsidRPr="00A25C80">
              <w:rPr>
                <w:sz w:val="22"/>
                <w:szCs w:val="22"/>
                <w:lang w:val="en-GB"/>
              </w:rPr>
              <w:t>reviewed a</w:t>
            </w:r>
            <w:r>
              <w:rPr>
                <w:sz w:val="22"/>
                <w:szCs w:val="22"/>
                <w:lang w:val="en-GB"/>
              </w:rPr>
              <w:t>nd modified the criteria for prioritisation, as agreed in the previous triennium</w:t>
            </w:r>
            <w:r w:rsidR="00FC65F0" w:rsidRPr="00A25C80">
              <w:rPr>
                <w:sz w:val="22"/>
                <w:szCs w:val="22"/>
                <w:lang w:val="en-GB"/>
              </w:rPr>
              <w:t xml:space="preserve">. </w:t>
            </w:r>
            <w:r>
              <w:rPr>
                <w:sz w:val="22"/>
                <w:szCs w:val="22"/>
                <w:lang w:val="en-GB"/>
              </w:rPr>
              <w:t>The criteria were applied and the Committee compiled a priority list of species/populations for action and management planning for the triennium 2023-2025.</w:t>
            </w:r>
          </w:p>
          <w:p w14:paraId="4AE769EE" w14:textId="2AD799F1" w:rsidR="00FC65F0" w:rsidRDefault="00FC65F0" w:rsidP="00FC65F0">
            <w:pPr>
              <w:spacing w:line="276" w:lineRule="auto"/>
              <w:rPr>
                <w:sz w:val="22"/>
                <w:szCs w:val="22"/>
                <w:lang w:val="en-GB"/>
              </w:rPr>
            </w:pPr>
          </w:p>
          <w:p w14:paraId="3F465B4A" w14:textId="4E74FAA8" w:rsidR="00684268" w:rsidRDefault="00684268" w:rsidP="00FC65F0">
            <w:pPr>
              <w:spacing w:line="276" w:lineRule="auto"/>
              <w:rPr>
                <w:sz w:val="22"/>
                <w:szCs w:val="22"/>
                <w:lang w:val="en-GB"/>
              </w:rPr>
            </w:pPr>
            <w:r>
              <w:rPr>
                <w:sz w:val="22"/>
                <w:szCs w:val="22"/>
                <w:lang w:val="en-GB"/>
              </w:rPr>
              <w:t>Under this task, the TC r</w:t>
            </w:r>
            <w:r w:rsidRPr="00684268">
              <w:rPr>
                <w:sz w:val="22"/>
                <w:szCs w:val="22"/>
                <w:lang w:val="en-GB"/>
              </w:rPr>
              <w:t>eview</w:t>
            </w:r>
            <w:r>
              <w:rPr>
                <w:sz w:val="22"/>
                <w:szCs w:val="22"/>
                <w:lang w:val="en-GB"/>
              </w:rPr>
              <w:t>ed</w:t>
            </w:r>
            <w:r w:rsidRPr="00684268">
              <w:rPr>
                <w:sz w:val="22"/>
                <w:szCs w:val="22"/>
                <w:lang w:val="en-GB"/>
              </w:rPr>
              <w:t xml:space="preserve"> and approve</w:t>
            </w:r>
            <w:r>
              <w:rPr>
                <w:sz w:val="22"/>
                <w:szCs w:val="22"/>
                <w:lang w:val="en-GB"/>
              </w:rPr>
              <w:t>d</w:t>
            </w:r>
            <w:r w:rsidRPr="00684268">
              <w:rPr>
                <w:sz w:val="22"/>
                <w:szCs w:val="22"/>
                <w:lang w:val="en-GB"/>
              </w:rPr>
              <w:t xml:space="preserve"> the template for species action and management plan implementation evaluation reports as well as the methodology for evaluating implementation</w:t>
            </w:r>
            <w:r>
              <w:rPr>
                <w:sz w:val="22"/>
                <w:szCs w:val="22"/>
                <w:lang w:val="en-GB"/>
              </w:rPr>
              <w:t>.</w:t>
            </w:r>
            <w:r w:rsidRPr="00684268">
              <w:rPr>
                <w:sz w:val="22"/>
                <w:szCs w:val="22"/>
                <w:lang w:val="en-GB"/>
              </w:rPr>
              <w:t xml:space="preserve"> </w:t>
            </w:r>
          </w:p>
          <w:p w14:paraId="0368DF15" w14:textId="77777777" w:rsidR="00684268" w:rsidRPr="00A25C80" w:rsidRDefault="00684268" w:rsidP="00FC65F0">
            <w:pPr>
              <w:spacing w:line="276" w:lineRule="auto"/>
              <w:rPr>
                <w:sz w:val="22"/>
                <w:szCs w:val="22"/>
                <w:lang w:val="en-GB"/>
              </w:rPr>
            </w:pPr>
          </w:p>
          <w:p w14:paraId="05902587" w14:textId="7DD759E9" w:rsidR="00FC65F0" w:rsidRPr="00A25C80" w:rsidRDefault="00684268" w:rsidP="00FC65F0">
            <w:pPr>
              <w:spacing w:line="276" w:lineRule="auto"/>
              <w:rPr>
                <w:sz w:val="22"/>
                <w:szCs w:val="22"/>
                <w:lang w:val="en-GB"/>
              </w:rPr>
            </w:pPr>
            <w:r>
              <w:rPr>
                <w:sz w:val="22"/>
                <w:szCs w:val="22"/>
                <w:lang w:val="en-GB"/>
              </w:rPr>
              <w:t>Further to this</w:t>
            </w:r>
            <w:r w:rsidR="00FC65F0" w:rsidRPr="00A25C80">
              <w:rPr>
                <w:sz w:val="22"/>
                <w:szCs w:val="22"/>
                <w:lang w:val="en-GB"/>
              </w:rPr>
              <w:t>, the TC also undertook a review of the existing Action and Management Plans for retirement, revision</w:t>
            </w:r>
            <w:r w:rsidR="008164ED">
              <w:rPr>
                <w:sz w:val="22"/>
                <w:szCs w:val="22"/>
                <w:lang w:val="en-GB"/>
              </w:rPr>
              <w:t>, update</w:t>
            </w:r>
            <w:r w:rsidR="00FC65F0" w:rsidRPr="00A25C80">
              <w:rPr>
                <w:sz w:val="22"/>
                <w:szCs w:val="22"/>
                <w:lang w:val="en-GB"/>
              </w:rPr>
              <w:t xml:space="preserve"> or extension</w:t>
            </w:r>
            <w:r w:rsidR="008164ED">
              <w:rPr>
                <w:sz w:val="22"/>
                <w:szCs w:val="22"/>
                <w:lang w:val="en-GB"/>
              </w:rPr>
              <w:t>, as part of the 9</w:t>
            </w:r>
            <w:r w:rsidR="008164ED" w:rsidRPr="008164ED">
              <w:rPr>
                <w:sz w:val="22"/>
                <w:szCs w:val="22"/>
                <w:vertAlign w:val="superscript"/>
                <w:lang w:val="en-GB"/>
              </w:rPr>
              <w:t>th</w:t>
            </w:r>
            <w:r w:rsidR="008164ED">
              <w:rPr>
                <w:sz w:val="22"/>
                <w:szCs w:val="22"/>
                <w:lang w:val="en-GB"/>
              </w:rPr>
              <w:t xml:space="preserve"> edition of the Conservation Status Report,</w:t>
            </w:r>
            <w:r w:rsidR="00FC65F0" w:rsidRPr="00A25C80">
              <w:rPr>
                <w:sz w:val="22"/>
                <w:szCs w:val="22"/>
                <w:lang w:val="en-GB"/>
              </w:rPr>
              <w:t xml:space="preserve"> and compiled recommendation</w:t>
            </w:r>
            <w:r w:rsidR="008164ED">
              <w:rPr>
                <w:sz w:val="22"/>
                <w:szCs w:val="22"/>
                <w:lang w:val="en-GB"/>
              </w:rPr>
              <w:t>s</w:t>
            </w:r>
            <w:r w:rsidR="00FC65F0" w:rsidRPr="00A25C80">
              <w:rPr>
                <w:sz w:val="22"/>
                <w:szCs w:val="22"/>
                <w:lang w:val="en-GB"/>
              </w:rPr>
              <w:t xml:space="preserve"> to MOP</w:t>
            </w:r>
            <w:r w:rsidR="008164ED">
              <w:rPr>
                <w:sz w:val="22"/>
                <w:szCs w:val="22"/>
                <w:lang w:val="en-GB"/>
              </w:rPr>
              <w:t>9</w:t>
            </w:r>
            <w:r w:rsidR="00FC65F0" w:rsidRPr="00A25C80">
              <w:rPr>
                <w:sz w:val="22"/>
                <w:szCs w:val="22"/>
                <w:lang w:val="en-GB"/>
              </w:rPr>
              <w:t xml:space="preserve">. </w:t>
            </w:r>
          </w:p>
        </w:tc>
        <w:tc>
          <w:tcPr>
            <w:tcW w:w="823" w:type="pct"/>
            <w:tcBorders>
              <w:top w:val="single" w:sz="4" w:space="0" w:color="000000"/>
              <w:left w:val="single" w:sz="4" w:space="0" w:color="000000"/>
              <w:bottom w:val="single" w:sz="4" w:space="0" w:color="000000"/>
              <w:right w:val="single" w:sz="4" w:space="0" w:color="000000"/>
            </w:tcBorders>
          </w:tcPr>
          <w:p w14:paraId="5FB6A161" w14:textId="12E06DB7" w:rsidR="00FC65F0" w:rsidRPr="00684268" w:rsidRDefault="00FC65F0" w:rsidP="00FC65F0">
            <w:pPr>
              <w:spacing w:line="276" w:lineRule="auto"/>
              <w:rPr>
                <w:sz w:val="22"/>
                <w:szCs w:val="22"/>
                <w:lang w:val="en-GB"/>
              </w:rPr>
            </w:pPr>
            <w:r w:rsidRPr="00684268">
              <w:rPr>
                <w:sz w:val="22"/>
                <w:szCs w:val="22"/>
                <w:lang w:val="en-GB"/>
              </w:rPr>
              <w:t xml:space="preserve">Doc. AEWA/MOP </w:t>
            </w:r>
            <w:r w:rsidR="00684268" w:rsidRPr="00684268">
              <w:rPr>
                <w:sz w:val="22"/>
                <w:szCs w:val="22"/>
                <w:lang w:val="en-GB"/>
              </w:rPr>
              <w:t>9</w:t>
            </w:r>
            <w:r w:rsidRPr="00684268">
              <w:rPr>
                <w:sz w:val="22"/>
                <w:szCs w:val="22"/>
                <w:lang w:val="en-GB"/>
              </w:rPr>
              <w:t>.</w:t>
            </w:r>
            <w:r w:rsidR="00684268" w:rsidRPr="00684268">
              <w:rPr>
                <w:sz w:val="22"/>
                <w:szCs w:val="22"/>
                <w:lang w:val="en-GB"/>
              </w:rPr>
              <w:t>13</w:t>
            </w:r>
          </w:p>
          <w:p w14:paraId="05FC6451" w14:textId="50B520B6" w:rsidR="00FC65F0" w:rsidRPr="00684268" w:rsidRDefault="00FC65F0" w:rsidP="00FC65F0">
            <w:pPr>
              <w:spacing w:line="276" w:lineRule="auto"/>
              <w:rPr>
                <w:sz w:val="22"/>
                <w:szCs w:val="22"/>
                <w:lang w:val="en-GB"/>
              </w:rPr>
            </w:pPr>
            <w:r w:rsidRPr="00684268">
              <w:rPr>
                <w:sz w:val="22"/>
                <w:szCs w:val="22"/>
                <w:lang w:val="en-GB"/>
              </w:rPr>
              <w:t>Doc. AEWA/MOP</w:t>
            </w:r>
            <w:r w:rsidR="00154BDC" w:rsidRPr="00684268">
              <w:rPr>
                <w:sz w:val="22"/>
                <w:szCs w:val="22"/>
                <w:lang w:val="en-GB"/>
              </w:rPr>
              <w:t>9</w:t>
            </w:r>
            <w:r w:rsidRPr="00684268">
              <w:rPr>
                <w:sz w:val="22"/>
                <w:szCs w:val="22"/>
                <w:lang w:val="en-GB"/>
              </w:rPr>
              <w:t xml:space="preserve"> DR.</w:t>
            </w:r>
            <w:r w:rsidR="00154BDC" w:rsidRPr="00684268">
              <w:rPr>
                <w:sz w:val="22"/>
                <w:szCs w:val="22"/>
                <w:lang w:val="en-GB"/>
              </w:rPr>
              <w:t>3</w:t>
            </w:r>
          </w:p>
        </w:tc>
      </w:tr>
      <w:tr w:rsidR="00FC65F0" w:rsidRPr="00860CD7" w14:paraId="769FF7C7" w14:textId="77777777" w:rsidTr="006E0C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4A56364D" w14:textId="77777777" w:rsidR="00FC65F0" w:rsidRPr="00F94BB5" w:rsidRDefault="00FC65F0" w:rsidP="00FC65F0">
            <w:pPr>
              <w:spacing w:line="276" w:lineRule="auto"/>
              <w:rPr>
                <w:b/>
                <w:bCs/>
                <w:sz w:val="22"/>
                <w:szCs w:val="22"/>
                <w:lang w:val="en-GB"/>
              </w:rPr>
            </w:pPr>
            <w:r w:rsidRPr="00F94BB5">
              <w:rPr>
                <w:b/>
                <w:bCs/>
                <w:sz w:val="22"/>
                <w:szCs w:val="22"/>
                <w:lang w:val="en-GB"/>
              </w:rPr>
              <w:lastRenderedPageBreak/>
              <w:t>2.2. Conservation and management guidance for AEWA populations</w:t>
            </w:r>
          </w:p>
          <w:p w14:paraId="686E0E2C" w14:textId="60B95AF3" w:rsidR="00FC65F0" w:rsidRPr="00F94BB5" w:rsidRDefault="006E0C45" w:rsidP="00FC65F0">
            <w:pPr>
              <w:spacing w:line="276" w:lineRule="auto"/>
              <w:rPr>
                <w:sz w:val="22"/>
                <w:szCs w:val="22"/>
                <w:lang w:val="en-GB"/>
              </w:rPr>
            </w:pPr>
            <w:r w:rsidRPr="006E0C45">
              <w:rPr>
                <w:sz w:val="22"/>
                <w:szCs w:val="22"/>
                <w:lang w:val="en-GB"/>
              </w:rPr>
              <w:t>Compile new or improved conservation and management guidance for priority species/population with no action or management plan in place and disseminate that guidance (</w:t>
            </w:r>
            <w:r w:rsidRPr="006E0C45">
              <w:rPr>
                <w:i/>
                <w:iCs/>
                <w:sz w:val="22"/>
                <w:szCs w:val="22"/>
                <w:lang w:val="en-GB"/>
              </w:rPr>
              <w:t>Strategic Plan 2019-2027</w:t>
            </w:r>
            <w:r w:rsidRPr="006E0C45">
              <w:rPr>
                <w:sz w:val="22"/>
                <w:szCs w:val="22"/>
                <w:lang w:val="en-GB"/>
              </w:rPr>
              <w:t>); Compile conservation guidance for the Lesser White-fronted Goose (</w:t>
            </w:r>
            <w:r w:rsidRPr="006E0C45">
              <w:rPr>
                <w:i/>
                <w:iCs/>
                <w:sz w:val="22"/>
                <w:szCs w:val="22"/>
                <w:lang w:val="en-GB"/>
              </w:rPr>
              <w:t>carried over from Work Plan 2019-2021/2022; Resolution 8.4</w:t>
            </w:r>
            <w:r w:rsidRPr="006E0C45">
              <w:rPr>
                <w:sz w:val="22"/>
                <w:szCs w:val="22"/>
                <w:lang w:val="en-GB"/>
              </w:rPr>
              <w:t>). TC to consider how to optimise the approach to producing such guidance.</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6122A4E5" w14:textId="77777777" w:rsidR="00FC65F0" w:rsidRDefault="00FC65F0" w:rsidP="00FC65F0">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091CC926" w14:textId="322046BA" w:rsidR="00FC65F0" w:rsidRPr="006E0C45" w:rsidRDefault="006E0C45" w:rsidP="00FC65F0">
            <w:pPr>
              <w:spacing w:line="276" w:lineRule="auto"/>
              <w:rPr>
                <w:b/>
                <w:bCs/>
                <w:sz w:val="22"/>
                <w:szCs w:val="22"/>
                <w:highlight w:val="magenta"/>
                <w:lang w:val="en-GB"/>
              </w:rPr>
            </w:pPr>
            <w:r w:rsidRPr="006E0C45">
              <w:rPr>
                <w:b/>
                <w:bCs/>
                <w:sz w:val="22"/>
                <w:szCs w:val="22"/>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09D18222" w14:textId="2F16A5DD" w:rsidR="00FC65F0" w:rsidRPr="000C2586" w:rsidRDefault="000B1515" w:rsidP="00E03FFB">
            <w:pPr>
              <w:spacing w:line="276" w:lineRule="auto"/>
              <w:rPr>
                <w:sz w:val="22"/>
                <w:szCs w:val="22"/>
                <w:lang w:val="en-GB"/>
              </w:rPr>
            </w:pPr>
            <w:r w:rsidRPr="000B1515">
              <w:rPr>
                <w:sz w:val="22"/>
                <w:szCs w:val="22"/>
                <w:lang w:val="en-GB"/>
              </w:rPr>
              <w:t>Under this task the Technical Committee reviewed the approach to the production of conservation and management guidance and concluded that it is unrealistic to secure the investment in terms of time and finances for the compilation of guidance for all prioritised species/populations. Instead, the Committee agreed that the BirdLife International’s Species Factsheets can usefully assist Range States in identifying appropriate actions to reduce threats to priority populations and agreed to recommend the use of these Factsheets by Parties where no International Species Action Plan or AEWA conservation or management guidance exists for such populations, pursuant to target 1.3 of the AEWA Strategic Plan 2019-2027, but to bear in mind that the Factsheets provide guidance at species-level rather than being specific to particular populations at the level of AEWA’s Table 1 listings.</w:t>
            </w:r>
          </w:p>
        </w:tc>
        <w:tc>
          <w:tcPr>
            <w:tcW w:w="823" w:type="pct"/>
            <w:tcBorders>
              <w:top w:val="single" w:sz="4" w:space="0" w:color="000000"/>
              <w:left w:val="single" w:sz="4" w:space="0" w:color="000000"/>
              <w:bottom w:val="single" w:sz="4" w:space="0" w:color="000000"/>
              <w:right w:val="single" w:sz="4" w:space="0" w:color="000000"/>
            </w:tcBorders>
          </w:tcPr>
          <w:p w14:paraId="457A0F0B" w14:textId="052CCC9E" w:rsidR="006E0C45" w:rsidRDefault="006E0C45" w:rsidP="00FC65F0">
            <w:pPr>
              <w:spacing w:line="276" w:lineRule="auto"/>
              <w:rPr>
                <w:sz w:val="22"/>
                <w:szCs w:val="22"/>
                <w:lang w:val="en-GB"/>
              </w:rPr>
            </w:pPr>
            <w:r w:rsidRPr="00684268">
              <w:rPr>
                <w:sz w:val="22"/>
                <w:szCs w:val="22"/>
                <w:lang w:val="en-GB"/>
              </w:rPr>
              <w:t>Doc. AEWA/MOP9 DR.3</w:t>
            </w:r>
          </w:p>
        </w:tc>
      </w:tr>
      <w:tr w:rsidR="00FC65F0" w:rsidRPr="00860CD7" w14:paraId="64468E92" w14:textId="77777777" w:rsidTr="004B07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71F184E0" w14:textId="77777777" w:rsidR="00FC65F0" w:rsidRPr="004A5C89" w:rsidRDefault="00FC65F0" w:rsidP="00FC65F0">
            <w:pPr>
              <w:spacing w:line="276" w:lineRule="auto"/>
              <w:rPr>
                <w:b/>
                <w:bCs/>
                <w:sz w:val="22"/>
                <w:szCs w:val="22"/>
                <w:lang w:val="en-GB"/>
              </w:rPr>
            </w:pPr>
            <w:r w:rsidRPr="004A5C89">
              <w:rPr>
                <w:b/>
                <w:bCs/>
                <w:sz w:val="22"/>
                <w:szCs w:val="22"/>
                <w:lang w:val="en-GB"/>
              </w:rPr>
              <w:t>2.3. ISSAP Conservation Briefs</w:t>
            </w:r>
          </w:p>
          <w:p w14:paraId="598381AE" w14:textId="1F793BF9" w:rsidR="00FC65F0" w:rsidRPr="004A5C89" w:rsidRDefault="00E92717" w:rsidP="00FC65F0">
            <w:pPr>
              <w:spacing w:line="276" w:lineRule="auto"/>
              <w:rPr>
                <w:sz w:val="22"/>
                <w:szCs w:val="22"/>
                <w:lang w:val="en-GB"/>
              </w:rPr>
            </w:pPr>
            <w:r w:rsidRPr="00E92717">
              <w:rPr>
                <w:sz w:val="22"/>
                <w:szCs w:val="22"/>
                <w:lang w:val="en-GB"/>
              </w:rPr>
              <w:t>Facilitate the production of a conservation brief of the ISSAP for the Greenland White-fronted Goose and circulate drafts of this to Range States for input</w:t>
            </w:r>
            <w:r>
              <w:rPr>
                <w:sz w:val="22"/>
                <w:szCs w:val="22"/>
                <w:lang w:val="en-GB"/>
              </w:rPr>
              <w:t>.</w:t>
            </w:r>
            <w:r w:rsidRPr="00E92717">
              <w:rPr>
                <w:sz w:val="22"/>
                <w:szCs w:val="22"/>
                <w:lang w:val="en-GB"/>
              </w:rPr>
              <w:t xml:space="preserve"> (</w:t>
            </w:r>
            <w:r w:rsidRPr="00E92717">
              <w:rPr>
                <w:i/>
                <w:iCs/>
                <w:sz w:val="22"/>
                <w:szCs w:val="22"/>
                <w:lang w:val="en-GB"/>
              </w:rPr>
              <w:t>Resolution 8.4</w:t>
            </w:r>
            <w:r w:rsidRPr="00E92717">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2512D73D" w14:textId="77777777" w:rsidR="00FC65F0" w:rsidRDefault="00FC65F0" w:rsidP="00FC65F0">
            <w:pPr>
              <w:spacing w:line="276" w:lineRule="auto"/>
              <w:rPr>
                <w:sz w:val="22"/>
                <w:szCs w:val="22"/>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5ED80FA2" w14:textId="5387D170" w:rsidR="00FC65F0" w:rsidRPr="00FD6231" w:rsidRDefault="00FC65F0" w:rsidP="00FC65F0">
            <w:pPr>
              <w:spacing w:line="276" w:lineRule="auto"/>
              <w:rPr>
                <w:b/>
                <w:bCs/>
                <w:sz w:val="22"/>
                <w:szCs w:val="22"/>
                <w:lang w:val="en-GB"/>
              </w:rPr>
            </w:pPr>
            <w:r>
              <w:rPr>
                <w:b/>
                <w:bCs/>
                <w:sz w:val="22"/>
                <w:szCs w:val="22"/>
                <w:lang w:val="en-GB"/>
              </w:rPr>
              <w:t>Fully</w:t>
            </w:r>
            <w:r w:rsidRPr="00FD6231">
              <w:rPr>
                <w:b/>
                <w:bCs/>
                <w:sz w:val="22"/>
                <w:szCs w:val="22"/>
                <w:lang w:val="en-GB"/>
              </w:rPr>
              <w:t xml:space="preserve"> implemented</w:t>
            </w:r>
          </w:p>
        </w:tc>
        <w:tc>
          <w:tcPr>
            <w:tcW w:w="1629" w:type="pct"/>
            <w:tcBorders>
              <w:top w:val="single" w:sz="4" w:space="0" w:color="000000"/>
              <w:left w:val="single" w:sz="4" w:space="0" w:color="000000"/>
              <w:bottom w:val="single" w:sz="4" w:space="0" w:color="000000"/>
              <w:right w:val="single" w:sz="4" w:space="0" w:color="000000"/>
            </w:tcBorders>
          </w:tcPr>
          <w:p w14:paraId="2693798B" w14:textId="69182BC1" w:rsidR="00FC65F0" w:rsidRPr="000C2586" w:rsidRDefault="0019531F" w:rsidP="00FC65F0">
            <w:pPr>
              <w:spacing w:line="276" w:lineRule="auto"/>
              <w:rPr>
                <w:sz w:val="22"/>
                <w:szCs w:val="22"/>
                <w:lang w:val="en-GB"/>
              </w:rPr>
            </w:pPr>
            <w:r>
              <w:rPr>
                <w:sz w:val="22"/>
                <w:szCs w:val="22"/>
                <w:lang w:val="en-GB"/>
              </w:rPr>
              <w:t xml:space="preserve">David Stroud, as </w:t>
            </w:r>
            <w:r w:rsidR="00E92717">
              <w:rPr>
                <w:sz w:val="22"/>
                <w:szCs w:val="22"/>
                <w:lang w:val="en-GB"/>
              </w:rPr>
              <w:t xml:space="preserve">invited expert </w:t>
            </w:r>
            <w:r>
              <w:rPr>
                <w:sz w:val="22"/>
                <w:szCs w:val="22"/>
                <w:lang w:val="en-GB"/>
              </w:rPr>
              <w:t>to</w:t>
            </w:r>
            <w:r w:rsidR="00E92717">
              <w:rPr>
                <w:sz w:val="22"/>
                <w:szCs w:val="22"/>
                <w:lang w:val="en-GB"/>
              </w:rPr>
              <w:t xml:space="preserve"> the Technical Committee</w:t>
            </w:r>
            <w:r>
              <w:rPr>
                <w:sz w:val="22"/>
                <w:szCs w:val="22"/>
                <w:lang w:val="en-GB"/>
              </w:rPr>
              <w:t>,</w:t>
            </w:r>
            <w:r w:rsidR="00E92717">
              <w:rPr>
                <w:sz w:val="22"/>
                <w:szCs w:val="22"/>
                <w:lang w:val="en-GB"/>
              </w:rPr>
              <w:t xml:space="preserve"> compiled the draft conservation brief for the </w:t>
            </w:r>
            <w:r w:rsidR="00E92717" w:rsidRPr="00E92717">
              <w:rPr>
                <w:sz w:val="22"/>
                <w:szCs w:val="22"/>
                <w:lang w:val="en-GB"/>
              </w:rPr>
              <w:t>Greenland White-fronted Goose</w:t>
            </w:r>
            <w:r w:rsidR="00E92717">
              <w:rPr>
                <w:sz w:val="22"/>
                <w:szCs w:val="22"/>
                <w:lang w:val="en-GB"/>
              </w:rPr>
              <w:t>, which the Committee reviewed and approved at its 20</w:t>
            </w:r>
            <w:r w:rsidR="00E92717" w:rsidRPr="00E92717">
              <w:rPr>
                <w:sz w:val="22"/>
                <w:szCs w:val="22"/>
                <w:vertAlign w:val="superscript"/>
                <w:lang w:val="en-GB"/>
              </w:rPr>
              <w:t>th</w:t>
            </w:r>
            <w:r w:rsidR="00E92717">
              <w:rPr>
                <w:sz w:val="22"/>
                <w:szCs w:val="22"/>
                <w:lang w:val="en-GB"/>
              </w:rPr>
              <w:t xml:space="preserve"> meeting in February 2025. </w:t>
            </w:r>
          </w:p>
        </w:tc>
        <w:tc>
          <w:tcPr>
            <w:tcW w:w="823" w:type="pct"/>
            <w:tcBorders>
              <w:top w:val="single" w:sz="4" w:space="0" w:color="000000"/>
              <w:left w:val="single" w:sz="4" w:space="0" w:color="000000"/>
              <w:bottom w:val="single" w:sz="4" w:space="0" w:color="000000"/>
              <w:right w:val="single" w:sz="4" w:space="0" w:color="000000"/>
            </w:tcBorders>
          </w:tcPr>
          <w:p w14:paraId="02AA8F42" w14:textId="15B0F5FB" w:rsidR="00FC65F0" w:rsidRDefault="00FC65F0" w:rsidP="00FC65F0">
            <w:pPr>
              <w:spacing w:line="276" w:lineRule="auto"/>
              <w:rPr>
                <w:sz w:val="22"/>
                <w:szCs w:val="22"/>
                <w:lang w:val="en-GB"/>
              </w:rPr>
            </w:pPr>
            <w:r w:rsidRPr="00706451">
              <w:rPr>
                <w:sz w:val="22"/>
                <w:szCs w:val="22"/>
                <w:lang w:val="en-GB"/>
              </w:rPr>
              <w:t xml:space="preserve">Doc. </w:t>
            </w:r>
            <w:r w:rsidR="00E92717" w:rsidRPr="00E92717">
              <w:rPr>
                <w:sz w:val="22"/>
                <w:szCs w:val="22"/>
                <w:lang w:val="en-GB"/>
              </w:rPr>
              <w:t>AEWA/MOP9 Inf.</w:t>
            </w:r>
            <w:r w:rsidR="00467F45">
              <w:rPr>
                <w:sz w:val="22"/>
                <w:szCs w:val="22"/>
                <w:lang w:val="en-GB"/>
              </w:rPr>
              <w:t>4</w:t>
            </w:r>
          </w:p>
        </w:tc>
      </w:tr>
      <w:tr w:rsidR="00FC65F0" w:rsidRPr="00860CD7" w14:paraId="688E35D9" w14:textId="77777777" w:rsidTr="00B87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01D86EB5" w14:textId="77777777" w:rsidR="00FC65F0" w:rsidRDefault="00FC65F0" w:rsidP="00FC65F0">
            <w:pPr>
              <w:spacing w:line="276" w:lineRule="auto"/>
              <w:rPr>
                <w:b/>
                <w:bCs/>
                <w:sz w:val="22"/>
                <w:szCs w:val="22"/>
                <w:lang w:val="en-GB"/>
              </w:rPr>
            </w:pPr>
            <w:r w:rsidRPr="00652517">
              <w:rPr>
                <w:b/>
                <w:bCs/>
                <w:sz w:val="22"/>
                <w:szCs w:val="22"/>
                <w:lang w:val="en-GB"/>
              </w:rPr>
              <w:t>2.4. Sustainable harvests and the socio-economic importance of waterbirds</w:t>
            </w:r>
          </w:p>
          <w:p w14:paraId="671BBCF0" w14:textId="6EA3B07E" w:rsidR="00FC65F0" w:rsidRPr="00204413" w:rsidRDefault="00FC65F0" w:rsidP="00FC65F0">
            <w:pPr>
              <w:spacing w:line="276" w:lineRule="auto"/>
              <w:rPr>
                <w:sz w:val="22"/>
                <w:szCs w:val="22"/>
                <w:lang w:val="en-GB"/>
              </w:rPr>
            </w:pPr>
            <w:r w:rsidRPr="00204413">
              <w:rPr>
                <w:sz w:val="22"/>
                <w:szCs w:val="22"/>
                <w:lang w:val="en-GB"/>
              </w:rPr>
              <w:t>Compile a desk study</w:t>
            </w:r>
            <w:r>
              <w:rPr>
                <w:sz w:val="22"/>
                <w:szCs w:val="22"/>
                <w:lang w:val="en-GB"/>
              </w:rPr>
              <w:t xml:space="preserve"> </w:t>
            </w:r>
            <w:r w:rsidRPr="00B4261B">
              <w:rPr>
                <w:sz w:val="22"/>
                <w:szCs w:val="22"/>
                <w:lang w:val="en-GB"/>
              </w:rPr>
              <w:t>(</w:t>
            </w:r>
            <w:r w:rsidRPr="00B87FC3">
              <w:rPr>
                <w:i/>
                <w:iCs/>
                <w:sz w:val="22"/>
                <w:szCs w:val="22"/>
                <w:lang w:val="en-GB"/>
              </w:rPr>
              <w:t>carried over from Work Plan 2016-2018</w:t>
            </w:r>
            <w:r w:rsidRPr="00B4261B">
              <w:rPr>
                <w:sz w:val="22"/>
                <w:szCs w:val="22"/>
                <w:lang w:val="en-GB"/>
              </w:rPr>
              <w:t>)</w:t>
            </w:r>
            <w:r w:rsidRPr="00204413">
              <w:rPr>
                <w:sz w:val="22"/>
                <w:szCs w:val="22"/>
                <w:lang w:val="en-GB"/>
              </w:rPr>
              <w:t xml:space="preserve">. </w:t>
            </w:r>
            <w:r w:rsidR="00B87FC3" w:rsidRPr="00B87FC3">
              <w:rPr>
                <w:sz w:val="22"/>
                <w:szCs w:val="22"/>
                <w:lang w:val="en-GB"/>
              </w:rPr>
              <w:t>(</w:t>
            </w:r>
            <w:r w:rsidR="00B87FC3" w:rsidRPr="00B87FC3">
              <w:rPr>
                <w:i/>
                <w:iCs/>
                <w:sz w:val="22"/>
                <w:szCs w:val="22"/>
                <w:lang w:val="en-GB"/>
              </w:rPr>
              <w:t>Resolutions 6.4; 6.15 and 7.2; CMS Flyways Programme of Work, Resolution 12.11, Annex 1</w:t>
            </w:r>
            <w:r w:rsidR="00B87FC3" w:rsidRPr="00B87FC3">
              <w:rPr>
                <w:sz w:val="22"/>
                <w:szCs w:val="22"/>
                <w:lang w:val="en-GB"/>
              </w:rPr>
              <w:t xml:space="preserve">) </w:t>
            </w: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2E2C4352" w14:textId="77777777" w:rsidR="00FC65F0" w:rsidRDefault="00FC65F0" w:rsidP="00FC65F0">
            <w:pPr>
              <w:spacing w:line="276" w:lineRule="auto"/>
              <w:rPr>
                <w:sz w:val="22"/>
                <w:szCs w:val="22"/>
                <w:highlight w:val="yellow"/>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731F5C21" w14:textId="3BB8CB86" w:rsidR="00FC65F0" w:rsidRPr="00FD6231" w:rsidRDefault="00B87FC3" w:rsidP="00FC65F0">
            <w:pPr>
              <w:spacing w:line="276" w:lineRule="auto"/>
              <w:rPr>
                <w:b/>
                <w:bCs/>
                <w:sz w:val="22"/>
                <w:szCs w:val="22"/>
                <w:highlight w:val="yellow"/>
                <w:lang w:val="en-GB"/>
              </w:rPr>
            </w:pPr>
            <w:r w:rsidRPr="00B87FC3">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484158DC" w14:textId="547E0A1E" w:rsidR="00FC65F0" w:rsidRPr="006827E6" w:rsidRDefault="003071CA" w:rsidP="00FC65F0">
            <w:pPr>
              <w:spacing w:line="276" w:lineRule="auto"/>
              <w:rPr>
                <w:sz w:val="22"/>
                <w:szCs w:val="22"/>
                <w:lang w:val="en-GB"/>
              </w:rPr>
            </w:pPr>
            <w:r>
              <w:rPr>
                <w:sz w:val="22"/>
                <w:szCs w:val="22"/>
              </w:rPr>
              <w:t xml:space="preserve">In the previous </w:t>
            </w:r>
            <w:r w:rsidR="00FC65F0" w:rsidRPr="00706451">
              <w:rPr>
                <w:sz w:val="22"/>
                <w:szCs w:val="22"/>
              </w:rPr>
              <w:t xml:space="preserve">triennium an ad hoc </w:t>
            </w:r>
            <w:r w:rsidR="00FC65F0">
              <w:rPr>
                <w:sz w:val="22"/>
                <w:szCs w:val="22"/>
              </w:rPr>
              <w:t xml:space="preserve">working </w:t>
            </w:r>
            <w:r w:rsidR="00FC65F0" w:rsidRPr="00706451">
              <w:rPr>
                <w:sz w:val="22"/>
                <w:szCs w:val="22"/>
              </w:rPr>
              <w:t>group with external expertise was convened to address the tasks on the TC Work Plan related to sustainable harvest</w:t>
            </w:r>
            <w:r w:rsidR="00B87FC3">
              <w:rPr>
                <w:sz w:val="22"/>
                <w:szCs w:val="22"/>
              </w:rPr>
              <w:t>, including this task. The ad hoc working group compiled draft Terms of reference (ToR), which we slightly modified and approved by the Committee at its 18</w:t>
            </w:r>
            <w:r w:rsidR="00B87FC3" w:rsidRPr="00B87FC3">
              <w:rPr>
                <w:sz w:val="22"/>
                <w:szCs w:val="22"/>
                <w:vertAlign w:val="superscript"/>
              </w:rPr>
              <w:t>th</w:t>
            </w:r>
            <w:r w:rsidR="00B87FC3">
              <w:rPr>
                <w:sz w:val="22"/>
                <w:szCs w:val="22"/>
              </w:rPr>
              <w:t xml:space="preserve"> </w:t>
            </w:r>
            <w:r w:rsidR="00B87FC3">
              <w:rPr>
                <w:sz w:val="22"/>
                <w:szCs w:val="22"/>
              </w:rPr>
              <w:lastRenderedPageBreak/>
              <w:t xml:space="preserve">meeting in March 2023. Due to the lack of funding, the implementation of this task could not be outsourced. </w:t>
            </w:r>
            <w:r w:rsidR="007C63B0">
              <w:t xml:space="preserve"> </w:t>
            </w:r>
            <w:r w:rsidR="007C63B0" w:rsidRPr="007C63B0">
              <w:rPr>
                <w:sz w:val="22"/>
                <w:szCs w:val="22"/>
                <w:lang w:val="en-GB"/>
              </w:rPr>
              <w:t>This task will be carried over for implementation in the next triennium, funding permitting.</w:t>
            </w:r>
          </w:p>
        </w:tc>
        <w:tc>
          <w:tcPr>
            <w:tcW w:w="823" w:type="pct"/>
            <w:tcBorders>
              <w:top w:val="single" w:sz="4" w:space="0" w:color="000000"/>
              <w:left w:val="single" w:sz="4" w:space="0" w:color="000000"/>
              <w:bottom w:val="single" w:sz="4" w:space="0" w:color="000000"/>
              <w:right w:val="single" w:sz="4" w:space="0" w:color="000000"/>
            </w:tcBorders>
          </w:tcPr>
          <w:p w14:paraId="0DFAC618" w14:textId="4B1CD96F" w:rsidR="00FC65F0" w:rsidRPr="00652517" w:rsidRDefault="00B87FC3" w:rsidP="00FC65F0">
            <w:pPr>
              <w:spacing w:line="276" w:lineRule="auto"/>
              <w:rPr>
                <w:sz w:val="22"/>
                <w:szCs w:val="22"/>
                <w:highlight w:val="yellow"/>
                <w:lang w:val="en-GB"/>
              </w:rPr>
            </w:pPr>
            <w:r w:rsidRPr="00B87FC3">
              <w:rPr>
                <w:sz w:val="22"/>
                <w:szCs w:val="22"/>
                <w:lang w:val="en-GB"/>
              </w:rPr>
              <w:lastRenderedPageBreak/>
              <w:t>--</w:t>
            </w:r>
          </w:p>
        </w:tc>
      </w:tr>
      <w:tr w:rsidR="00FC65F0" w:rsidRPr="00860CD7" w14:paraId="74F05D77" w14:textId="77777777" w:rsidTr="00B87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auto"/>
              <w:right w:val="single" w:sz="4" w:space="0" w:color="000000"/>
            </w:tcBorders>
          </w:tcPr>
          <w:p w14:paraId="32B4A957" w14:textId="77777777" w:rsidR="00FC65F0" w:rsidRPr="00204413" w:rsidRDefault="00FC65F0" w:rsidP="00FC65F0">
            <w:pPr>
              <w:spacing w:line="276" w:lineRule="auto"/>
              <w:rPr>
                <w:b/>
                <w:bCs/>
                <w:sz w:val="22"/>
                <w:szCs w:val="22"/>
                <w:lang w:val="en-GB"/>
              </w:rPr>
            </w:pPr>
            <w:r w:rsidRPr="00204413">
              <w:rPr>
                <w:b/>
                <w:bCs/>
                <w:sz w:val="22"/>
                <w:szCs w:val="22"/>
                <w:lang w:val="en-GB"/>
              </w:rPr>
              <w:t>2.5. Priorities for seabird conservation</w:t>
            </w:r>
          </w:p>
          <w:p w14:paraId="57D12A79" w14:textId="0B754EF1" w:rsidR="00FC65F0" w:rsidRPr="00204413" w:rsidRDefault="00FC65F0" w:rsidP="00FC65F0">
            <w:pPr>
              <w:spacing w:line="276" w:lineRule="auto"/>
              <w:rPr>
                <w:sz w:val="22"/>
                <w:szCs w:val="22"/>
                <w:lang w:val="en-GB"/>
              </w:rPr>
            </w:pPr>
            <w:r w:rsidRPr="00204413">
              <w:rPr>
                <w:sz w:val="22"/>
                <w:szCs w:val="22"/>
                <w:lang w:val="en-GB"/>
              </w:rPr>
              <w:t>Review the seabird conservation priorities approved by MOP7 and provide guidance on their delivery</w:t>
            </w:r>
            <w:r w:rsidR="00B87FC3">
              <w:rPr>
                <w:sz w:val="22"/>
                <w:szCs w:val="22"/>
                <w:lang w:val="en-GB"/>
              </w:rPr>
              <w:t xml:space="preserve"> </w:t>
            </w:r>
            <w:r w:rsidR="00B87FC3" w:rsidRPr="00B87FC3">
              <w:rPr>
                <w:bCs/>
                <w:sz w:val="22"/>
                <w:szCs w:val="22"/>
              </w:rPr>
              <w:t>(</w:t>
            </w:r>
            <w:r w:rsidR="00B87FC3" w:rsidRPr="00B87FC3">
              <w:rPr>
                <w:bCs/>
                <w:i/>
                <w:iCs/>
                <w:sz w:val="22"/>
                <w:szCs w:val="22"/>
              </w:rPr>
              <w:t>carried over from Work Plan 2019-2021/2022</w:t>
            </w:r>
            <w:r w:rsidR="00B87FC3" w:rsidRPr="00B87FC3">
              <w:rPr>
                <w:bCs/>
                <w:sz w:val="22"/>
                <w:szCs w:val="22"/>
              </w:rPr>
              <w:t>)</w:t>
            </w:r>
            <w:r>
              <w:rPr>
                <w:sz w:val="22"/>
                <w:szCs w:val="22"/>
                <w:lang w:val="en-GB"/>
              </w:rPr>
              <w:t xml:space="preserve">. </w:t>
            </w:r>
            <w:r w:rsidRPr="009A5C69">
              <w:rPr>
                <w:sz w:val="22"/>
                <w:szCs w:val="22"/>
                <w:lang w:val="en-GB"/>
              </w:rPr>
              <w:t>(</w:t>
            </w:r>
            <w:r w:rsidRPr="009A5C69">
              <w:rPr>
                <w:i/>
                <w:iCs/>
                <w:sz w:val="22"/>
                <w:szCs w:val="22"/>
                <w:lang w:val="en-GB"/>
              </w:rPr>
              <w:t>Resolution 7.6</w:t>
            </w:r>
            <w:r w:rsidRPr="009A5C69">
              <w:rPr>
                <w:sz w:val="22"/>
                <w:szCs w:val="22"/>
                <w:lang w:val="en-GB"/>
              </w:rPr>
              <w:t>)</w:t>
            </w:r>
          </w:p>
        </w:tc>
        <w:tc>
          <w:tcPr>
            <w:tcW w:w="361" w:type="pct"/>
            <w:tcBorders>
              <w:top w:val="single" w:sz="4" w:space="0" w:color="000000"/>
              <w:left w:val="single" w:sz="4" w:space="0" w:color="000000"/>
              <w:bottom w:val="single" w:sz="4" w:space="0" w:color="auto"/>
              <w:right w:val="single" w:sz="4" w:space="0" w:color="000000"/>
            </w:tcBorders>
            <w:shd w:val="clear" w:color="auto" w:fill="FFC000"/>
          </w:tcPr>
          <w:p w14:paraId="0E5742D2" w14:textId="77777777" w:rsidR="00FC65F0" w:rsidRDefault="00FC65F0" w:rsidP="00FC65F0">
            <w:pPr>
              <w:spacing w:line="276" w:lineRule="auto"/>
              <w:rPr>
                <w:sz w:val="22"/>
                <w:szCs w:val="22"/>
                <w:highlight w:val="yellow"/>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auto"/>
              <w:right w:val="single" w:sz="4" w:space="0" w:color="000000"/>
            </w:tcBorders>
            <w:shd w:val="clear" w:color="auto" w:fill="92D050"/>
          </w:tcPr>
          <w:p w14:paraId="44AB241E" w14:textId="391A8CCF" w:rsidR="00FC65F0" w:rsidRPr="009C3406" w:rsidRDefault="00B87FC3" w:rsidP="00FC65F0">
            <w:pPr>
              <w:spacing w:line="276" w:lineRule="auto"/>
              <w:rPr>
                <w:b/>
                <w:bCs/>
                <w:sz w:val="22"/>
                <w:szCs w:val="22"/>
                <w:lang w:val="en-GB"/>
              </w:rPr>
            </w:pPr>
            <w:r>
              <w:rPr>
                <w:b/>
                <w:bCs/>
                <w:sz w:val="22"/>
                <w:szCs w:val="22"/>
                <w:lang w:val="en-GB"/>
              </w:rPr>
              <w:t xml:space="preserve">Fully </w:t>
            </w:r>
            <w:r w:rsidR="00FC65F0" w:rsidRPr="009C3406">
              <w:rPr>
                <w:b/>
                <w:bCs/>
                <w:sz w:val="22"/>
                <w:szCs w:val="22"/>
                <w:lang w:val="en-GB"/>
              </w:rPr>
              <w:t>implemented</w:t>
            </w:r>
          </w:p>
        </w:tc>
        <w:tc>
          <w:tcPr>
            <w:tcW w:w="1629" w:type="pct"/>
            <w:tcBorders>
              <w:top w:val="single" w:sz="4" w:space="0" w:color="000000"/>
              <w:left w:val="single" w:sz="4" w:space="0" w:color="000000"/>
              <w:bottom w:val="single" w:sz="4" w:space="0" w:color="auto"/>
              <w:right w:val="single" w:sz="4" w:space="0" w:color="000000"/>
            </w:tcBorders>
          </w:tcPr>
          <w:p w14:paraId="6AEBD19B" w14:textId="77777777" w:rsidR="000B1515" w:rsidRPr="000B1515" w:rsidRDefault="000B1515" w:rsidP="000B1515">
            <w:pPr>
              <w:spacing w:line="276" w:lineRule="auto"/>
              <w:rPr>
                <w:sz w:val="22"/>
                <w:szCs w:val="22"/>
                <w:lang w:val="en-GB"/>
              </w:rPr>
            </w:pPr>
            <w:r w:rsidRPr="000B1515">
              <w:rPr>
                <w:sz w:val="22"/>
                <w:szCs w:val="22"/>
                <w:lang w:val="en-GB"/>
              </w:rPr>
              <w:t>Last triennium an ad hoc expert group on seabirds with external participation was identified and appointed to support the TC on this topic. In the current triennium the ad hoc working group compiled a document on the implementation and further prioritisation of seabird-related activities under AEWA, which also contains operational guidance for the Parties. The final document was approved by correspondence by the Committee for submission to MOP9.</w:t>
            </w:r>
          </w:p>
          <w:p w14:paraId="73D50AA9" w14:textId="77777777" w:rsidR="000B1515" w:rsidRPr="000B1515" w:rsidRDefault="000B1515" w:rsidP="000B1515">
            <w:pPr>
              <w:spacing w:line="276" w:lineRule="auto"/>
              <w:rPr>
                <w:sz w:val="22"/>
                <w:szCs w:val="22"/>
                <w:lang w:val="en-GB"/>
              </w:rPr>
            </w:pPr>
          </w:p>
          <w:p w14:paraId="2245CE2C" w14:textId="0CF709B1" w:rsidR="00FC65F0" w:rsidRPr="000C2586" w:rsidRDefault="000B1515" w:rsidP="000B1515">
            <w:pPr>
              <w:spacing w:line="276" w:lineRule="auto"/>
              <w:rPr>
                <w:sz w:val="22"/>
                <w:szCs w:val="22"/>
                <w:lang w:val="en-GB"/>
              </w:rPr>
            </w:pPr>
            <w:r w:rsidRPr="000B1515">
              <w:rPr>
                <w:sz w:val="22"/>
                <w:szCs w:val="22"/>
                <w:lang w:val="en-GB"/>
              </w:rPr>
              <w:t xml:space="preserve">The Technical Committee also compiled a draft resolution on the topics of seabirds and of sea-level rise (task 3.4 of the TC’s </w:t>
            </w:r>
            <w:r w:rsidR="00D76B0E">
              <w:rPr>
                <w:sz w:val="22"/>
                <w:szCs w:val="22"/>
                <w:lang w:val="en-GB"/>
              </w:rPr>
              <w:t>W</w:t>
            </w:r>
            <w:r w:rsidRPr="000B1515">
              <w:rPr>
                <w:sz w:val="22"/>
                <w:szCs w:val="22"/>
                <w:lang w:val="en-GB"/>
              </w:rPr>
              <w:t xml:space="preserve">ork </w:t>
            </w:r>
            <w:r w:rsidR="00D76B0E">
              <w:rPr>
                <w:sz w:val="22"/>
                <w:szCs w:val="22"/>
                <w:lang w:val="en-GB"/>
              </w:rPr>
              <w:t>P</w:t>
            </w:r>
            <w:r w:rsidRPr="000B1515">
              <w:rPr>
                <w:sz w:val="22"/>
                <w:szCs w:val="22"/>
                <w:lang w:val="en-GB"/>
              </w:rPr>
              <w:t>lan).</w:t>
            </w:r>
          </w:p>
        </w:tc>
        <w:tc>
          <w:tcPr>
            <w:tcW w:w="823" w:type="pct"/>
            <w:tcBorders>
              <w:top w:val="single" w:sz="4" w:space="0" w:color="000000"/>
              <w:left w:val="single" w:sz="4" w:space="0" w:color="000000"/>
              <w:bottom w:val="single" w:sz="4" w:space="0" w:color="auto"/>
              <w:right w:val="single" w:sz="4" w:space="0" w:color="000000"/>
            </w:tcBorders>
          </w:tcPr>
          <w:p w14:paraId="3779EDD2" w14:textId="477FF4D5" w:rsidR="000F4DD0" w:rsidRPr="000F4DD0" w:rsidRDefault="000F4DD0" w:rsidP="000F4DD0">
            <w:pPr>
              <w:spacing w:line="276" w:lineRule="auto"/>
              <w:rPr>
                <w:sz w:val="22"/>
                <w:szCs w:val="22"/>
                <w:lang w:val="en-GB"/>
              </w:rPr>
            </w:pPr>
            <w:r w:rsidRPr="000F4DD0">
              <w:rPr>
                <w:sz w:val="22"/>
                <w:szCs w:val="22"/>
                <w:lang w:val="en-GB"/>
              </w:rPr>
              <w:t>Doc. AEWA/MOP 9.</w:t>
            </w:r>
            <w:r>
              <w:rPr>
                <w:sz w:val="22"/>
                <w:szCs w:val="22"/>
                <w:lang w:val="en-GB"/>
              </w:rPr>
              <w:t>24</w:t>
            </w:r>
          </w:p>
          <w:p w14:paraId="6B03340A" w14:textId="7BE27A0A" w:rsidR="00FC65F0" w:rsidRPr="00204413" w:rsidRDefault="000F4DD0" w:rsidP="000F4DD0">
            <w:pPr>
              <w:spacing w:line="276" w:lineRule="auto"/>
              <w:rPr>
                <w:sz w:val="22"/>
                <w:szCs w:val="22"/>
                <w:lang w:val="en-GB"/>
              </w:rPr>
            </w:pPr>
            <w:r w:rsidRPr="000F4DD0">
              <w:rPr>
                <w:sz w:val="22"/>
                <w:szCs w:val="22"/>
                <w:lang w:val="en-GB"/>
              </w:rPr>
              <w:t>Doc. AEWA/MOP9 DR.</w:t>
            </w:r>
            <w:r>
              <w:rPr>
                <w:sz w:val="22"/>
                <w:szCs w:val="22"/>
                <w:lang w:val="en-GB"/>
              </w:rPr>
              <w:t>4</w:t>
            </w:r>
          </w:p>
        </w:tc>
      </w:tr>
      <w:tr w:rsidR="00573263" w:rsidRPr="00860CD7" w14:paraId="1803BF8F" w14:textId="77777777" w:rsidTr="005732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auto"/>
              <w:right w:val="single" w:sz="4" w:space="0" w:color="000000"/>
            </w:tcBorders>
          </w:tcPr>
          <w:p w14:paraId="4B610BD1" w14:textId="0B6C7C2C" w:rsidR="00573263" w:rsidRPr="00204413" w:rsidRDefault="00573263" w:rsidP="00573263">
            <w:pPr>
              <w:spacing w:line="276" w:lineRule="auto"/>
              <w:rPr>
                <w:b/>
                <w:bCs/>
                <w:sz w:val="22"/>
                <w:szCs w:val="22"/>
                <w:lang w:val="en-GB"/>
              </w:rPr>
            </w:pPr>
            <w:r w:rsidRPr="00204413">
              <w:rPr>
                <w:b/>
                <w:bCs/>
                <w:sz w:val="22"/>
                <w:szCs w:val="22"/>
                <w:lang w:val="en-GB"/>
              </w:rPr>
              <w:t>2.</w:t>
            </w:r>
            <w:r>
              <w:rPr>
                <w:b/>
                <w:bCs/>
                <w:sz w:val="22"/>
                <w:szCs w:val="22"/>
                <w:lang w:val="en-GB"/>
              </w:rPr>
              <w:t>6</w:t>
            </w:r>
            <w:r w:rsidRPr="00204413">
              <w:rPr>
                <w:b/>
                <w:bCs/>
                <w:sz w:val="22"/>
                <w:szCs w:val="22"/>
                <w:lang w:val="en-GB"/>
              </w:rPr>
              <w:t xml:space="preserve">. </w:t>
            </w:r>
            <w:r w:rsidRPr="00573263">
              <w:rPr>
                <w:b/>
                <w:bCs/>
                <w:sz w:val="22"/>
                <w:szCs w:val="22"/>
                <w:lang w:val="en-GB"/>
              </w:rPr>
              <w:t>Guidance on adaptive harvest management (AHM)</w:t>
            </w:r>
          </w:p>
          <w:p w14:paraId="7C2FD7FA" w14:textId="723C3D18" w:rsidR="00573263" w:rsidRPr="00204413" w:rsidRDefault="00573263" w:rsidP="00573263">
            <w:pPr>
              <w:spacing w:line="276" w:lineRule="auto"/>
              <w:rPr>
                <w:b/>
                <w:bCs/>
                <w:sz w:val="22"/>
                <w:szCs w:val="22"/>
                <w:lang w:val="en-GB"/>
              </w:rPr>
            </w:pPr>
            <w:r w:rsidRPr="00573263">
              <w:rPr>
                <w:sz w:val="22"/>
                <w:szCs w:val="22"/>
                <w:lang w:val="en-GB"/>
              </w:rPr>
              <w:t>Prepare simple guidance on AHM drawing on existing knowledge, experience and processes and submit to Standing Committee as interim guidance ahead of MOP9</w:t>
            </w:r>
            <w:r>
              <w:rPr>
                <w:sz w:val="22"/>
                <w:szCs w:val="22"/>
                <w:lang w:val="en-GB"/>
              </w:rPr>
              <w:t>.</w:t>
            </w:r>
            <w:r w:rsidRPr="00573263">
              <w:rPr>
                <w:sz w:val="22"/>
                <w:szCs w:val="22"/>
                <w:lang w:val="en-GB"/>
              </w:rPr>
              <w:t xml:space="preserve"> (</w:t>
            </w:r>
            <w:r w:rsidRPr="00573263">
              <w:rPr>
                <w:i/>
                <w:iCs/>
                <w:sz w:val="22"/>
                <w:szCs w:val="22"/>
                <w:lang w:val="en-GB"/>
              </w:rPr>
              <w:t>Resolution 8.8</w:t>
            </w:r>
            <w:r w:rsidRPr="00573263">
              <w:rPr>
                <w:sz w:val="22"/>
                <w:szCs w:val="22"/>
                <w:lang w:val="en-GB"/>
              </w:rPr>
              <w:t>)</w:t>
            </w:r>
          </w:p>
        </w:tc>
        <w:tc>
          <w:tcPr>
            <w:tcW w:w="361" w:type="pct"/>
            <w:tcBorders>
              <w:top w:val="single" w:sz="4" w:space="0" w:color="000000"/>
              <w:left w:val="single" w:sz="4" w:space="0" w:color="000000"/>
              <w:bottom w:val="single" w:sz="4" w:space="0" w:color="auto"/>
              <w:right w:val="single" w:sz="4" w:space="0" w:color="000000"/>
            </w:tcBorders>
            <w:shd w:val="clear" w:color="auto" w:fill="FFC000"/>
          </w:tcPr>
          <w:p w14:paraId="527D9E63" w14:textId="75A2BEE0" w:rsidR="00573263" w:rsidRPr="00AC70CB" w:rsidRDefault="00573263" w:rsidP="00573263">
            <w:pPr>
              <w:spacing w:line="276" w:lineRule="auto"/>
              <w:rPr>
                <w:b/>
                <w:bCs/>
                <w:sz w:val="22"/>
                <w:szCs w:val="22"/>
                <w:shd w:val="clear" w:color="auto" w:fill="FFC000"/>
                <w:lang w:val="en-GB"/>
              </w:rPr>
            </w:pPr>
            <w:r>
              <w:rPr>
                <w:b/>
                <w:bCs/>
                <w:sz w:val="22"/>
                <w:szCs w:val="22"/>
                <w:shd w:val="clear" w:color="auto" w:fill="FFC000"/>
                <w:lang w:val="en-GB"/>
              </w:rPr>
              <w:t>High</w:t>
            </w:r>
          </w:p>
        </w:tc>
        <w:tc>
          <w:tcPr>
            <w:tcW w:w="682" w:type="pct"/>
            <w:tcBorders>
              <w:top w:val="single" w:sz="4" w:space="0" w:color="000000"/>
              <w:left w:val="single" w:sz="4" w:space="0" w:color="000000"/>
              <w:bottom w:val="single" w:sz="4" w:space="0" w:color="auto"/>
              <w:right w:val="single" w:sz="4" w:space="0" w:color="000000"/>
            </w:tcBorders>
            <w:shd w:val="clear" w:color="auto" w:fill="FF5050"/>
          </w:tcPr>
          <w:p w14:paraId="38320C83" w14:textId="5395C450" w:rsidR="00573263" w:rsidRDefault="00573263" w:rsidP="00573263">
            <w:pPr>
              <w:spacing w:line="276" w:lineRule="auto"/>
              <w:rPr>
                <w:b/>
                <w:bCs/>
                <w:sz w:val="22"/>
                <w:szCs w:val="22"/>
                <w:lang w:val="en-GB"/>
              </w:rPr>
            </w:pPr>
            <w:r>
              <w:rPr>
                <w:b/>
                <w:bCs/>
                <w:sz w:val="22"/>
                <w:szCs w:val="22"/>
                <w:lang w:val="en-GB"/>
              </w:rPr>
              <w:t>Not implemented</w:t>
            </w:r>
          </w:p>
        </w:tc>
        <w:tc>
          <w:tcPr>
            <w:tcW w:w="1629" w:type="pct"/>
            <w:tcBorders>
              <w:top w:val="single" w:sz="4" w:space="0" w:color="000000"/>
              <w:left w:val="single" w:sz="4" w:space="0" w:color="000000"/>
              <w:bottom w:val="single" w:sz="4" w:space="0" w:color="auto"/>
              <w:right w:val="single" w:sz="4" w:space="0" w:color="000000"/>
            </w:tcBorders>
          </w:tcPr>
          <w:p w14:paraId="7316E18B" w14:textId="213A4B10" w:rsidR="00573263" w:rsidRDefault="00F3020C" w:rsidP="00573263">
            <w:pPr>
              <w:spacing w:line="276" w:lineRule="auto"/>
              <w:rPr>
                <w:sz w:val="22"/>
                <w:szCs w:val="22"/>
                <w:lang w:val="en-GB"/>
              </w:rPr>
            </w:pPr>
            <w:r>
              <w:rPr>
                <w:sz w:val="22"/>
                <w:szCs w:val="22"/>
                <w:lang w:val="en-GB"/>
              </w:rPr>
              <w:t>The Technical Committee approved Terms of Reference for this task at its 18</w:t>
            </w:r>
            <w:r w:rsidRPr="00F3020C">
              <w:rPr>
                <w:sz w:val="22"/>
                <w:szCs w:val="22"/>
                <w:vertAlign w:val="superscript"/>
                <w:lang w:val="en-GB"/>
              </w:rPr>
              <w:t>th</w:t>
            </w:r>
            <w:r>
              <w:rPr>
                <w:sz w:val="22"/>
                <w:szCs w:val="22"/>
                <w:lang w:val="en-GB"/>
              </w:rPr>
              <w:t xml:space="preserve"> meeting in March 2023. Due to the lack of funding, its implementation could not be outsourced. </w:t>
            </w:r>
            <w:r w:rsidR="007C63B0">
              <w:rPr>
                <w:sz w:val="22"/>
                <w:szCs w:val="22"/>
                <w:lang w:val="en-GB"/>
              </w:rPr>
              <w:t xml:space="preserve">This task </w:t>
            </w:r>
            <w:r w:rsidR="007C63B0" w:rsidRPr="007C63B0">
              <w:rPr>
                <w:sz w:val="22"/>
                <w:szCs w:val="22"/>
                <w:lang w:val="en-GB"/>
              </w:rPr>
              <w:t>will be carried over for implementation in the next triennium, funding permitting.</w:t>
            </w:r>
          </w:p>
        </w:tc>
        <w:tc>
          <w:tcPr>
            <w:tcW w:w="823" w:type="pct"/>
            <w:tcBorders>
              <w:top w:val="single" w:sz="4" w:space="0" w:color="000000"/>
              <w:left w:val="single" w:sz="4" w:space="0" w:color="000000"/>
              <w:bottom w:val="single" w:sz="4" w:space="0" w:color="auto"/>
              <w:right w:val="single" w:sz="4" w:space="0" w:color="000000"/>
            </w:tcBorders>
          </w:tcPr>
          <w:p w14:paraId="4FD7772C" w14:textId="0DC49051" w:rsidR="00573263" w:rsidRPr="000F4DD0" w:rsidRDefault="00F3020C" w:rsidP="00573263">
            <w:pPr>
              <w:spacing w:line="276" w:lineRule="auto"/>
              <w:rPr>
                <w:sz w:val="22"/>
                <w:szCs w:val="22"/>
                <w:lang w:val="en-GB"/>
              </w:rPr>
            </w:pPr>
            <w:r>
              <w:rPr>
                <w:sz w:val="22"/>
                <w:szCs w:val="22"/>
                <w:lang w:val="en-GB"/>
              </w:rPr>
              <w:t>--</w:t>
            </w:r>
          </w:p>
        </w:tc>
      </w:tr>
      <w:tr w:rsidR="00F3020C" w:rsidRPr="00860CD7" w14:paraId="5E659A0E" w14:textId="77777777" w:rsidTr="00C65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auto"/>
              <w:right w:val="single" w:sz="4" w:space="0" w:color="000000"/>
            </w:tcBorders>
          </w:tcPr>
          <w:p w14:paraId="40A58D8E" w14:textId="597E7096" w:rsidR="00F3020C" w:rsidRPr="00204413" w:rsidRDefault="00F3020C" w:rsidP="00F3020C">
            <w:pPr>
              <w:spacing w:line="276" w:lineRule="auto"/>
              <w:rPr>
                <w:b/>
                <w:bCs/>
                <w:sz w:val="22"/>
                <w:szCs w:val="22"/>
                <w:lang w:val="en-GB"/>
              </w:rPr>
            </w:pPr>
            <w:r w:rsidRPr="00204413">
              <w:rPr>
                <w:b/>
                <w:bCs/>
                <w:sz w:val="22"/>
                <w:szCs w:val="22"/>
                <w:lang w:val="en-GB"/>
              </w:rPr>
              <w:t>2.</w:t>
            </w:r>
            <w:r>
              <w:rPr>
                <w:b/>
                <w:bCs/>
                <w:sz w:val="22"/>
                <w:szCs w:val="22"/>
                <w:lang w:val="en-GB"/>
              </w:rPr>
              <w:t>7</w:t>
            </w:r>
            <w:r w:rsidRPr="00204413">
              <w:rPr>
                <w:b/>
                <w:bCs/>
                <w:sz w:val="22"/>
                <w:szCs w:val="22"/>
                <w:lang w:val="en-GB"/>
              </w:rPr>
              <w:t xml:space="preserve">. </w:t>
            </w:r>
            <w:r w:rsidRPr="00F3020C">
              <w:rPr>
                <w:b/>
                <w:bCs/>
                <w:sz w:val="22"/>
                <w:szCs w:val="22"/>
                <w:lang w:val="en-GB"/>
              </w:rPr>
              <w:t>Highly Pathogenic Avian Influenza</w:t>
            </w:r>
          </w:p>
          <w:p w14:paraId="207CFF78" w14:textId="42719843" w:rsidR="00F3020C" w:rsidRPr="00204413" w:rsidRDefault="00C65032" w:rsidP="00F3020C">
            <w:pPr>
              <w:spacing w:line="276" w:lineRule="auto"/>
              <w:rPr>
                <w:b/>
                <w:bCs/>
                <w:sz w:val="22"/>
                <w:szCs w:val="22"/>
                <w:lang w:val="en-GB"/>
              </w:rPr>
            </w:pPr>
            <w:r w:rsidRPr="00C65032">
              <w:rPr>
                <w:sz w:val="22"/>
                <w:szCs w:val="22"/>
                <w:lang w:val="en-GB"/>
              </w:rPr>
              <w:t>Participate in the Scientific Task Force on Avian Influenza and disseminate its guidance to Parties and others via the Secretariat</w:t>
            </w:r>
            <w:r>
              <w:rPr>
                <w:sz w:val="22"/>
                <w:szCs w:val="22"/>
                <w:lang w:val="en-GB"/>
              </w:rPr>
              <w:t>.</w:t>
            </w:r>
            <w:r w:rsidRPr="00C65032">
              <w:rPr>
                <w:sz w:val="22"/>
                <w:szCs w:val="22"/>
                <w:lang w:val="en-GB"/>
              </w:rPr>
              <w:t xml:space="preserve"> (</w:t>
            </w:r>
            <w:r w:rsidRPr="00C65032">
              <w:rPr>
                <w:i/>
                <w:iCs/>
                <w:sz w:val="22"/>
                <w:szCs w:val="22"/>
                <w:lang w:val="en-GB"/>
              </w:rPr>
              <w:t>Resolution 8.15</w:t>
            </w:r>
            <w:r w:rsidRPr="00C65032">
              <w:rPr>
                <w:sz w:val="22"/>
                <w:szCs w:val="22"/>
                <w:lang w:val="en-GB"/>
              </w:rPr>
              <w:t>)</w:t>
            </w:r>
          </w:p>
        </w:tc>
        <w:tc>
          <w:tcPr>
            <w:tcW w:w="361" w:type="pct"/>
            <w:tcBorders>
              <w:top w:val="single" w:sz="4" w:space="0" w:color="000000"/>
              <w:left w:val="single" w:sz="4" w:space="0" w:color="000000"/>
              <w:bottom w:val="single" w:sz="4" w:space="0" w:color="auto"/>
              <w:right w:val="single" w:sz="4" w:space="0" w:color="000000"/>
            </w:tcBorders>
          </w:tcPr>
          <w:p w14:paraId="7661567D" w14:textId="0FDCC830" w:rsidR="00F3020C" w:rsidRPr="00AC70CB" w:rsidRDefault="00C65032" w:rsidP="00F3020C">
            <w:pPr>
              <w:spacing w:line="276" w:lineRule="auto"/>
              <w:rPr>
                <w:b/>
                <w:bCs/>
                <w:sz w:val="22"/>
                <w:szCs w:val="22"/>
                <w:shd w:val="clear" w:color="auto" w:fill="FFC000"/>
                <w:lang w:val="en-GB"/>
              </w:rPr>
            </w:pPr>
            <w:r w:rsidRPr="006E2325">
              <w:rPr>
                <w:b/>
                <w:bCs/>
                <w:sz w:val="22"/>
                <w:szCs w:val="22"/>
                <w:lang w:val="en-GB" w:eastAsia="nl-NL"/>
              </w:rPr>
              <w:t>No (immediate) action required</w:t>
            </w:r>
          </w:p>
        </w:tc>
        <w:tc>
          <w:tcPr>
            <w:tcW w:w="682" w:type="pct"/>
            <w:tcBorders>
              <w:top w:val="single" w:sz="4" w:space="0" w:color="000000"/>
              <w:left w:val="single" w:sz="4" w:space="0" w:color="000000"/>
              <w:bottom w:val="single" w:sz="4" w:space="0" w:color="auto"/>
              <w:right w:val="single" w:sz="4" w:space="0" w:color="000000"/>
            </w:tcBorders>
          </w:tcPr>
          <w:p w14:paraId="0F3FE696" w14:textId="0073DE08" w:rsidR="00F3020C" w:rsidRDefault="00C65032" w:rsidP="00F3020C">
            <w:pPr>
              <w:spacing w:line="276" w:lineRule="auto"/>
              <w:rPr>
                <w:b/>
                <w:bCs/>
                <w:sz w:val="22"/>
                <w:szCs w:val="22"/>
                <w:lang w:val="en-GB"/>
              </w:rPr>
            </w:pPr>
            <w:r>
              <w:rPr>
                <w:b/>
                <w:bCs/>
                <w:sz w:val="22"/>
                <w:szCs w:val="22"/>
                <w:lang w:val="en-GB"/>
              </w:rPr>
              <w:t>N/A</w:t>
            </w:r>
          </w:p>
        </w:tc>
        <w:tc>
          <w:tcPr>
            <w:tcW w:w="1629" w:type="pct"/>
            <w:tcBorders>
              <w:top w:val="single" w:sz="4" w:space="0" w:color="000000"/>
              <w:left w:val="single" w:sz="4" w:space="0" w:color="000000"/>
              <w:bottom w:val="single" w:sz="4" w:space="0" w:color="auto"/>
              <w:right w:val="single" w:sz="4" w:space="0" w:color="000000"/>
            </w:tcBorders>
          </w:tcPr>
          <w:p w14:paraId="29F3F94C" w14:textId="01C4778F" w:rsidR="00F3020C" w:rsidRDefault="00C65032" w:rsidP="00F3020C">
            <w:pPr>
              <w:spacing w:line="276" w:lineRule="auto"/>
              <w:rPr>
                <w:sz w:val="22"/>
                <w:szCs w:val="22"/>
                <w:lang w:val="en-GB"/>
              </w:rPr>
            </w:pPr>
            <w:r w:rsidRPr="00C65032">
              <w:rPr>
                <w:sz w:val="22"/>
                <w:szCs w:val="22"/>
                <w:lang w:val="en-GB"/>
              </w:rPr>
              <w:t>Zurab Javakhishvili</w:t>
            </w:r>
            <w:r>
              <w:rPr>
                <w:sz w:val="22"/>
                <w:szCs w:val="22"/>
                <w:lang w:val="en-GB"/>
              </w:rPr>
              <w:t xml:space="preserve"> (regional representative of Eastern Europe)</w:t>
            </w:r>
            <w:r w:rsidRPr="00C65032">
              <w:rPr>
                <w:sz w:val="22"/>
                <w:szCs w:val="22"/>
                <w:lang w:val="en-GB"/>
              </w:rPr>
              <w:t xml:space="preserve"> and Ruth Cromie</w:t>
            </w:r>
            <w:r>
              <w:rPr>
                <w:sz w:val="22"/>
                <w:szCs w:val="22"/>
                <w:lang w:val="en-GB"/>
              </w:rPr>
              <w:t xml:space="preserve"> (invited expert) were </w:t>
            </w:r>
            <w:r w:rsidR="00843CC9">
              <w:rPr>
                <w:sz w:val="22"/>
                <w:szCs w:val="22"/>
                <w:lang w:val="en-GB"/>
              </w:rPr>
              <w:t xml:space="preserve">assigned to </w:t>
            </w:r>
            <w:r>
              <w:rPr>
                <w:sz w:val="22"/>
                <w:szCs w:val="22"/>
                <w:lang w:val="en-GB"/>
              </w:rPr>
              <w:t>represent the Technical Committee in the</w:t>
            </w:r>
            <w:r>
              <w:t xml:space="preserve"> </w:t>
            </w:r>
            <w:r w:rsidRPr="00C65032">
              <w:rPr>
                <w:sz w:val="22"/>
                <w:szCs w:val="22"/>
                <w:lang w:val="en-GB"/>
              </w:rPr>
              <w:t>Scientific Task Force on Avian Influenza</w:t>
            </w:r>
            <w:r>
              <w:rPr>
                <w:sz w:val="22"/>
                <w:szCs w:val="22"/>
                <w:lang w:val="en-GB"/>
              </w:rPr>
              <w:t>.</w:t>
            </w:r>
          </w:p>
          <w:p w14:paraId="5DCEABF4" w14:textId="77777777" w:rsidR="00C65032" w:rsidRDefault="00C65032" w:rsidP="00F3020C">
            <w:pPr>
              <w:spacing w:line="276" w:lineRule="auto"/>
              <w:rPr>
                <w:sz w:val="22"/>
                <w:szCs w:val="22"/>
                <w:lang w:val="en-GB"/>
              </w:rPr>
            </w:pPr>
          </w:p>
          <w:p w14:paraId="217DAEA2" w14:textId="60205E82" w:rsidR="00C65032" w:rsidRDefault="00C65032" w:rsidP="00F3020C">
            <w:pPr>
              <w:spacing w:line="276" w:lineRule="auto"/>
              <w:rPr>
                <w:sz w:val="22"/>
                <w:szCs w:val="22"/>
                <w:lang w:val="en-GB"/>
              </w:rPr>
            </w:pPr>
            <w:r>
              <w:rPr>
                <w:sz w:val="22"/>
                <w:szCs w:val="22"/>
                <w:lang w:val="en-GB"/>
              </w:rPr>
              <w:lastRenderedPageBreak/>
              <w:t xml:space="preserve">Under this task the Technical Committee also approved and issued </w:t>
            </w:r>
            <w:r w:rsidRPr="00C65032">
              <w:rPr>
                <w:sz w:val="22"/>
                <w:szCs w:val="22"/>
                <w:lang w:val="en-GB"/>
              </w:rPr>
              <w:t xml:space="preserve">advice to </w:t>
            </w:r>
            <w:r>
              <w:rPr>
                <w:sz w:val="22"/>
                <w:szCs w:val="22"/>
                <w:lang w:val="en-GB"/>
              </w:rPr>
              <w:t>the Parties</w:t>
            </w:r>
            <w:r w:rsidRPr="00C65032">
              <w:rPr>
                <w:sz w:val="22"/>
                <w:szCs w:val="22"/>
                <w:lang w:val="en-GB"/>
              </w:rPr>
              <w:t xml:space="preserve"> on populations affected by H</w:t>
            </w:r>
            <w:r>
              <w:rPr>
                <w:sz w:val="22"/>
                <w:szCs w:val="22"/>
                <w:lang w:val="en-GB"/>
              </w:rPr>
              <w:t xml:space="preserve">ighly </w:t>
            </w:r>
            <w:r w:rsidRPr="00C65032">
              <w:rPr>
                <w:sz w:val="22"/>
                <w:szCs w:val="22"/>
                <w:lang w:val="en-GB"/>
              </w:rPr>
              <w:t>P</w:t>
            </w:r>
            <w:r>
              <w:rPr>
                <w:sz w:val="22"/>
                <w:szCs w:val="22"/>
                <w:lang w:val="en-GB"/>
              </w:rPr>
              <w:t xml:space="preserve">athogenic </w:t>
            </w:r>
            <w:r w:rsidRPr="00C65032">
              <w:rPr>
                <w:sz w:val="22"/>
                <w:szCs w:val="22"/>
                <w:lang w:val="en-GB"/>
              </w:rPr>
              <w:t>A</w:t>
            </w:r>
            <w:r>
              <w:rPr>
                <w:sz w:val="22"/>
                <w:szCs w:val="22"/>
                <w:lang w:val="en-GB"/>
              </w:rPr>
              <w:t xml:space="preserve">vian </w:t>
            </w:r>
            <w:r w:rsidRPr="00C65032">
              <w:rPr>
                <w:sz w:val="22"/>
                <w:szCs w:val="22"/>
                <w:lang w:val="en-GB"/>
              </w:rPr>
              <w:t>I</w:t>
            </w:r>
            <w:r>
              <w:rPr>
                <w:sz w:val="22"/>
                <w:szCs w:val="22"/>
                <w:lang w:val="en-GB"/>
              </w:rPr>
              <w:t>nfluenza</w:t>
            </w:r>
            <w:r w:rsidRPr="00C65032">
              <w:rPr>
                <w:sz w:val="22"/>
                <w:szCs w:val="22"/>
                <w:lang w:val="en-GB"/>
              </w:rPr>
              <w:t xml:space="preserve"> for which monitoring should be enhanced</w:t>
            </w:r>
            <w:r>
              <w:rPr>
                <w:sz w:val="22"/>
                <w:szCs w:val="22"/>
                <w:lang w:val="en-GB"/>
              </w:rPr>
              <w:t xml:space="preserve">. The advice was compiled by the invited expert Ruth Cromie. </w:t>
            </w:r>
            <w:r w:rsidRPr="00C65032">
              <w:rPr>
                <w:sz w:val="22"/>
                <w:szCs w:val="22"/>
                <w:lang w:val="en-GB"/>
              </w:rPr>
              <w:t xml:space="preserve"> </w:t>
            </w:r>
            <w:r>
              <w:rPr>
                <w:sz w:val="22"/>
                <w:szCs w:val="22"/>
                <w:lang w:val="en-GB"/>
              </w:rPr>
              <w:t xml:space="preserve"> </w:t>
            </w:r>
          </w:p>
        </w:tc>
        <w:tc>
          <w:tcPr>
            <w:tcW w:w="823" w:type="pct"/>
            <w:tcBorders>
              <w:top w:val="single" w:sz="4" w:space="0" w:color="000000"/>
              <w:left w:val="single" w:sz="4" w:space="0" w:color="000000"/>
              <w:bottom w:val="single" w:sz="4" w:space="0" w:color="auto"/>
              <w:right w:val="single" w:sz="4" w:space="0" w:color="000000"/>
            </w:tcBorders>
          </w:tcPr>
          <w:p w14:paraId="6DA141C8" w14:textId="70196F05" w:rsidR="00F3020C" w:rsidRPr="000F4DD0" w:rsidRDefault="00467F45" w:rsidP="00F3020C">
            <w:pPr>
              <w:spacing w:line="276" w:lineRule="auto"/>
              <w:rPr>
                <w:sz w:val="22"/>
                <w:szCs w:val="22"/>
                <w:lang w:val="en-GB"/>
              </w:rPr>
            </w:pPr>
            <w:r w:rsidRPr="00706451">
              <w:rPr>
                <w:sz w:val="22"/>
                <w:szCs w:val="22"/>
                <w:lang w:val="en-GB"/>
              </w:rPr>
              <w:lastRenderedPageBreak/>
              <w:t xml:space="preserve">Doc. </w:t>
            </w:r>
            <w:r w:rsidRPr="00E92717">
              <w:rPr>
                <w:sz w:val="22"/>
                <w:szCs w:val="22"/>
                <w:lang w:val="en-GB"/>
              </w:rPr>
              <w:t>AEWA/MOP9 Inf.</w:t>
            </w:r>
            <w:r>
              <w:rPr>
                <w:sz w:val="22"/>
                <w:szCs w:val="22"/>
                <w:lang w:val="en-GB"/>
              </w:rPr>
              <w:t>5</w:t>
            </w:r>
          </w:p>
        </w:tc>
      </w:tr>
      <w:tr w:rsidR="00F3020C" w:rsidRPr="00860CD7" w14:paraId="07F87258"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auto"/>
              <w:left w:val="nil"/>
              <w:bottom w:val="nil"/>
              <w:right w:val="nil"/>
            </w:tcBorders>
          </w:tcPr>
          <w:p w14:paraId="443E858F" w14:textId="77777777" w:rsidR="00F3020C" w:rsidRDefault="00F3020C" w:rsidP="00F3020C">
            <w:pPr>
              <w:spacing w:line="276" w:lineRule="auto"/>
              <w:rPr>
                <w:b/>
                <w:bCs/>
                <w:sz w:val="22"/>
                <w:szCs w:val="22"/>
                <w:lang w:val="en-GB"/>
              </w:rPr>
            </w:pPr>
          </w:p>
        </w:tc>
        <w:tc>
          <w:tcPr>
            <w:tcW w:w="2672" w:type="pct"/>
            <w:gridSpan w:val="3"/>
            <w:tcBorders>
              <w:top w:val="single" w:sz="4" w:space="0" w:color="auto"/>
              <w:left w:val="nil"/>
              <w:bottom w:val="nil"/>
              <w:right w:val="nil"/>
            </w:tcBorders>
          </w:tcPr>
          <w:p w14:paraId="2D968502" w14:textId="77777777" w:rsidR="00F3020C" w:rsidRPr="00F94BB5" w:rsidRDefault="00F3020C" w:rsidP="00F3020C">
            <w:pPr>
              <w:spacing w:line="276" w:lineRule="auto"/>
              <w:rPr>
                <w:sz w:val="22"/>
                <w:szCs w:val="22"/>
                <w:highlight w:val="magenta"/>
                <w:lang w:val="en-GB"/>
              </w:rPr>
            </w:pPr>
          </w:p>
        </w:tc>
        <w:tc>
          <w:tcPr>
            <w:tcW w:w="823" w:type="pct"/>
            <w:tcBorders>
              <w:top w:val="single" w:sz="4" w:space="0" w:color="auto"/>
              <w:left w:val="nil"/>
              <w:bottom w:val="nil"/>
              <w:right w:val="nil"/>
            </w:tcBorders>
          </w:tcPr>
          <w:p w14:paraId="02797133" w14:textId="77777777" w:rsidR="00F3020C" w:rsidRPr="00204413" w:rsidRDefault="00F3020C" w:rsidP="00F3020C">
            <w:pPr>
              <w:spacing w:line="276" w:lineRule="auto"/>
              <w:rPr>
                <w:sz w:val="22"/>
                <w:szCs w:val="22"/>
                <w:highlight w:val="yellow"/>
                <w:lang w:val="en-GB"/>
              </w:rPr>
            </w:pPr>
          </w:p>
        </w:tc>
      </w:tr>
      <w:tr w:rsidR="00F3020C" w:rsidRPr="00860CD7" w14:paraId="08224F32" w14:textId="77777777" w:rsidTr="008E1311">
        <w:trPr>
          <w:trHeight w:val="570"/>
        </w:trPr>
        <w:tc>
          <w:tcPr>
            <w:tcW w:w="5000" w:type="pct"/>
            <w:gridSpan w:val="5"/>
            <w:shd w:val="clear" w:color="auto" w:fill="FFF2CC" w:themeFill="accent4" w:themeFillTint="33"/>
            <w:vAlign w:val="center"/>
            <w:hideMark/>
          </w:tcPr>
          <w:p w14:paraId="61475204" w14:textId="77777777" w:rsidR="00F3020C" w:rsidRPr="00860CD7" w:rsidRDefault="00F3020C" w:rsidP="00F3020C">
            <w:pPr>
              <w:keepNext/>
              <w:spacing w:line="276" w:lineRule="auto"/>
              <w:ind w:right="-250"/>
              <w:rPr>
                <w:b/>
                <w:sz w:val="22"/>
                <w:szCs w:val="22"/>
                <w:lang w:val="en-GB"/>
              </w:rPr>
            </w:pPr>
            <w:r w:rsidRPr="000A7EC8">
              <w:rPr>
                <w:b/>
                <w:color w:val="2F5496" w:themeColor="accent1" w:themeShade="BF"/>
                <w:lang w:val="en-GB"/>
              </w:rPr>
              <w:t>Habitat conservation (Working Group 3)</w:t>
            </w:r>
          </w:p>
        </w:tc>
      </w:tr>
      <w:tr w:rsidR="00F3020C" w:rsidRPr="00860CD7" w14:paraId="02C56861"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rHeight w:val="632"/>
          <w:tblHeader/>
        </w:trPr>
        <w:tc>
          <w:tcPr>
            <w:tcW w:w="1505" w:type="pct"/>
            <w:tcBorders>
              <w:top w:val="single" w:sz="4" w:space="0" w:color="000000"/>
              <w:left w:val="single" w:sz="4" w:space="0" w:color="000000"/>
              <w:bottom w:val="single" w:sz="4" w:space="0" w:color="000000"/>
              <w:right w:val="single" w:sz="4" w:space="0" w:color="000000"/>
            </w:tcBorders>
            <w:shd w:val="clear" w:color="auto" w:fill="F2F2F2"/>
            <w:hideMark/>
          </w:tcPr>
          <w:p w14:paraId="2744DD00" w14:textId="77777777" w:rsidR="00F3020C" w:rsidRPr="00860CD7" w:rsidRDefault="00F3020C" w:rsidP="00F3020C">
            <w:pPr>
              <w:keepNext/>
              <w:spacing w:line="276" w:lineRule="auto"/>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tcPr>
          <w:p w14:paraId="17DF0672" w14:textId="77777777" w:rsidR="00F3020C" w:rsidRPr="00555884" w:rsidRDefault="00F3020C" w:rsidP="00F3020C">
            <w:pPr>
              <w:keepNext/>
              <w:spacing w:line="276" w:lineRule="auto"/>
              <w:rPr>
                <w:b/>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cPr>
          <w:p w14:paraId="6206F4CA" w14:textId="77777777" w:rsidR="00F3020C" w:rsidRPr="00555884" w:rsidRDefault="00F3020C" w:rsidP="00F3020C">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cPr>
          <w:p w14:paraId="3FE9DE1F" w14:textId="77777777" w:rsidR="00F3020C" w:rsidRPr="00555884" w:rsidRDefault="00F3020C" w:rsidP="00F3020C">
            <w:pPr>
              <w:keepNext/>
              <w:spacing w:line="276" w:lineRule="auto"/>
              <w:rPr>
                <w:b/>
                <w:sz w:val="22"/>
                <w:szCs w:val="22"/>
                <w:lang w:val="en-GB"/>
              </w:rPr>
            </w:pPr>
            <w:r w:rsidRPr="002C2F9E">
              <w:rPr>
                <w:b/>
                <w:sz w:val="22"/>
                <w:szCs w:val="22"/>
                <w:lang w:val="en-GB"/>
              </w:rPr>
              <w:t>Actions undertaken by the TC</w:t>
            </w:r>
          </w:p>
        </w:tc>
        <w:tc>
          <w:tcPr>
            <w:tcW w:w="823" w:type="pct"/>
            <w:tcBorders>
              <w:top w:val="single" w:sz="4" w:space="0" w:color="000000"/>
              <w:left w:val="single" w:sz="4" w:space="0" w:color="000000"/>
              <w:bottom w:val="single" w:sz="4" w:space="0" w:color="000000"/>
              <w:right w:val="single" w:sz="4" w:space="0" w:color="000000"/>
            </w:tcBorders>
            <w:shd w:val="clear" w:color="auto" w:fill="F2F2F2"/>
            <w:hideMark/>
          </w:tcPr>
          <w:p w14:paraId="09FB24F4" w14:textId="7033A0DB" w:rsidR="00F3020C" w:rsidRPr="00555884" w:rsidRDefault="00F3020C" w:rsidP="00F3020C">
            <w:pPr>
              <w:keepNext/>
              <w:spacing w:line="276" w:lineRule="auto"/>
              <w:rPr>
                <w:b/>
                <w:sz w:val="22"/>
                <w:szCs w:val="22"/>
                <w:lang w:val="en-GB"/>
              </w:rPr>
            </w:pPr>
            <w:r w:rsidRPr="00555884">
              <w:rPr>
                <w:b/>
                <w:sz w:val="22"/>
                <w:szCs w:val="22"/>
                <w:lang w:val="en-GB"/>
              </w:rPr>
              <w:t>Relevant MOP</w:t>
            </w:r>
            <w:r w:rsidR="0032185B">
              <w:rPr>
                <w:b/>
                <w:sz w:val="22"/>
                <w:szCs w:val="22"/>
                <w:lang w:val="en-GB"/>
              </w:rPr>
              <w:t>9</w:t>
            </w:r>
            <w:r w:rsidRPr="00555884">
              <w:rPr>
                <w:b/>
                <w:sz w:val="22"/>
                <w:szCs w:val="22"/>
                <w:lang w:val="en-GB"/>
              </w:rPr>
              <w:t xml:space="preserve"> documents </w:t>
            </w:r>
          </w:p>
        </w:tc>
      </w:tr>
      <w:tr w:rsidR="00F3020C" w:rsidRPr="00860CD7" w14:paraId="26FDF725" w14:textId="77777777" w:rsidTr="00AA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trHeight w:val="1490"/>
        </w:trPr>
        <w:tc>
          <w:tcPr>
            <w:tcW w:w="1505" w:type="pct"/>
            <w:tcBorders>
              <w:top w:val="single" w:sz="4" w:space="0" w:color="000000"/>
              <w:left w:val="single" w:sz="4" w:space="0" w:color="000000"/>
              <w:bottom w:val="single" w:sz="4" w:space="0" w:color="000000"/>
              <w:right w:val="single" w:sz="4" w:space="0" w:color="000000"/>
            </w:tcBorders>
          </w:tcPr>
          <w:p w14:paraId="6A420C81" w14:textId="77777777" w:rsidR="00F3020C" w:rsidRDefault="00F3020C" w:rsidP="00F3020C">
            <w:pPr>
              <w:spacing w:line="276" w:lineRule="auto"/>
              <w:rPr>
                <w:b/>
                <w:sz w:val="22"/>
                <w:szCs w:val="22"/>
                <w:lang w:val="en-GB" w:eastAsia="nl-NL"/>
              </w:rPr>
            </w:pPr>
            <w:r w:rsidRPr="009A5C69">
              <w:rPr>
                <w:b/>
                <w:sz w:val="22"/>
                <w:szCs w:val="22"/>
                <w:lang w:val="en-GB" w:eastAsia="nl-NL"/>
              </w:rPr>
              <w:t>3.1. Site inventory framework</w:t>
            </w:r>
          </w:p>
          <w:p w14:paraId="02E6A4B5" w14:textId="5462EEA6" w:rsidR="00F3020C" w:rsidRDefault="000756B5" w:rsidP="00F3020C">
            <w:pPr>
              <w:spacing w:line="276" w:lineRule="auto"/>
              <w:rPr>
                <w:bCs/>
                <w:sz w:val="22"/>
                <w:szCs w:val="22"/>
                <w:lang w:val="en-GB" w:eastAsia="nl-NL"/>
              </w:rPr>
            </w:pPr>
            <w:r>
              <w:rPr>
                <w:bCs/>
                <w:sz w:val="22"/>
                <w:szCs w:val="22"/>
                <w:lang w:val="en-GB" w:eastAsia="nl-NL"/>
              </w:rPr>
              <w:t>R</w:t>
            </w:r>
            <w:r w:rsidRPr="000756B5">
              <w:rPr>
                <w:bCs/>
                <w:sz w:val="22"/>
                <w:szCs w:val="22"/>
                <w:lang w:val="en-GB" w:eastAsia="nl-NL"/>
              </w:rPr>
              <w:t xml:space="preserve">eviewing submissions of </w:t>
            </w:r>
            <w:r>
              <w:rPr>
                <w:bCs/>
                <w:sz w:val="22"/>
                <w:szCs w:val="22"/>
                <w:lang w:val="en-GB" w:eastAsia="nl-NL"/>
              </w:rPr>
              <w:t xml:space="preserve">national site </w:t>
            </w:r>
            <w:r w:rsidRPr="000756B5">
              <w:rPr>
                <w:bCs/>
                <w:sz w:val="22"/>
                <w:szCs w:val="22"/>
                <w:lang w:val="en-GB" w:eastAsia="nl-NL"/>
              </w:rPr>
              <w:t>inventories by Contracting Parties (</w:t>
            </w:r>
            <w:r w:rsidRPr="000756B5">
              <w:rPr>
                <w:bCs/>
                <w:i/>
                <w:iCs/>
                <w:sz w:val="22"/>
                <w:szCs w:val="22"/>
                <w:lang w:val="en-GB" w:eastAsia="nl-NL"/>
              </w:rPr>
              <w:t>carried over from Work Plan 2019-2021/2022</w:t>
            </w:r>
            <w:r w:rsidRPr="000756B5">
              <w:rPr>
                <w:bCs/>
                <w:sz w:val="22"/>
                <w:szCs w:val="22"/>
                <w:lang w:val="en-GB" w:eastAsia="nl-NL"/>
              </w:rPr>
              <w:t>)</w:t>
            </w:r>
            <w:r w:rsidR="00F3020C" w:rsidRPr="009A5C69">
              <w:rPr>
                <w:bCs/>
                <w:sz w:val="22"/>
                <w:szCs w:val="22"/>
                <w:lang w:val="en-GB" w:eastAsia="nl-NL"/>
              </w:rPr>
              <w:t>. (</w:t>
            </w:r>
            <w:r w:rsidR="00F3020C" w:rsidRPr="009A5C69">
              <w:rPr>
                <w:bCs/>
                <w:i/>
                <w:iCs/>
                <w:sz w:val="22"/>
                <w:szCs w:val="22"/>
                <w:lang w:val="en-GB" w:eastAsia="nl-NL"/>
              </w:rPr>
              <w:t>Strategic Plan 2019-2027</w:t>
            </w:r>
            <w:r w:rsidR="00F3020C" w:rsidRPr="009A5C69">
              <w:rPr>
                <w:bCs/>
                <w:sz w:val="22"/>
                <w:szCs w:val="22"/>
                <w:lang w:val="en-GB" w:eastAsia="nl-NL"/>
              </w:rPr>
              <w:t>)</w:t>
            </w:r>
          </w:p>
          <w:p w14:paraId="65497730" w14:textId="77777777" w:rsidR="00F3020C" w:rsidRPr="009A5C69" w:rsidRDefault="00F3020C" w:rsidP="00F3020C">
            <w:pPr>
              <w:spacing w:line="276" w:lineRule="auto"/>
              <w:rPr>
                <w:bCs/>
                <w:sz w:val="22"/>
                <w:szCs w:val="22"/>
                <w:lang w:val="en-GB" w:eastAsia="nl-NL"/>
              </w:rPr>
            </w:pP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4E6E5890" w14:textId="77777777" w:rsidR="00F3020C" w:rsidRDefault="00F3020C" w:rsidP="00F3020C">
            <w:pPr>
              <w:spacing w:line="276" w:lineRule="auto"/>
              <w:rPr>
                <w:bCs/>
                <w:sz w:val="22"/>
                <w:szCs w:val="22"/>
                <w:lang w:val="en-GB" w:eastAsia="nl-NL"/>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7A485AE9" w14:textId="4AC272A2" w:rsidR="00F3020C" w:rsidRPr="000756B5" w:rsidRDefault="000756B5" w:rsidP="00F3020C">
            <w:pPr>
              <w:spacing w:line="276" w:lineRule="auto"/>
              <w:rPr>
                <w:b/>
                <w:bCs/>
                <w:sz w:val="22"/>
                <w:szCs w:val="22"/>
                <w:lang w:val="en-GB" w:eastAsia="nl-NL"/>
              </w:rPr>
            </w:pPr>
            <w:r w:rsidRPr="000756B5">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60D3B3F2" w14:textId="21F120D0" w:rsidR="00F3020C" w:rsidRPr="00A960A9" w:rsidRDefault="000756B5" w:rsidP="00F3020C">
            <w:pPr>
              <w:spacing w:line="276" w:lineRule="auto"/>
              <w:rPr>
                <w:i/>
                <w:sz w:val="22"/>
                <w:szCs w:val="22"/>
                <w:lang w:val="en-GB"/>
              </w:rPr>
            </w:pPr>
            <w:r>
              <w:rPr>
                <w:bCs/>
                <w:sz w:val="22"/>
                <w:szCs w:val="22"/>
                <w:lang w:val="en-GB" w:eastAsia="nl-NL"/>
              </w:rPr>
              <w:t>Due to the ack of further submissions from Contracting Parties in the period 2023-2025 and the insufficient capacity of the Secretariat to administer the work on this topic with respect to previously submitted inventories, this task was not implemented. It will be</w:t>
            </w:r>
            <w:r w:rsidR="00AA3281" w:rsidRPr="004B0758">
              <w:rPr>
                <w:sz w:val="22"/>
                <w:szCs w:val="22"/>
                <w:lang w:val="en-GB"/>
              </w:rPr>
              <w:t xml:space="preserve"> carried over to the next triennium.</w:t>
            </w:r>
          </w:p>
        </w:tc>
        <w:tc>
          <w:tcPr>
            <w:tcW w:w="823" w:type="pct"/>
            <w:tcBorders>
              <w:top w:val="single" w:sz="4" w:space="0" w:color="000000"/>
              <w:left w:val="single" w:sz="4" w:space="0" w:color="000000"/>
              <w:bottom w:val="single" w:sz="4" w:space="0" w:color="000000"/>
              <w:right w:val="single" w:sz="4" w:space="0" w:color="000000"/>
            </w:tcBorders>
          </w:tcPr>
          <w:p w14:paraId="34AB3430" w14:textId="46F7B3F8" w:rsidR="00F3020C" w:rsidRPr="00860CD7" w:rsidRDefault="000756B5" w:rsidP="00F3020C">
            <w:pPr>
              <w:spacing w:line="276" w:lineRule="auto"/>
              <w:rPr>
                <w:sz w:val="22"/>
                <w:szCs w:val="22"/>
                <w:lang w:val="en-GB"/>
              </w:rPr>
            </w:pPr>
            <w:r>
              <w:rPr>
                <w:sz w:val="22"/>
                <w:szCs w:val="22"/>
                <w:lang w:val="en-GB"/>
              </w:rPr>
              <w:t>--</w:t>
            </w:r>
          </w:p>
        </w:tc>
      </w:tr>
      <w:tr w:rsidR="00F3020C" w:rsidRPr="00860CD7" w14:paraId="35CBB092" w14:textId="77777777" w:rsidTr="00075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77FF1AE2" w14:textId="77777777" w:rsidR="00F3020C" w:rsidRPr="009A5C69" w:rsidRDefault="00F3020C" w:rsidP="00F3020C">
            <w:pPr>
              <w:spacing w:line="276" w:lineRule="auto"/>
              <w:rPr>
                <w:b/>
                <w:sz w:val="22"/>
                <w:szCs w:val="22"/>
                <w:lang w:val="en-GB" w:eastAsia="nl-NL"/>
              </w:rPr>
            </w:pPr>
            <w:r w:rsidRPr="009A5C69">
              <w:rPr>
                <w:b/>
                <w:sz w:val="22"/>
                <w:szCs w:val="22"/>
                <w:lang w:val="en-GB" w:eastAsia="nl-NL"/>
              </w:rPr>
              <w:t>3.2. Site monitoring framework</w:t>
            </w:r>
          </w:p>
          <w:p w14:paraId="10B74525" w14:textId="06637A08" w:rsidR="00F3020C" w:rsidRPr="009A5C69" w:rsidRDefault="000756B5" w:rsidP="00F3020C">
            <w:pPr>
              <w:spacing w:line="276" w:lineRule="auto"/>
              <w:rPr>
                <w:bCs/>
                <w:sz w:val="22"/>
                <w:szCs w:val="22"/>
                <w:lang w:val="en-GB" w:eastAsia="nl-NL"/>
              </w:rPr>
            </w:pPr>
            <w:r w:rsidRPr="000756B5">
              <w:rPr>
                <w:bCs/>
                <w:sz w:val="22"/>
                <w:szCs w:val="22"/>
                <w:lang w:val="en-GB" w:eastAsia="nl-NL"/>
              </w:rPr>
              <w:t>Develop the monitoring protocol, including data entry tools, set out in the Site Monitoring Framework adopted by MOP8 and, where appropriate, guidance for Contracting Parties on reporting on the status of, threats to, and the effectiveness of conservation measures at their flyway network sites</w:t>
            </w:r>
            <w:r>
              <w:rPr>
                <w:bCs/>
                <w:sz w:val="22"/>
                <w:szCs w:val="22"/>
                <w:lang w:val="en-GB" w:eastAsia="nl-NL"/>
              </w:rPr>
              <w:t>.</w:t>
            </w:r>
            <w:r w:rsidRPr="000756B5">
              <w:rPr>
                <w:bCs/>
                <w:sz w:val="22"/>
                <w:szCs w:val="22"/>
                <w:lang w:val="en-GB" w:eastAsia="nl-NL"/>
              </w:rPr>
              <w:t xml:space="preserve"> (</w:t>
            </w:r>
            <w:r w:rsidRPr="000756B5">
              <w:rPr>
                <w:bCs/>
                <w:i/>
                <w:iCs/>
                <w:sz w:val="22"/>
                <w:szCs w:val="22"/>
                <w:lang w:val="en-GB" w:eastAsia="nl-NL"/>
              </w:rPr>
              <w:t>Strategic Plan 2019-2027; Resolution 8.6</w:t>
            </w:r>
            <w:r w:rsidRPr="000756B5">
              <w:rPr>
                <w:bCs/>
                <w:sz w:val="22"/>
                <w:szCs w:val="22"/>
                <w:lang w:val="en-GB" w:eastAsia="nl-NL"/>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61E4456D" w14:textId="77777777" w:rsidR="00F3020C" w:rsidRDefault="00F3020C" w:rsidP="00F3020C">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0D484E27" w14:textId="3B6FBC2C" w:rsidR="00F3020C" w:rsidRPr="00860CD7" w:rsidRDefault="000756B5" w:rsidP="00F3020C">
            <w:pPr>
              <w:spacing w:line="276" w:lineRule="auto"/>
              <w:rPr>
                <w:sz w:val="22"/>
                <w:szCs w:val="22"/>
                <w:lang w:val="en-GB"/>
              </w:rPr>
            </w:pPr>
            <w:r w:rsidRPr="000756B5">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29C9753B" w14:textId="05E1C1F0" w:rsidR="00F3020C" w:rsidRDefault="00AA3281" w:rsidP="00F3020C">
            <w:pPr>
              <w:spacing w:line="276" w:lineRule="auto"/>
              <w:rPr>
                <w:sz w:val="22"/>
                <w:szCs w:val="22"/>
                <w:lang w:val="en-GB"/>
              </w:rPr>
            </w:pPr>
            <w:r>
              <w:rPr>
                <w:sz w:val="22"/>
                <w:szCs w:val="22"/>
                <w:lang w:val="en-GB"/>
              </w:rPr>
              <w:t>Draft Terms of Reference for the implementation of this task were compiled and agreed by the Technical Committee at its 19</w:t>
            </w:r>
            <w:r w:rsidRPr="00AA3281">
              <w:rPr>
                <w:sz w:val="22"/>
                <w:szCs w:val="22"/>
                <w:vertAlign w:val="superscript"/>
                <w:lang w:val="en-GB"/>
              </w:rPr>
              <w:t>th</w:t>
            </w:r>
            <w:r>
              <w:rPr>
                <w:sz w:val="22"/>
                <w:szCs w:val="22"/>
                <w:lang w:val="en-GB"/>
              </w:rPr>
              <w:t xml:space="preserve"> meeting in March 2024, which was subsequently consulted with the Parties.</w:t>
            </w:r>
          </w:p>
          <w:p w14:paraId="7E2E8BB9" w14:textId="77777777" w:rsidR="00AA3281" w:rsidRDefault="00AA3281" w:rsidP="00F3020C">
            <w:pPr>
              <w:spacing w:line="276" w:lineRule="auto"/>
              <w:rPr>
                <w:sz w:val="22"/>
                <w:szCs w:val="22"/>
                <w:lang w:val="en-GB"/>
              </w:rPr>
            </w:pPr>
          </w:p>
          <w:p w14:paraId="411B8A41" w14:textId="30D85C05" w:rsidR="00AA3281" w:rsidRDefault="00AA3281" w:rsidP="00F3020C">
            <w:pPr>
              <w:spacing w:line="276" w:lineRule="auto"/>
              <w:rPr>
                <w:sz w:val="22"/>
                <w:szCs w:val="22"/>
                <w:lang w:val="en-GB"/>
              </w:rPr>
            </w:pPr>
            <w:r>
              <w:rPr>
                <w:sz w:val="22"/>
                <w:szCs w:val="22"/>
                <w:lang w:val="en-GB"/>
              </w:rPr>
              <w:t xml:space="preserve">Due to the lack of funding, the implementation of this task could not be outsourced. </w:t>
            </w:r>
            <w:r>
              <w:rPr>
                <w:bCs/>
                <w:sz w:val="22"/>
                <w:szCs w:val="22"/>
                <w:lang w:val="en-GB" w:eastAsia="nl-NL"/>
              </w:rPr>
              <w:t>It will be</w:t>
            </w:r>
            <w:r w:rsidRPr="004B0758">
              <w:rPr>
                <w:sz w:val="22"/>
                <w:szCs w:val="22"/>
                <w:lang w:val="en-GB"/>
              </w:rPr>
              <w:t xml:space="preserve"> carried over </w:t>
            </w:r>
            <w:r>
              <w:rPr>
                <w:sz w:val="22"/>
                <w:szCs w:val="22"/>
                <w:lang w:val="en-GB"/>
              </w:rPr>
              <w:t xml:space="preserve">for implementation in </w:t>
            </w:r>
            <w:r w:rsidRPr="004B0758">
              <w:rPr>
                <w:sz w:val="22"/>
                <w:szCs w:val="22"/>
                <w:lang w:val="en-GB"/>
              </w:rPr>
              <w:t>the next triennium</w:t>
            </w:r>
            <w:r>
              <w:rPr>
                <w:sz w:val="22"/>
                <w:szCs w:val="22"/>
                <w:lang w:val="en-GB"/>
              </w:rPr>
              <w:t>, funding permitting</w:t>
            </w:r>
            <w:r w:rsidRPr="004B0758">
              <w:rPr>
                <w:sz w:val="22"/>
                <w:szCs w:val="22"/>
                <w:lang w:val="en-GB"/>
              </w:rPr>
              <w:t>.</w:t>
            </w:r>
          </w:p>
          <w:p w14:paraId="330786CE" w14:textId="78C35BC2" w:rsidR="00AA3281" w:rsidRPr="000C2586" w:rsidRDefault="00AA3281" w:rsidP="00F3020C">
            <w:pPr>
              <w:spacing w:line="276" w:lineRule="auto"/>
              <w:rPr>
                <w:sz w:val="22"/>
                <w:szCs w:val="22"/>
                <w:lang w:val="en-GB"/>
              </w:rPr>
            </w:pPr>
          </w:p>
        </w:tc>
        <w:tc>
          <w:tcPr>
            <w:tcW w:w="823" w:type="pct"/>
            <w:tcBorders>
              <w:top w:val="single" w:sz="4" w:space="0" w:color="000000"/>
              <w:left w:val="single" w:sz="4" w:space="0" w:color="000000"/>
              <w:bottom w:val="single" w:sz="4" w:space="0" w:color="000000"/>
              <w:right w:val="single" w:sz="4" w:space="0" w:color="000000"/>
            </w:tcBorders>
          </w:tcPr>
          <w:p w14:paraId="0D37EEAA" w14:textId="3043460F" w:rsidR="00F3020C" w:rsidRPr="00860CD7" w:rsidRDefault="00AA3281" w:rsidP="00F3020C">
            <w:pPr>
              <w:spacing w:line="276" w:lineRule="auto"/>
              <w:rPr>
                <w:sz w:val="22"/>
                <w:szCs w:val="22"/>
                <w:lang w:val="en-GB"/>
              </w:rPr>
            </w:pPr>
            <w:r>
              <w:rPr>
                <w:sz w:val="22"/>
                <w:szCs w:val="22"/>
                <w:lang w:val="en-GB"/>
              </w:rPr>
              <w:t>--</w:t>
            </w:r>
          </w:p>
        </w:tc>
      </w:tr>
      <w:tr w:rsidR="00F3020C" w:rsidRPr="00860CD7" w14:paraId="4A6F158A" w14:textId="77777777" w:rsidTr="00075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auto"/>
              <w:right w:val="single" w:sz="4" w:space="0" w:color="000000"/>
            </w:tcBorders>
            <w:hideMark/>
          </w:tcPr>
          <w:p w14:paraId="6241AF72" w14:textId="77777777" w:rsidR="00F3020C" w:rsidRPr="009A5C69" w:rsidRDefault="00F3020C" w:rsidP="00F3020C">
            <w:pPr>
              <w:spacing w:line="276" w:lineRule="auto"/>
              <w:rPr>
                <w:b/>
                <w:sz w:val="22"/>
                <w:szCs w:val="22"/>
                <w:lang w:val="en-GB" w:eastAsia="nl-NL"/>
              </w:rPr>
            </w:pPr>
            <w:r w:rsidRPr="009A5C69">
              <w:rPr>
                <w:b/>
                <w:sz w:val="22"/>
                <w:szCs w:val="22"/>
                <w:lang w:val="en-GB" w:eastAsia="nl-NL"/>
              </w:rPr>
              <w:lastRenderedPageBreak/>
              <w:t>3.3. Status of principal waterbird habitats</w:t>
            </w:r>
          </w:p>
          <w:p w14:paraId="0CF4A386" w14:textId="7896BA3B" w:rsidR="00F3020C" w:rsidRDefault="00F3020C" w:rsidP="00F3020C">
            <w:pPr>
              <w:spacing w:line="276" w:lineRule="auto"/>
              <w:rPr>
                <w:bCs/>
                <w:sz w:val="22"/>
                <w:szCs w:val="22"/>
                <w:lang w:val="en-GB" w:eastAsia="nl-NL"/>
              </w:rPr>
            </w:pPr>
            <w:r w:rsidRPr="009A5C69">
              <w:rPr>
                <w:bCs/>
                <w:sz w:val="22"/>
                <w:szCs w:val="22"/>
                <w:lang w:val="en-GB" w:eastAsia="nl-NL"/>
              </w:rPr>
              <w:t>Conduct Agreement-level assessment of the status of principal waterbird habitats in the wider environment, drawing on existing studies wherever possible</w:t>
            </w:r>
            <w:r w:rsidR="000756B5">
              <w:rPr>
                <w:bCs/>
                <w:sz w:val="22"/>
                <w:szCs w:val="22"/>
                <w:lang w:val="en-GB" w:eastAsia="nl-NL"/>
              </w:rPr>
              <w:t xml:space="preserve"> </w:t>
            </w:r>
            <w:r w:rsidR="000756B5" w:rsidRPr="000756B5">
              <w:rPr>
                <w:bCs/>
                <w:sz w:val="22"/>
                <w:szCs w:val="22"/>
                <w:lang w:val="en-GB" w:eastAsia="nl-NL"/>
              </w:rPr>
              <w:t>(</w:t>
            </w:r>
            <w:r w:rsidR="000756B5" w:rsidRPr="000756B5">
              <w:rPr>
                <w:bCs/>
                <w:i/>
                <w:iCs/>
                <w:sz w:val="22"/>
                <w:szCs w:val="22"/>
                <w:lang w:val="en-GB" w:eastAsia="nl-NL"/>
              </w:rPr>
              <w:t>carried over from Work Plan 2019-2021/2022</w:t>
            </w:r>
            <w:r w:rsidR="000756B5" w:rsidRPr="000756B5">
              <w:rPr>
                <w:bCs/>
                <w:sz w:val="22"/>
                <w:szCs w:val="22"/>
                <w:lang w:val="en-GB" w:eastAsia="nl-NL"/>
              </w:rPr>
              <w:t>)</w:t>
            </w:r>
            <w:r>
              <w:rPr>
                <w:bCs/>
                <w:sz w:val="22"/>
                <w:szCs w:val="22"/>
                <w:lang w:val="en-GB" w:eastAsia="nl-NL"/>
              </w:rPr>
              <w:t>.</w:t>
            </w:r>
            <w:r w:rsidRPr="009A5C69">
              <w:rPr>
                <w:bCs/>
                <w:sz w:val="22"/>
                <w:szCs w:val="22"/>
                <w:lang w:val="en-GB" w:eastAsia="nl-NL"/>
              </w:rPr>
              <w:t xml:space="preserve"> </w:t>
            </w:r>
            <w:r w:rsidR="000756B5" w:rsidRPr="000756B5">
              <w:rPr>
                <w:bCs/>
                <w:sz w:val="22"/>
                <w:szCs w:val="22"/>
                <w:lang w:val="en-GB" w:eastAsia="nl-NL"/>
              </w:rPr>
              <w:t>(</w:t>
            </w:r>
            <w:r w:rsidR="000756B5" w:rsidRPr="000756B5">
              <w:rPr>
                <w:bCs/>
                <w:i/>
                <w:iCs/>
                <w:sz w:val="22"/>
                <w:szCs w:val="22"/>
                <w:lang w:val="en-GB" w:eastAsia="nl-NL"/>
              </w:rPr>
              <w:t>Strategic Plan 2019-2027</w:t>
            </w:r>
            <w:r w:rsidR="000756B5" w:rsidRPr="000756B5">
              <w:rPr>
                <w:bCs/>
                <w:sz w:val="22"/>
                <w:szCs w:val="22"/>
                <w:lang w:val="en-GB" w:eastAsia="nl-NL"/>
              </w:rPr>
              <w:t>) (</w:t>
            </w:r>
            <w:r w:rsidR="000756B5" w:rsidRPr="000756B5">
              <w:rPr>
                <w:bCs/>
                <w:sz w:val="22"/>
                <w:szCs w:val="22"/>
                <w:u w:val="single"/>
                <w:lang w:val="en-GB" w:eastAsia="nl-NL"/>
              </w:rPr>
              <w:t>A joint project with CMS and Raptors MoU covering all relevant bird taxa and respective habitats in the African-Eurasian flyways</w:t>
            </w:r>
            <w:r w:rsidR="000756B5" w:rsidRPr="000756B5">
              <w:rPr>
                <w:bCs/>
                <w:sz w:val="22"/>
                <w:szCs w:val="22"/>
                <w:lang w:val="en-GB" w:eastAsia="nl-NL"/>
              </w:rPr>
              <w:t>)</w:t>
            </w:r>
          </w:p>
          <w:p w14:paraId="20320FDE" w14:textId="77777777" w:rsidR="00F3020C" w:rsidRPr="00860CD7" w:rsidRDefault="00F3020C" w:rsidP="00F3020C">
            <w:pPr>
              <w:spacing w:line="276" w:lineRule="auto"/>
              <w:rPr>
                <w:sz w:val="22"/>
                <w:szCs w:val="22"/>
                <w:lang w:val="en-GB" w:eastAsia="nl-NL"/>
              </w:rPr>
            </w:pPr>
          </w:p>
        </w:tc>
        <w:tc>
          <w:tcPr>
            <w:tcW w:w="361" w:type="pct"/>
            <w:tcBorders>
              <w:top w:val="single" w:sz="4" w:space="0" w:color="000000"/>
              <w:left w:val="single" w:sz="4" w:space="0" w:color="000000"/>
              <w:bottom w:val="single" w:sz="4" w:space="0" w:color="auto"/>
              <w:right w:val="single" w:sz="4" w:space="0" w:color="000000"/>
            </w:tcBorders>
            <w:shd w:val="clear" w:color="auto" w:fill="FF9999"/>
          </w:tcPr>
          <w:p w14:paraId="3B97765D" w14:textId="77777777" w:rsidR="00F3020C" w:rsidRDefault="00F3020C" w:rsidP="00F3020C">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auto"/>
              <w:right w:val="single" w:sz="4" w:space="0" w:color="000000"/>
            </w:tcBorders>
            <w:shd w:val="clear" w:color="auto" w:fill="FF5050"/>
          </w:tcPr>
          <w:p w14:paraId="3CA4A8E6" w14:textId="3E641207" w:rsidR="00F3020C" w:rsidRPr="00CB2ABB" w:rsidRDefault="000756B5" w:rsidP="00F3020C">
            <w:pPr>
              <w:spacing w:line="276" w:lineRule="auto"/>
              <w:rPr>
                <w:b/>
                <w:bCs/>
                <w:sz w:val="22"/>
                <w:szCs w:val="22"/>
                <w:lang w:val="en-GB"/>
              </w:rPr>
            </w:pPr>
            <w:r w:rsidRPr="000756B5">
              <w:rPr>
                <w:b/>
                <w:bCs/>
                <w:sz w:val="22"/>
                <w:szCs w:val="22"/>
                <w:lang w:val="en-GB"/>
              </w:rPr>
              <w:t>Not implemented</w:t>
            </w:r>
          </w:p>
        </w:tc>
        <w:tc>
          <w:tcPr>
            <w:tcW w:w="1629" w:type="pct"/>
            <w:tcBorders>
              <w:top w:val="single" w:sz="4" w:space="0" w:color="000000"/>
              <w:left w:val="single" w:sz="4" w:space="0" w:color="000000"/>
              <w:bottom w:val="single" w:sz="4" w:space="0" w:color="auto"/>
              <w:right w:val="single" w:sz="4" w:space="0" w:color="000000"/>
            </w:tcBorders>
          </w:tcPr>
          <w:p w14:paraId="7E8ED659" w14:textId="0A8CAA83" w:rsidR="00AA3281" w:rsidRDefault="000756B5" w:rsidP="00AA3281">
            <w:pPr>
              <w:spacing w:line="276" w:lineRule="auto"/>
              <w:rPr>
                <w:sz w:val="22"/>
                <w:szCs w:val="22"/>
                <w:lang w:val="en-GB"/>
              </w:rPr>
            </w:pPr>
            <w:r>
              <w:rPr>
                <w:sz w:val="22"/>
                <w:szCs w:val="22"/>
                <w:lang w:val="en-GB"/>
              </w:rPr>
              <w:t xml:space="preserve">Due to the lack of funding, the implementation of this task could not be outsourced. </w:t>
            </w:r>
            <w:r w:rsidR="00AA3281" w:rsidRPr="00AA3281">
              <w:rPr>
                <w:bCs/>
                <w:sz w:val="22"/>
                <w:szCs w:val="22"/>
                <w:lang w:val="en-GB" w:eastAsia="nl-NL"/>
              </w:rPr>
              <w:t>It will be carried over for implementation in the next triennium, funding permitting.</w:t>
            </w:r>
          </w:p>
          <w:p w14:paraId="094AD52D" w14:textId="48C21117" w:rsidR="00F3020C" w:rsidRPr="000C2586" w:rsidRDefault="00F3020C" w:rsidP="00F3020C">
            <w:pPr>
              <w:spacing w:line="276" w:lineRule="auto"/>
              <w:rPr>
                <w:sz w:val="22"/>
                <w:szCs w:val="22"/>
                <w:lang w:val="en-GB"/>
              </w:rPr>
            </w:pPr>
          </w:p>
        </w:tc>
        <w:tc>
          <w:tcPr>
            <w:tcW w:w="823" w:type="pct"/>
            <w:tcBorders>
              <w:top w:val="single" w:sz="4" w:space="0" w:color="000000"/>
              <w:left w:val="single" w:sz="4" w:space="0" w:color="000000"/>
              <w:bottom w:val="single" w:sz="4" w:space="0" w:color="auto"/>
              <w:right w:val="single" w:sz="4" w:space="0" w:color="000000"/>
            </w:tcBorders>
          </w:tcPr>
          <w:p w14:paraId="16E0D599" w14:textId="2AD69376" w:rsidR="00F3020C" w:rsidRPr="00860CD7" w:rsidRDefault="000756B5" w:rsidP="00F3020C">
            <w:pPr>
              <w:spacing w:line="276" w:lineRule="auto"/>
              <w:rPr>
                <w:sz w:val="22"/>
                <w:szCs w:val="22"/>
                <w:lang w:val="en-GB"/>
              </w:rPr>
            </w:pPr>
            <w:r>
              <w:rPr>
                <w:sz w:val="22"/>
                <w:szCs w:val="22"/>
                <w:lang w:val="en-GB"/>
              </w:rPr>
              <w:t>--</w:t>
            </w:r>
          </w:p>
        </w:tc>
      </w:tr>
      <w:tr w:rsidR="00F3020C" w:rsidRPr="00860CD7" w14:paraId="5A448A03" w14:textId="77777777" w:rsidTr="004774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auto"/>
              <w:right w:val="single" w:sz="4" w:space="0" w:color="000000"/>
            </w:tcBorders>
          </w:tcPr>
          <w:p w14:paraId="229A2980" w14:textId="77777777" w:rsidR="00F3020C" w:rsidRPr="009A5C69" w:rsidRDefault="00F3020C" w:rsidP="00F3020C">
            <w:pPr>
              <w:spacing w:line="276" w:lineRule="auto"/>
              <w:rPr>
                <w:b/>
                <w:sz w:val="22"/>
                <w:szCs w:val="22"/>
                <w:lang w:val="en-GB" w:eastAsia="nl-NL"/>
              </w:rPr>
            </w:pPr>
            <w:r w:rsidRPr="009A5C69">
              <w:rPr>
                <w:b/>
                <w:sz w:val="22"/>
                <w:szCs w:val="22"/>
                <w:lang w:val="en-GB" w:eastAsia="nl-NL"/>
              </w:rPr>
              <w:t>3.4 Sea-level rise impact</w:t>
            </w:r>
          </w:p>
          <w:p w14:paraId="0F36C93A" w14:textId="77777777" w:rsidR="00F3020C" w:rsidRPr="009A5C69" w:rsidRDefault="00F3020C" w:rsidP="00F3020C">
            <w:pPr>
              <w:spacing w:line="276" w:lineRule="auto"/>
              <w:rPr>
                <w:bCs/>
                <w:sz w:val="22"/>
                <w:szCs w:val="22"/>
                <w:lang w:val="en-GB" w:eastAsia="nl-NL"/>
              </w:rPr>
            </w:pPr>
            <w:r w:rsidRPr="009A5C69">
              <w:rPr>
                <w:bCs/>
                <w:sz w:val="22"/>
                <w:szCs w:val="22"/>
                <w:lang w:val="en-GB" w:eastAsia="nl-NL"/>
              </w:rPr>
              <w:t>Increase understanding of the consequences of sea-level rise on the Critical Site Network and the waterbird populations</w:t>
            </w:r>
          </w:p>
          <w:p w14:paraId="43D2729D" w14:textId="33CCC9FD" w:rsidR="00F3020C" w:rsidRPr="00725F7F" w:rsidRDefault="00F3020C" w:rsidP="00F3020C">
            <w:pPr>
              <w:spacing w:line="276" w:lineRule="auto"/>
              <w:rPr>
                <w:bCs/>
                <w:sz w:val="22"/>
                <w:szCs w:val="22"/>
                <w:lang w:val="en-GB" w:eastAsia="nl-NL"/>
              </w:rPr>
            </w:pPr>
            <w:r w:rsidRPr="009A5C69">
              <w:rPr>
                <w:bCs/>
                <w:sz w:val="22"/>
                <w:szCs w:val="22"/>
                <w:lang w:val="en-GB" w:eastAsia="nl-NL"/>
              </w:rPr>
              <w:t>dependent on coastal habitats</w:t>
            </w:r>
            <w:r w:rsidR="0047741B">
              <w:rPr>
                <w:bCs/>
                <w:sz w:val="22"/>
                <w:szCs w:val="22"/>
                <w:lang w:val="en-GB" w:eastAsia="nl-NL"/>
              </w:rPr>
              <w:t xml:space="preserve"> </w:t>
            </w:r>
            <w:r w:rsidR="0047741B" w:rsidRPr="0047741B">
              <w:rPr>
                <w:bCs/>
                <w:sz w:val="22"/>
                <w:szCs w:val="22"/>
                <w:lang w:val="en-GB" w:eastAsia="nl-NL"/>
              </w:rPr>
              <w:t>(</w:t>
            </w:r>
            <w:r w:rsidR="0047741B" w:rsidRPr="0047741B">
              <w:rPr>
                <w:bCs/>
                <w:i/>
                <w:iCs/>
                <w:sz w:val="22"/>
                <w:szCs w:val="22"/>
                <w:lang w:val="en-GB" w:eastAsia="nl-NL"/>
              </w:rPr>
              <w:t>carried over from Work Plan 2019-2021/2022</w:t>
            </w:r>
            <w:r w:rsidR="0047741B" w:rsidRPr="0047741B">
              <w:rPr>
                <w:bCs/>
                <w:sz w:val="22"/>
                <w:szCs w:val="22"/>
                <w:lang w:val="en-GB" w:eastAsia="nl-NL"/>
              </w:rPr>
              <w:t>)</w:t>
            </w:r>
            <w:r>
              <w:rPr>
                <w:bCs/>
                <w:sz w:val="22"/>
                <w:szCs w:val="22"/>
                <w:lang w:val="en-GB" w:eastAsia="nl-NL"/>
              </w:rPr>
              <w:t>.</w:t>
            </w:r>
            <w:r w:rsidRPr="009A5C69">
              <w:rPr>
                <w:bCs/>
                <w:sz w:val="22"/>
                <w:szCs w:val="22"/>
                <w:lang w:val="en-GB" w:eastAsia="nl-NL"/>
              </w:rPr>
              <w:t xml:space="preserve"> (</w:t>
            </w:r>
            <w:r w:rsidRPr="009A5C69">
              <w:rPr>
                <w:bCs/>
                <w:i/>
                <w:iCs/>
                <w:sz w:val="22"/>
                <w:szCs w:val="22"/>
                <w:lang w:val="en-GB" w:eastAsia="nl-NL"/>
              </w:rPr>
              <w:t>Resolution 7.9</w:t>
            </w:r>
            <w:r w:rsidRPr="009A5C69">
              <w:rPr>
                <w:bCs/>
                <w:sz w:val="22"/>
                <w:szCs w:val="22"/>
                <w:lang w:val="en-GB" w:eastAsia="nl-NL"/>
              </w:rPr>
              <w:t>)</w:t>
            </w:r>
          </w:p>
        </w:tc>
        <w:tc>
          <w:tcPr>
            <w:tcW w:w="361" w:type="pct"/>
            <w:tcBorders>
              <w:top w:val="single" w:sz="4" w:space="0" w:color="000000"/>
              <w:left w:val="single" w:sz="4" w:space="0" w:color="000000"/>
              <w:bottom w:val="single" w:sz="4" w:space="0" w:color="auto"/>
              <w:right w:val="single" w:sz="4" w:space="0" w:color="000000"/>
            </w:tcBorders>
            <w:shd w:val="clear" w:color="auto" w:fill="FFC000"/>
          </w:tcPr>
          <w:p w14:paraId="7B83C1E1" w14:textId="77777777" w:rsidR="00F3020C" w:rsidRDefault="00F3020C" w:rsidP="00F3020C">
            <w:pPr>
              <w:spacing w:line="276" w:lineRule="auto"/>
              <w:rPr>
                <w:sz w:val="22"/>
                <w:szCs w:val="22"/>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auto"/>
              <w:right w:val="single" w:sz="4" w:space="0" w:color="000000"/>
            </w:tcBorders>
            <w:shd w:val="clear" w:color="auto" w:fill="92D050"/>
          </w:tcPr>
          <w:p w14:paraId="08B1D492" w14:textId="0D8C83DD" w:rsidR="00F3020C" w:rsidRPr="0047741B" w:rsidRDefault="0047741B" w:rsidP="00F3020C">
            <w:pPr>
              <w:spacing w:line="276" w:lineRule="auto"/>
              <w:rPr>
                <w:b/>
                <w:bCs/>
                <w:sz w:val="22"/>
                <w:szCs w:val="22"/>
                <w:lang w:val="en-GB"/>
              </w:rPr>
            </w:pPr>
            <w:r w:rsidRPr="0047741B">
              <w:rPr>
                <w:b/>
                <w:bCs/>
                <w:sz w:val="22"/>
                <w:szCs w:val="22"/>
                <w:lang w:val="en-GB"/>
              </w:rPr>
              <w:t>Fully implemented</w:t>
            </w:r>
          </w:p>
        </w:tc>
        <w:tc>
          <w:tcPr>
            <w:tcW w:w="1629" w:type="pct"/>
            <w:tcBorders>
              <w:top w:val="single" w:sz="4" w:space="0" w:color="000000"/>
              <w:left w:val="single" w:sz="4" w:space="0" w:color="000000"/>
              <w:bottom w:val="single" w:sz="4" w:space="0" w:color="auto"/>
              <w:right w:val="single" w:sz="4" w:space="0" w:color="000000"/>
            </w:tcBorders>
          </w:tcPr>
          <w:p w14:paraId="590A8AC8" w14:textId="77777777" w:rsidR="00F3020C" w:rsidRDefault="0019531F" w:rsidP="00F3020C">
            <w:pPr>
              <w:spacing w:line="276" w:lineRule="auto"/>
              <w:rPr>
                <w:sz w:val="22"/>
                <w:szCs w:val="22"/>
                <w:lang w:val="en-GB"/>
              </w:rPr>
            </w:pPr>
            <w:r w:rsidRPr="0019531F">
              <w:rPr>
                <w:sz w:val="22"/>
                <w:szCs w:val="22"/>
                <w:lang w:val="en-GB"/>
              </w:rPr>
              <w:t xml:space="preserve">David Stroud, as invited expert to the Technical Committee, compiled </w:t>
            </w:r>
            <w:r>
              <w:rPr>
                <w:sz w:val="22"/>
                <w:szCs w:val="22"/>
                <w:lang w:val="en-GB"/>
              </w:rPr>
              <w:t xml:space="preserve">a </w:t>
            </w:r>
            <w:r w:rsidRPr="0019531F">
              <w:rPr>
                <w:sz w:val="22"/>
                <w:szCs w:val="22"/>
                <w:lang w:val="en-GB"/>
              </w:rPr>
              <w:t xml:space="preserve">draft </w:t>
            </w:r>
            <w:r>
              <w:rPr>
                <w:sz w:val="22"/>
                <w:szCs w:val="22"/>
                <w:lang w:val="en-GB"/>
              </w:rPr>
              <w:t>document on i</w:t>
            </w:r>
            <w:r w:rsidRPr="0019531F">
              <w:rPr>
                <w:sz w:val="22"/>
                <w:szCs w:val="22"/>
                <w:lang w:val="en-GB"/>
              </w:rPr>
              <w:t xml:space="preserve">mplications of </w:t>
            </w:r>
            <w:r>
              <w:rPr>
                <w:sz w:val="22"/>
                <w:szCs w:val="22"/>
                <w:lang w:val="en-GB"/>
              </w:rPr>
              <w:t>s</w:t>
            </w:r>
            <w:r w:rsidRPr="0019531F">
              <w:rPr>
                <w:sz w:val="22"/>
                <w:szCs w:val="22"/>
                <w:lang w:val="en-GB"/>
              </w:rPr>
              <w:t xml:space="preserve">ea-level </w:t>
            </w:r>
            <w:r>
              <w:rPr>
                <w:sz w:val="22"/>
                <w:szCs w:val="22"/>
                <w:lang w:val="en-GB"/>
              </w:rPr>
              <w:t>r</w:t>
            </w:r>
            <w:r w:rsidRPr="0019531F">
              <w:rPr>
                <w:sz w:val="22"/>
                <w:szCs w:val="22"/>
                <w:lang w:val="en-GB"/>
              </w:rPr>
              <w:t xml:space="preserve">ise for </w:t>
            </w:r>
            <w:r>
              <w:rPr>
                <w:sz w:val="22"/>
                <w:szCs w:val="22"/>
                <w:lang w:val="en-GB"/>
              </w:rPr>
              <w:t>m</w:t>
            </w:r>
            <w:r w:rsidRPr="0019531F">
              <w:rPr>
                <w:sz w:val="22"/>
                <w:szCs w:val="22"/>
                <w:lang w:val="en-GB"/>
              </w:rPr>
              <w:t xml:space="preserve">igratory </w:t>
            </w:r>
            <w:r>
              <w:rPr>
                <w:sz w:val="22"/>
                <w:szCs w:val="22"/>
                <w:lang w:val="en-GB"/>
              </w:rPr>
              <w:t>w</w:t>
            </w:r>
            <w:r w:rsidRPr="0019531F">
              <w:rPr>
                <w:sz w:val="22"/>
                <w:szCs w:val="22"/>
                <w:lang w:val="en-GB"/>
              </w:rPr>
              <w:t xml:space="preserve">aterbirds and </w:t>
            </w:r>
            <w:r>
              <w:rPr>
                <w:sz w:val="22"/>
                <w:szCs w:val="22"/>
                <w:lang w:val="en-GB"/>
              </w:rPr>
              <w:t>r</w:t>
            </w:r>
            <w:r w:rsidRPr="0019531F">
              <w:rPr>
                <w:sz w:val="22"/>
                <w:szCs w:val="22"/>
                <w:lang w:val="en-GB"/>
              </w:rPr>
              <w:t xml:space="preserve">esponse </w:t>
            </w:r>
            <w:r>
              <w:rPr>
                <w:sz w:val="22"/>
                <w:szCs w:val="22"/>
                <w:lang w:val="en-GB"/>
              </w:rPr>
              <w:t>o</w:t>
            </w:r>
            <w:r w:rsidRPr="0019531F">
              <w:rPr>
                <w:sz w:val="22"/>
                <w:szCs w:val="22"/>
                <w:lang w:val="en-GB"/>
              </w:rPr>
              <w:t>ptions, which the Committee reviewed and approved at its 20</w:t>
            </w:r>
            <w:r w:rsidRPr="0019531F">
              <w:rPr>
                <w:sz w:val="22"/>
                <w:szCs w:val="22"/>
                <w:vertAlign w:val="superscript"/>
                <w:lang w:val="en-GB"/>
              </w:rPr>
              <w:t>th</w:t>
            </w:r>
            <w:r>
              <w:rPr>
                <w:sz w:val="22"/>
                <w:szCs w:val="22"/>
                <w:lang w:val="en-GB"/>
              </w:rPr>
              <w:t xml:space="preserve"> </w:t>
            </w:r>
            <w:r w:rsidRPr="0019531F">
              <w:rPr>
                <w:sz w:val="22"/>
                <w:szCs w:val="22"/>
                <w:lang w:val="en-GB"/>
              </w:rPr>
              <w:t xml:space="preserve">meeting in February 2025. </w:t>
            </w:r>
          </w:p>
          <w:p w14:paraId="7BD1A001" w14:textId="77777777" w:rsidR="0019531F" w:rsidRDefault="0019531F" w:rsidP="00F3020C">
            <w:pPr>
              <w:spacing w:line="276" w:lineRule="auto"/>
              <w:rPr>
                <w:sz w:val="22"/>
                <w:szCs w:val="22"/>
                <w:lang w:val="en-GB"/>
              </w:rPr>
            </w:pPr>
          </w:p>
          <w:p w14:paraId="611F5962" w14:textId="56C1D8C4" w:rsidR="0019531F" w:rsidRDefault="0019531F" w:rsidP="00F3020C">
            <w:pPr>
              <w:spacing w:line="276" w:lineRule="auto"/>
              <w:rPr>
                <w:sz w:val="22"/>
                <w:szCs w:val="22"/>
                <w:lang w:val="en-GB"/>
              </w:rPr>
            </w:pPr>
            <w:r>
              <w:rPr>
                <w:sz w:val="22"/>
                <w:szCs w:val="22"/>
                <w:lang w:val="en-GB"/>
              </w:rPr>
              <w:t xml:space="preserve">The Technical Committee also compiled a draft resolution on the topics of sea-level rise and of seabirds (task 2.5 of the TC’s </w:t>
            </w:r>
            <w:r w:rsidR="00D76B0E">
              <w:rPr>
                <w:sz w:val="22"/>
                <w:szCs w:val="22"/>
                <w:lang w:val="en-GB"/>
              </w:rPr>
              <w:t>W</w:t>
            </w:r>
            <w:r>
              <w:rPr>
                <w:sz w:val="22"/>
                <w:szCs w:val="22"/>
                <w:lang w:val="en-GB"/>
              </w:rPr>
              <w:t xml:space="preserve">ork </w:t>
            </w:r>
            <w:r w:rsidR="00D76B0E">
              <w:rPr>
                <w:sz w:val="22"/>
                <w:szCs w:val="22"/>
                <w:lang w:val="en-GB"/>
              </w:rPr>
              <w:t>P</w:t>
            </w:r>
            <w:r>
              <w:rPr>
                <w:sz w:val="22"/>
                <w:szCs w:val="22"/>
                <w:lang w:val="en-GB"/>
              </w:rPr>
              <w:t>lan)</w:t>
            </w:r>
            <w:r w:rsidRPr="000C2586">
              <w:rPr>
                <w:sz w:val="22"/>
                <w:szCs w:val="22"/>
                <w:lang w:val="en-GB"/>
              </w:rPr>
              <w:t>.</w:t>
            </w:r>
          </w:p>
        </w:tc>
        <w:tc>
          <w:tcPr>
            <w:tcW w:w="823" w:type="pct"/>
            <w:tcBorders>
              <w:top w:val="single" w:sz="4" w:space="0" w:color="000000"/>
              <w:left w:val="single" w:sz="4" w:space="0" w:color="000000"/>
              <w:bottom w:val="single" w:sz="4" w:space="0" w:color="auto"/>
              <w:right w:val="single" w:sz="4" w:space="0" w:color="000000"/>
            </w:tcBorders>
          </w:tcPr>
          <w:p w14:paraId="2D2E2101" w14:textId="44A91BD3" w:rsidR="008032C6" w:rsidRPr="000F4DD0" w:rsidRDefault="008032C6" w:rsidP="008032C6">
            <w:pPr>
              <w:spacing w:line="276" w:lineRule="auto"/>
              <w:rPr>
                <w:sz w:val="22"/>
                <w:szCs w:val="22"/>
                <w:lang w:val="en-GB"/>
              </w:rPr>
            </w:pPr>
            <w:r w:rsidRPr="000F4DD0">
              <w:rPr>
                <w:sz w:val="22"/>
                <w:szCs w:val="22"/>
                <w:lang w:val="en-GB"/>
              </w:rPr>
              <w:t>Doc. AEWA/MOP 9.</w:t>
            </w:r>
            <w:r>
              <w:rPr>
                <w:sz w:val="22"/>
                <w:szCs w:val="22"/>
                <w:lang w:val="en-GB"/>
              </w:rPr>
              <w:t>25</w:t>
            </w:r>
          </w:p>
          <w:p w14:paraId="0AB4EF14" w14:textId="5DB4F436" w:rsidR="00F3020C" w:rsidRDefault="008032C6" w:rsidP="008032C6">
            <w:pPr>
              <w:spacing w:line="276" w:lineRule="auto"/>
              <w:rPr>
                <w:sz w:val="22"/>
                <w:szCs w:val="22"/>
                <w:lang w:val="en-GB"/>
              </w:rPr>
            </w:pPr>
            <w:r w:rsidRPr="000F4DD0">
              <w:rPr>
                <w:sz w:val="22"/>
                <w:szCs w:val="22"/>
                <w:lang w:val="en-GB"/>
              </w:rPr>
              <w:t>Doc. AEWA/MOP9 DR.</w:t>
            </w:r>
            <w:r>
              <w:rPr>
                <w:sz w:val="22"/>
                <w:szCs w:val="22"/>
                <w:lang w:val="en-GB"/>
              </w:rPr>
              <w:t>4</w:t>
            </w:r>
          </w:p>
        </w:tc>
      </w:tr>
      <w:tr w:rsidR="00F3020C" w:rsidRPr="00860CD7" w14:paraId="4138A863" w14:textId="77777777" w:rsidTr="004774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auto"/>
              <w:right w:val="single" w:sz="4" w:space="0" w:color="000000"/>
            </w:tcBorders>
          </w:tcPr>
          <w:p w14:paraId="126F7454" w14:textId="77777777" w:rsidR="00F3020C" w:rsidRPr="009A5C69" w:rsidRDefault="00F3020C" w:rsidP="00F3020C">
            <w:pPr>
              <w:spacing w:line="276" w:lineRule="auto"/>
              <w:rPr>
                <w:b/>
                <w:sz w:val="22"/>
                <w:szCs w:val="22"/>
                <w:lang w:val="en-GB" w:eastAsia="nl-NL"/>
              </w:rPr>
            </w:pPr>
            <w:r w:rsidRPr="009A5C69">
              <w:rPr>
                <w:b/>
                <w:sz w:val="22"/>
                <w:szCs w:val="22"/>
                <w:lang w:val="en-GB" w:eastAsia="nl-NL"/>
              </w:rPr>
              <w:t>3.5. Habitat conservation action plan</w:t>
            </w:r>
          </w:p>
          <w:p w14:paraId="58CE68D2" w14:textId="28A9A8A2" w:rsidR="00F3020C" w:rsidRPr="009A5C69" w:rsidRDefault="00F3020C" w:rsidP="00F3020C">
            <w:pPr>
              <w:spacing w:line="276" w:lineRule="auto"/>
              <w:rPr>
                <w:bCs/>
                <w:sz w:val="22"/>
                <w:szCs w:val="22"/>
                <w:lang w:val="en-GB" w:eastAsia="nl-NL"/>
              </w:rPr>
            </w:pPr>
            <w:r w:rsidRPr="009A5C69">
              <w:rPr>
                <w:bCs/>
                <w:sz w:val="22"/>
                <w:szCs w:val="22"/>
                <w:lang w:val="en-GB" w:eastAsia="nl-NL"/>
              </w:rPr>
              <w:t>On the basis of the assessment under task 3.3, develop an action plan (identifying priorities, opportunities and a set of recommended actions), taking into account regional and sub-regional differences in key habitat types and threats/drivers</w:t>
            </w:r>
            <w:r w:rsidR="002E0837">
              <w:rPr>
                <w:bCs/>
                <w:sz w:val="22"/>
                <w:szCs w:val="22"/>
                <w:lang w:val="en-GB" w:eastAsia="nl-NL"/>
              </w:rPr>
              <w:t xml:space="preserve"> </w:t>
            </w:r>
            <w:r w:rsidR="002E0837" w:rsidRPr="002E0837">
              <w:rPr>
                <w:bCs/>
                <w:sz w:val="22"/>
                <w:szCs w:val="22"/>
                <w:lang w:val="en-GB" w:eastAsia="nl-NL"/>
              </w:rPr>
              <w:t>(</w:t>
            </w:r>
            <w:r w:rsidR="002E0837" w:rsidRPr="002E0837">
              <w:rPr>
                <w:bCs/>
                <w:i/>
                <w:iCs/>
                <w:sz w:val="22"/>
                <w:szCs w:val="22"/>
                <w:lang w:val="en-GB" w:eastAsia="nl-NL"/>
              </w:rPr>
              <w:t>carried over from Work Plan 2019-2021/2022</w:t>
            </w:r>
            <w:r w:rsidR="002E0837" w:rsidRPr="002E0837">
              <w:rPr>
                <w:bCs/>
                <w:sz w:val="22"/>
                <w:szCs w:val="22"/>
                <w:lang w:val="en-GB" w:eastAsia="nl-NL"/>
              </w:rPr>
              <w:t>)</w:t>
            </w:r>
            <w:r>
              <w:rPr>
                <w:bCs/>
                <w:sz w:val="22"/>
                <w:szCs w:val="22"/>
                <w:lang w:val="en-GB" w:eastAsia="nl-NL"/>
              </w:rPr>
              <w:t>.</w:t>
            </w:r>
            <w:r w:rsidRPr="009A5C69">
              <w:rPr>
                <w:bCs/>
                <w:sz w:val="22"/>
                <w:szCs w:val="22"/>
                <w:lang w:val="en-GB" w:eastAsia="nl-NL"/>
              </w:rPr>
              <w:t xml:space="preserve"> (</w:t>
            </w:r>
            <w:r w:rsidRPr="009A5C69">
              <w:rPr>
                <w:bCs/>
                <w:i/>
                <w:iCs/>
                <w:sz w:val="22"/>
                <w:szCs w:val="22"/>
                <w:lang w:val="en-GB" w:eastAsia="nl-NL"/>
              </w:rPr>
              <w:t>Strategic Plan 2019-2027</w:t>
            </w:r>
            <w:r w:rsidRPr="009A5C69">
              <w:rPr>
                <w:bCs/>
                <w:sz w:val="22"/>
                <w:szCs w:val="22"/>
                <w:lang w:val="en-GB" w:eastAsia="nl-NL"/>
              </w:rPr>
              <w:t>)</w:t>
            </w:r>
          </w:p>
        </w:tc>
        <w:tc>
          <w:tcPr>
            <w:tcW w:w="361" w:type="pct"/>
            <w:tcBorders>
              <w:top w:val="single" w:sz="4" w:space="0" w:color="000000"/>
              <w:left w:val="single" w:sz="4" w:space="0" w:color="000000"/>
              <w:bottom w:val="single" w:sz="4" w:space="0" w:color="auto"/>
              <w:right w:val="single" w:sz="4" w:space="0" w:color="000000"/>
            </w:tcBorders>
            <w:shd w:val="clear" w:color="auto" w:fill="FF9999"/>
          </w:tcPr>
          <w:p w14:paraId="019823DF" w14:textId="77777777" w:rsidR="00F3020C" w:rsidRDefault="00F3020C" w:rsidP="00F3020C">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auto"/>
              <w:right w:val="single" w:sz="4" w:space="0" w:color="000000"/>
            </w:tcBorders>
            <w:shd w:val="clear" w:color="auto" w:fill="FF5050"/>
          </w:tcPr>
          <w:p w14:paraId="44A4E4D9" w14:textId="5A6076BE" w:rsidR="00F3020C" w:rsidRPr="0047741B" w:rsidRDefault="0047741B" w:rsidP="00F3020C">
            <w:pPr>
              <w:spacing w:line="276" w:lineRule="auto"/>
              <w:rPr>
                <w:b/>
                <w:bCs/>
                <w:sz w:val="22"/>
                <w:szCs w:val="22"/>
                <w:lang w:val="en-GB"/>
              </w:rPr>
            </w:pPr>
            <w:r w:rsidRPr="0047741B">
              <w:rPr>
                <w:b/>
                <w:bCs/>
                <w:sz w:val="22"/>
                <w:szCs w:val="22"/>
                <w:lang w:val="en-GB"/>
              </w:rPr>
              <w:t>Not implemented</w:t>
            </w:r>
          </w:p>
        </w:tc>
        <w:tc>
          <w:tcPr>
            <w:tcW w:w="1629" w:type="pct"/>
            <w:tcBorders>
              <w:top w:val="single" w:sz="4" w:space="0" w:color="000000"/>
              <w:left w:val="single" w:sz="4" w:space="0" w:color="000000"/>
              <w:bottom w:val="single" w:sz="4" w:space="0" w:color="auto"/>
              <w:right w:val="single" w:sz="4" w:space="0" w:color="000000"/>
            </w:tcBorders>
          </w:tcPr>
          <w:p w14:paraId="04EC3393" w14:textId="03154FAA" w:rsidR="00F3020C" w:rsidRPr="004206CE" w:rsidRDefault="002E0837" w:rsidP="00F3020C">
            <w:pPr>
              <w:spacing w:line="276" w:lineRule="auto"/>
              <w:rPr>
                <w:sz w:val="22"/>
                <w:szCs w:val="22"/>
                <w:lang w:val="en-GB"/>
              </w:rPr>
            </w:pPr>
            <w:r>
              <w:rPr>
                <w:sz w:val="22"/>
                <w:szCs w:val="22"/>
                <w:lang w:val="en-GB"/>
              </w:rPr>
              <w:t>Already in the last triennium, t</w:t>
            </w:r>
            <w:r w:rsidR="00F3020C" w:rsidRPr="004206CE">
              <w:rPr>
                <w:sz w:val="22"/>
                <w:szCs w:val="22"/>
                <w:lang w:val="en-GB"/>
              </w:rPr>
              <w:t>his task was merged with task 3.3 above</w:t>
            </w:r>
            <w:r>
              <w:rPr>
                <w:sz w:val="22"/>
                <w:szCs w:val="22"/>
                <w:lang w:val="en-GB"/>
              </w:rPr>
              <w:t>.</w:t>
            </w:r>
            <w:r w:rsidR="00F3020C" w:rsidRPr="004206CE">
              <w:rPr>
                <w:sz w:val="22"/>
                <w:szCs w:val="22"/>
                <w:lang w:val="en-GB"/>
              </w:rPr>
              <w:t xml:space="preserve"> </w:t>
            </w:r>
          </w:p>
          <w:p w14:paraId="74834C11" w14:textId="77777777" w:rsidR="00F3020C" w:rsidRPr="004206CE" w:rsidRDefault="00F3020C" w:rsidP="00F3020C">
            <w:pPr>
              <w:spacing w:line="276" w:lineRule="auto"/>
              <w:rPr>
                <w:sz w:val="22"/>
                <w:szCs w:val="22"/>
                <w:lang w:val="en-GB"/>
              </w:rPr>
            </w:pPr>
          </w:p>
          <w:p w14:paraId="6C0A14D2" w14:textId="3C53AC2F" w:rsidR="00F3020C" w:rsidRPr="004206CE" w:rsidRDefault="002E0837" w:rsidP="002E0837">
            <w:pPr>
              <w:spacing w:line="276" w:lineRule="auto"/>
              <w:rPr>
                <w:sz w:val="22"/>
                <w:szCs w:val="22"/>
                <w:lang w:val="en-GB"/>
              </w:rPr>
            </w:pPr>
            <w:r>
              <w:rPr>
                <w:sz w:val="22"/>
                <w:szCs w:val="22"/>
                <w:lang w:val="en-GB"/>
              </w:rPr>
              <w:t xml:space="preserve">Due to the lack of funding, the implementation of this task could not be outsourced. </w:t>
            </w:r>
            <w:r w:rsidRPr="00AA3281">
              <w:rPr>
                <w:bCs/>
                <w:sz w:val="22"/>
                <w:szCs w:val="22"/>
                <w:lang w:val="en-GB" w:eastAsia="nl-NL"/>
              </w:rPr>
              <w:t>It will be carried over for implementation in the next triennium, funding permitting.</w:t>
            </w:r>
          </w:p>
        </w:tc>
        <w:tc>
          <w:tcPr>
            <w:tcW w:w="823" w:type="pct"/>
            <w:tcBorders>
              <w:top w:val="single" w:sz="4" w:space="0" w:color="000000"/>
              <w:left w:val="single" w:sz="4" w:space="0" w:color="000000"/>
              <w:bottom w:val="single" w:sz="4" w:space="0" w:color="auto"/>
              <w:right w:val="single" w:sz="4" w:space="0" w:color="000000"/>
            </w:tcBorders>
          </w:tcPr>
          <w:p w14:paraId="59CDA4D0" w14:textId="5E069622" w:rsidR="00F3020C" w:rsidRDefault="002E0837" w:rsidP="00F3020C">
            <w:pPr>
              <w:spacing w:line="276" w:lineRule="auto"/>
              <w:rPr>
                <w:sz w:val="22"/>
                <w:szCs w:val="22"/>
                <w:lang w:val="en-GB"/>
              </w:rPr>
            </w:pPr>
            <w:r>
              <w:rPr>
                <w:sz w:val="22"/>
                <w:szCs w:val="22"/>
                <w:lang w:val="en-GB"/>
              </w:rPr>
              <w:t>--</w:t>
            </w:r>
          </w:p>
        </w:tc>
      </w:tr>
      <w:tr w:rsidR="00F3020C" w:rsidRPr="00860CD7" w14:paraId="0A74ADC5"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auto"/>
              <w:right w:val="single" w:sz="4" w:space="0" w:color="000000"/>
            </w:tcBorders>
          </w:tcPr>
          <w:p w14:paraId="35A0BC3A" w14:textId="77777777" w:rsidR="00F3020C" w:rsidRPr="00E22E68" w:rsidRDefault="00F3020C" w:rsidP="00F3020C">
            <w:pPr>
              <w:spacing w:line="276" w:lineRule="auto"/>
              <w:rPr>
                <w:b/>
                <w:sz w:val="22"/>
                <w:szCs w:val="22"/>
                <w:lang w:val="en-GB" w:eastAsia="nl-NL"/>
              </w:rPr>
            </w:pPr>
            <w:r w:rsidRPr="00E22E68">
              <w:rPr>
                <w:b/>
                <w:sz w:val="22"/>
                <w:szCs w:val="22"/>
                <w:lang w:val="en-GB" w:eastAsia="nl-NL"/>
              </w:rPr>
              <w:t>3.6. Socio-economic importance of waterbirds</w:t>
            </w:r>
          </w:p>
          <w:p w14:paraId="7261C3E0" w14:textId="77777777" w:rsidR="00F3020C" w:rsidRPr="00E22E68" w:rsidRDefault="00F3020C" w:rsidP="00F3020C">
            <w:pPr>
              <w:spacing w:line="276" w:lineRule="auto"/>
              <w:rPr>
                <w:bCs/>
                <w:sz w:val="22"/>
                <w:szCs w:val="22"/>
                <w:lang w:val="en-GB" w:eastAsia="nl-NL"/>
              </w:rPr>
            </w:pPr>
            <w:r w:rsidRPr="00E22E68">
              <w:rPr>
                <w:bCs/>
                <w:sz w:val="22"/>
                <w:szCs w:val="22"/>
                <w:lang w:val="en-GB" w:eastAsia="nl-NL"/>
              </w:rPr>
              <w:lastRenderedPageBreak/>
              <w:t>Explore the potential to develop a number of case studies summarising the socio-economic benefits (including food security) accruing to local populations from the sustainable management of wetlands and the sustainable use of the waterbirds that depend on these areas</w:t>
            </w:r>
            <w:r>
              <w:rPr>
                <w:bCs/>
                <w:sz w:val="22"/>
                <w:szCs w:val="22"/>
                <w:lang w:val="en-GB" w:eastAsia="nl-NL"/>
              </w:rPr>
              <w:t xml:space="preserve"> </w:t>
            </w:r>
            <w:r w:rsidRPr="00B4261B">
              <w:rPr>
                <w:sz w:val="22"/>
                <w:szCs w:val="22"/>
                <w:lang w:val="en-GB"/>
              </w:rPr>
              <w:t>(</w:t>
            </w:r>
            <w:r w:rsidRPr="00CB02C2">
              <w:rPr>
                <w:i/>
                <w:iCs/>
                <w:sz w:val="22"/>
                <w:szCs w:val="22"/>
                <w:lang w:val="en-GB"/>
              </w:rPr>
              <w:t>carried over from Work Plan 2016-2018</w:t>
            </w:r>
            <w:r w:rsidRPr="00B4261B">
              <w:rPr>
                <w:sz w:val="22"/>
                <w:szCs w:val="22"/>
                <w:lang w:val="en-GB"/>
              </w:rPr>
              <w:t>)</w:t>
            </w:r>
            <w:r>
              <w:rPr>
                <w:bCs/>
                <w:sz w:val="22"/>
                <w:szCs w:val="22"/>
                <w:lang w:val="en-GB" w:eastAsia="nl-NL"/>
              </w:rPr>
              <w:t>.</w:t>
            </w:r>
            <w:r w:rsidRPr="00E22E68">
              <w:rPr>
                <w:bCs/>
                <w:sz w:val="22"/>
                <w:szCs w:val="22"/>
                <w:lang w:val="en-GB" w:eastAsia="nl-NL"/>
              </w:rPr>
              <w:t xml:space="preserve"> (</w:t>
            </w:r>
            <w:r w:rsidRPr="00E22E68">
              <w:rPr>
                <w:bCs/>
                <w:i/>
                <w:iCs/>
                <w:sz w:val="22"/>
                <w:szCs w:val="22"/>
                <w:lang w:val="en-GB" w:eastAsia="nl-NL"/>
              </w:rPr>
              <w:t>Resolution 5.13</w:t>
            </w:r>
            <w:r w:rsidRPr="00E22E68">
              <w:rPr>
                <w:bCs/>
                <w:sz w:val="22"/>
                <w:szCs w:val="22"/>
                <w:lang w:val="en-GB" w:eastAsia="nl-NL"/>
              </w:rPr>
              <w:t>)</w:t>
            </w:r>
          </w:p>
        </w:tc>
        <w:tc>
          <w:tcPr>
            <w:tcW w:w="361" w:type="pct"/>
            <w:tcBorders>
              <w:top w:val="single" w:sz="4" w:space="0" w:color="000000"/>
              <w:left w:val="single" w:sz="4" w:space="0" w:color="000000"/>
              <w:bottom w:val="single" w:sz="4" w:space="0" w:color="auto"/>
              <w:right w:val="single" w:sz="4" w:space="0" w:color="000000"/>
            </w:tcBorders>
            <w:shd w:val="clear" w:color="auto" w:fill="99CCFF"/>
          </w:tcPr>
          <w:p w14:paraId="2BA45B2B" w14:textId="77777777" w:rsidR="00F3020C" w:rsidRPr="00206F6B" w:rsidRDefault="00F3020C" w:rsidP="00F3020C">
            <w:pPr>
              <w:spacing w:line="276" w:lineRule="auto"/>
              <w:rPr>
                <w:b/>
                <w:sz w:val="22"/>
                <w:szCs w:val="22"/>
                <w:lang w:val="en-GB"/>
              </w:rPr>
            </w:pPr>
            <w:r w:rsidRPr="00206F6B">
              <w:rPr>
                <w:b/>
                <w:sz w:val="22"/>
                <w:szCs w:val="22"/>
                <w:shd w:val="clear" w:color="auto" w:fill="99CCFF"/>
                <w:lang w:val="en-GB" w:eastAsia="nl-NL"/>
              </w:rPr>
              <w:lastRenderedPageBreak/>
              <w:t>Other</w:t>
            </w:r>
          </w:p>
        </w:tc>
        <w:tc>
          <w:tcPr>
            <w:tcW w:w="682" w:type="pct"/>
            <w:tcBorders>
              <w:top w:val="single" w:sz="4" w:space="0" w:color="000000"/>
              <w:left w:val="single" w:sz="4" w:space="0" w:color="000000"/>
              <w:bottom w:val="single" w:sz="4" w:space="0" w:color="auto"/>
              <w:right w:val="single" w:sz="4" w:space="0" w:color="000000"/>
            </w:tcBorders>
            <w:shd w:val="clear" w:color="auto" w:fill="FF5050"/>
          </w:tcPr>
          <w:p w14:paraId="5B4A3E96" w14:textId="77777777" w:rsidR="00F3020C" w:rsidRDefault="00F3020C" w:rsidP="00F3020C">
            <w:pPr>
              <w:spacing w:line="276" w:lineRule="auto"/>
              <w:rPr>
                <w:sz w:val="22"/>
                <w:szCs w:val="22"/>
                <w:lang w:val="en-GB"/>
              </w:rPr>
            </w:pPr>
            <w:r w:rsidRPr="005B27D9">
              <w:rPr>
                <w:b/>
                <w:bCs/>
                <w:sz w:val="22"/>
                <w:szCs w:val="22"/>
                <w:shd w:val="clear" w:color="auto" w:fill="FF5050"/>
                <w:lang w:val="en-GB"/>
              </w:rPr>
              <w:t>Not implemented</w:t>
            </w:r>
          </w:p>
        </w:tc>
        <w:tc>
          <w:tcPr>
            <w:tcW w:w="1629" w:type="pct"/>
            <w:tcBorders>
              <w:top w:val="single" w:sz="4" w:space="0" w:color="000000"/>
              <w:left w:val="single" w:sz="4" w:space="0" w:color="000000"/>
              <w:bottom w:val="single" w:sz="4" w:space="0" w:color="auto"/>
              <w:right w:val="single" w:sz="4" w:space="0" w:color="000000"/>
            </w:tcBorders>
          </w:tcPr>
          <w:p w14:paraId="4A4FE2A6" w14:textId="26B2D228" w:rsidR="00F3020C" w:rsidRDefault="00A70354" w:rsidP="00F3020C">
            <w:pPr>
              <w:spacing w:line="276" w:lineRule="auto"/>
              <w:rPr>
                <w:sz w:val="22"/>
                <w:szCs w:val="22"/>
                <w:lang w:val="en-GB"/>
              </w:rPr>
            </w:pPr>
            <w:r>
              <w:rPr>
                <w:sz w:val="22"/>
                <w:szCs w:val="22"/>
                <w:lang w:val="en-GB"/>
              </w:rPr>
              <w:t>Draft Terms of Reference for the implementation of this task were compiled and agreed at the 20</w:t>
            </w:r>
            <w:r w:rsidRPr="00A70354">
              <w:rPr>
                <w:sz w:val="22"/>
                <w:szCs w:val="22"/>
                <w:vertAlign w:val="superscript"/>
                <w:lang w:val="en-GB"/>
              </w:rPr>
              <w:t>th</w:t>
            </w:r>
            <w:r>
              <w:rPr>
                <w:sz w:val="22"/>
                <w:szCs w:val="22"/>
                <w:lang w:val="en-GB"/>
              </w:rPr>
              <w:t xml:space="preserve"> meeting </w:t>
            </w:r>
            <w:r>
              <w:rPr>
                <w:sz w:val="22"/>
                <w:szCs w:val="22"/>
                <w:lang w:val="en-GB"/>
              </w:rPr>
              <w:lastRenderedPageBreak/>
              <w:t xml:space="preserve">of the Technical Committee in February 2025. Due to the short remaining time until MOP9 and the lack of available funding, the implementation of this task could not be outsourced. </w:t>
            </w:r>
          </w:p>
          <w:p w14:paraId="16AA3FC1" w14:textId="77777777" w:rsidR="00F3020C" w:rsidRDefault="00F3020C" w:rsidP="00F3020C">
            <w:pPr>
              <w:spacing w:line="276" w:lineRule="auto"/>
              <w:rPr>
                <w:sz w:val="22"/>
                <w:szCs w:val="22"/>
                <w:lang w:val="en-GB"/>
              </w:rPr>
            </w:pPr>
          </w:p>
          <w:p w14:paraId="75B6D231" w14:textId="1C5C8118" w:rsidR="00A70354" w:rsidRDefault="00A70354" w:rsidP="00F3020C">
            <w:pPr>
              <w:spacing w:line="276" w:lineRule="auto"/>
              <w:rPr>
                <w:sz w:val="22"/>
                <w:szCs w:val="22"/>
                <w:lang w:val="en-GB"/>
              </w:rPr>
            </w:pPr>
            <w:r w:rsidRPr="00AA3281">
              <w:rPr>
                <w:bCs/>
                <w:sz w:val="22"/>
                <w:szCs w:val="22"/>
                <w:lang w:val="en-GB" w:eastAsia="nl-NL"/>
              </w:rPr>
              <w:t>It will be carried over for implementation in the next triennium, funding permitting.</w:t>
            </w:r>
          </w:p>
        </w:tc>
        <w:tc>
          <w:tcPr>
            <w:tcW w:w="823" w:type="pct"/>
            <w:tcBorders>
              <w:top w:val="single" w:sz="4" w:space="0" w:color="000000"/>
              <w:left w:val="single" w:sz="4" w:space="0" w:color="000000"/>
              <w:bottom w:val="single" w:sz="4" w:space="0" w:color="auto"/>
              <w:right w:val="single" w:sz="4" w:space="0" w:color="000000"/>
            </w:tcBorders>
          </w:tcPr>
          <w:p w14:paraId="01AAA47B" w14:textId="6D01BA4B" w:rsidR="00F3020C" w:rsidRDefault="00CB02C2" w:rsidP="00F3020C">
            <w:pPr>
              <w:spacing w:line="276" w:lineRule="auto"/>
              <w:rPr>
                <w:sz w:val="22"/>
                <w:szCs w:val="22"/>
                <w:lang w:val="en-GB"/>
              </w:rPr>
            </w:pPr>
            <w:r>
              <w:rPr>
                <w:sz w:val="22"/>
                <w:szCs w:val="22"/>
                <w:lang w:val="en-GB"/>
              </w:rPr>
              <w:lastRenderedPageBreak/>
              <w:t>--</w:t>
            </w:r>
          </w:p>
        </w:tc>
      </w:tr>
      <w:tr w:rsidR="00F3020C" w:rsidRPr="00860CD7" w14:paraId="7DBED565"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auto"/>
              <w:left w:val="nil"/>
              <w:bottom w:val="nil"/>
              <w:right w:val="nil"/>
            </w:tcBorders>
          </w:tcPr>
          <w:p w14:paraId="68821266" w14:textId="77777777" w:rsidR="00F3020C" w:rsidRDefault="00F3020C" w:rsidP="00F3020C">
            <w:pPr>
              <w:spacing w:line="276" w:lineRule="auto"/>
              <w:rPr>
                <w:b/>
                <w:sz w:val="22"/>
                <w:szCs w:val="22"/>
                <w:lang w:val="en-GB" w:eastAsia="nl-NL"/>
              </w:rPr>
            </w:pPr>
          </w:p>
        </w:tc>
        <w:tc>
          <w:tcPr>
            <w:tcW w:w="2672" w:type="pct"/>
            <w:gridSpan w:val="3"/>
            <w:tcBorders>
              <w:top w:val="single" w:sz="4" w:space="0" w:color="auto"/>
              <w:left w:val="nil"/>
              <w:bottom w:val="nil"/>
              <w:right w:val="nil"/>
            </w:tcBorders>
          </w:tcPr>
          <w:p w14:paraId="6108D4D4" w14:textId="77777777" w:rsidR="00F3020C" w:rsidRDefault="00F3020C" w:rsidP="00F3020C">
            <w:pPr>
              <w:spacing w:line="276" w:lineRule="auto"/>
              <w:rPr>
                <w:sz w:val="22"/>
                <w:szCs w:val="22"/>
                <w:lang w:val="en-GB"/>
              </w:rPr>
            </w:pPr>
          </w:p>
        </w:tc>
        <w:tc>
          <w:tcPr>
            <w:tcW w:w="823" w:type="pct"/>
            <w:tcBorders>
              <w:top w:val="single" w:sz="4" w:space="0" w:color="auto"/>
              <w:left w:val="nil"/>
              <w:bottom w:val="nil"/>
              <w:right w:val="nil"/>
            </w:tcBorders>
          </w:tcPr>
          <w:p w14:paraId="2AD9B9EF" w14:textId="77777777" w:rsidR="00F3020C" w:rsidRDefault="00F3020C" w:rsidP="00F3020C">
            <w:pPr>
              <w:spacing w:line="276" w:lineRule="auto"/>
              <w:rPr>
                <w:sz w:val="22"/>
                <w:szCs w:val="22"/>
                <w:lang w:val="en-GB"/>
              </w:rPr>
            </w:pPr>
          </w:p>
        </w:tc>
      </w:tr>
      <w:tr w:rsidR="00F3020C" w:rsidRPr="00860CD7" w14:paraId="29FA0068" w14:textId="77777777" w:rsidTr="008E1311">
        <w:trPr>
          <w:trHeight w:val="597"/>
        </w:trPr>
        <w:tc>
          <w:tcPr>
            <w:tcW w:w="5000" w:type="pct"/>
            <w:gridSpan w:val="5"/>
            <w:shd w:val="clear" w:color="auto" w:fill="FFF2CC" w:themeFill="accent4" w:themeFillTint="33"/>
            <w:vAlign w:val="center"/>
            <w:hideMark/>
          </w:tcPr>
          <w:p w14:paraId="1D0D8026" w14:textId="77777777" w:rsidR="00F3020C" w:rsidRPr="00860CD7" w:rsidRDefault="00F3020C" w:rsidP="00F3020C">
            <w:pPr>
              <w:keepNext/>
              <w:spacing w:line="276" w:lineRule="auto"/>
              <w:rPr>
                <w:b/>
                <w:sz w:val="22"/>
                <w:szCs w:val="22"/>
                <w:lang w:val="en-GB"/>
              </w:rPr>
            </w:pPr>
            <w:r w:rsidRPr="00860CD7">
              <w:rPr>
                <w:sz w:val="22"/>
                <w:szCs w:val="22"/>
                <w:lang w:val="en-GB"/>
              </w:rPr>
              <w:br w:type="page"/>
            </w:r>
            <w:r w:rsidRPr="000A7EC8">
              <w:rPr>
                <w:b/>
                <w:color w:val="2F5496" w:themeColor="accent1" w:themeShade="BF"/>
                <w:lang w:val="en-GB"/>
              </w:rPr>
              <w:t>Management of human activities (Working Group 4)</w:t>
            </w:r>
          </w:p>
        </w:tc>
      </w:tr>
      <w:tr w:rsidR="00F3020C" w:rsidRPr="00860CD7" w14:paraId="5C90F464"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blHeader/>
        </w:trPr>
        <w:tc>
          <w:tcPr>
            <w:tcW w:w="1505" w:type="pct"/>
            <w:tcBorders>
              <w:top w:val="single" w:sz="4" w:space="0" w:color="000000"/>
              <w:left w:val="single" w:sz="4" w:space="0" w:color="000000"/>
              <w:bottom w:val="single" w:sz="4" w:space="0" w:color="000000"/>
              <w:right w:val="single" w:sz="4" w:space="0" w:color="000000"/>
            </w:tcBorders>
            <w:shd w:val="clear" w:color="auto" w:fill="F2F2F2"/>
            <w:hideMark/>
          </w:tcPr>
          <w:p w14:paraId="76EE5E02" w14:textId="77777777" w:rsidR="00F3020C" w:rsidRPr="00860CD7" w:rsidRDefault="00F3020C" w:rsidP="00F3020C">
            <w:pPr>
              <w:keepNext/>
              <w:spacing w:line="276" w:lineRule="auto"/>
              <w:ind w:firstLine="34"/>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tcPr>
          <w:p w14:paraId="319976D4" w14:textId="77777777" w:rsidR="00F3020C" w:rsidRPr="007D5294" w:rsidRDefault="00F3020C" w:rsidP="00F3020C">
            <w:pPr>
              <w:keepNext/>
              <w:spacing w:line="276" w:lineRule="auto"/>
              <w:rPr>
                <w:b/>
                <w:bCs/>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cPr>
          <w:p w14:paraId="67705F7B" w14:textId="77777777" w:rsidR="00F3020C" w:rsidRPr="009744C2" w:rsidRDefault="00F3020C" w:rsidP="00F3020C">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cPr>
          <w:p w14:paraId="5D0BE1ED" w14:textId="77777777" w:rsidR="00F3020C" w:rsidRPr="009744C2" w:rsidRDefault="00F3020C" w:rsidP="00F3020C">
            <w:pPr>
              <w:keepNext/>
              <w:spacing w:line="276" w:lineRule="auto"/>
              <w:rPr>
                <w:b/>
                <w:sz w:val="22"/>
                <w:szCs w:val="22"/>
                <w:lang w:val="en-GB"/>
              </w:rPr>
            </w:pPr>
            <w:r w:rsidRPr="002C6484">
              <w:rPr>
                <w:b/>
                <w:sz w:val="22"/>
                <w:szCs w:val="22"/>
                <w:lang w:val="en-GB"/>
              </w:rPr>
              <w:t>Actions undertaken by the TC</w:t>
            </w:r>
          </w:p>
        </w:tc>
        <w:tc>
          <w:tcPr>
            <w:tcW w:w="823" w:type="pct"/>
            <w:tcBorders>
              <w:top w:val="single" w:sz="4" w:space="0" w:color="000000"/>
              <w:left w:val="single" w:sz="4" w:space="0" w:color="000000"/>
              <w:bottom w:val="single" w:sz="4" w:space="0" w:color="000000"/>
              <w:right w:val="single" w:sz="4" w:space="0" w:color="000000"/>
            </w:tcBorders>
            <w:shd w:val="clear" w:color="auto" w:fill="F2F2F2"/>
            <w:hideMark/>
          </w:tcPr>
          <w:p w14:paraId="2BE71EAF" w14:textId="4ABC5836" w:rsidR="00F3020C" w:rsidRPr="009744C2" w:rsidRDefault="00F3020C" w:rsidP="00F3020C">
            <w:pPr>
              <w:keepNext/>
              <w:spacing w:line="276" w:lineRule="auto"/>
              <w:rPr>
                <w:b/>
                <w:sz w:val="22"/>
                <w:szCs w:val="22"/>
                <w:lang w:val="en-GB"/>
              </w:rPr>
            </w:pPr>
            <w:r w:rsidRPr="009744C2">
              <w:rPr>
                <w:b/>
                <w:sz w:val="22"/>
                <w:szCs w:val="22"/>
                <w:lang w:val="en-GB"/>
              </w:rPr>
              <w:t>Relevant MOP</w:t>
            </w:r>
            <w:r w:rsidR="0032185B">
              <w:rPr>
                <w:b/>
                <w:sz w:val="22"/>
                <w:szCs w:val="22"/>
                <w:lang w:val="en-GB"/>
              </w:rPr>
              <w:t>9</w:t>
            </w:r>
            <w:r w:rsidRPr="009744C2">
              <w:rPr>
                <w:b/>
                <w:sz w:val="22"/>
                <w:szCs w:val="22"/>
                <w:lang w:val="en-GB"/>
              </w:rPr>
              <w:t xml:space="preserve"> documents </w:t>
            </w:r>
          </w:p>
        </w:tc>
      </w:tr>
      <w:tr w:rsidR="00F3020C" w:rsidRPr="00860CD7" w14:paraId="73868994" w14:textId="77777777" w:rsidTr="00A952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3FFC91D8" w14:textId="3FA32C1E" w:rsidR="00F3020C" w:rsidRPr="00FB5F57" w:rsidRDefault="00F3020C" w:rsidP="00F3020C">
            <w:pPr>
              <w:spacing w:line="276" w:lineRule="auto"/>
              <w:rPr>
                <w:b/>
                <w:sz w:val="22"/>
                <w:szCs w:val="22"/>
                <w:lang w:val="en-GB"/>
              </w:rPr>
            </w:pPr>
            <w:r w:rsidRPr="00FB5F57">
              <w:rPr>
                <w:b/>
                <w:sz w:val="22"/>
                <w:szCs w:val="22"/>
                <w:lang w:val="en-GB"/>
              </w:rPr>
              <w:t xml:space="preserve">4.1. </w:t>
            </w:r>
            <w:r w:rsidR="00014E64">
              <w:t xml:space="preserve"> </w:t>
            </w:r>
            <w:r w:rsidR="00014E64" w:rsidRPr="00014E64">
              <w:rPr>
                <w:b/>
                <w:sz w:val="22"/>
                <w:szCs w:val="22"/>
                <w:lang w:val="en-GB"/>
              </w:rPr>
              <w:t>Tackling the four causes of unnecessary additional mortality and other threats</w:t>
            </w:r>
          </w:p>
          <w:p w14:paraId="1D877A98" w14:textId="77777777" w:rsidR="00A9523E" w:rsidRPr="00A9523E" w:rsidRDefault="00A9523E" w:rsidP="00A9523E">
            <w:pPr>
              <w:spacing w:line="276" w:lineRule="auto"/>
              <w:rPr>
                <w:bCs/>
                <w:sz w:val="22"/>
                <w:szCs w:val="22"/>
                <w:lang w:val="en-GB"/>
              </w:rPr>
            </w:pPr>
            <w:r w:rsidRPr="00A9523E">
              <w:rPr>
                <w:bCs/>
                <w:sz w:val="22"/>
                <w:szCs w:val="22"/>
                <w:lang w:val="en-GB"/>
              </w:rPr>
              <w:t>(a) Explore how information could be gathered from Parties and others on lack of/poor implementation of guidance on reducing mortality, such that strategies for better support, including regional and/or sector-based initiatives, may be developed; pilot such an assessment on energy infrastructure and report to MOP9 conclusions on improving guidance implementation.</w:t>
            </w:r>
          </w:p>
          <w:p w14:paraId="31F4AB49" w14:textId="21BD4DD5" w:rsidR="00A9523E" w:rsidRPr="00A9523E" w:rsidRDefault="00A9523E" w:rsidP="00A9523E">
            <w:pPr>
              <w:spacing w:line="276" w:lineRule="auto"/>
              <w:rPr>
                <w:bCs/>
                <w:sz w:val="22"/>
                <w:szCs w:val="22"/>
                <w:lang w:val="en-GB"/>
              </w:rPr>
            </w:pPr>
            <w:r w:rsidRPr="00A9523E">
              <w:rPr>
                <w:bCs/>
                <w:sz w:val="22"/>
                <w:szCs w:val="22"/>
                <w:lang w:val="en-GB"/>
              </w:rPr>
              <w:t xml:space="preserve">(b)  assess national reporting processes under other multilateral and/or international processes (e.g. Ramsar, CMS, CBD, EU) to assess sources of relevant information on waterbird mortality additional to information within AEWA national </w:t>
            </w:r>
            <w:r w:rsidRPr="00A9523E">
              <w:rPr>
                <w:bCs/>
                <w:sz w:val="22"/>
                <w:szCs w:val="22"/>
                <w:lang w:val="en-GB"/>
              </w:rPr>
              <w:lastRenderedPageBreak/>
              <w:t>reports, and make recommendations as to how this information could be routinely summarised.</w:t>
            </w:r>
          </w:p>
          <w:p w14:paraId="1541ED17" w14:textId="41D922F8" w:rsidR="00F3020C" w:rsidRPr="00FB5F57" w:rsidRDefault="00A9523E" w:rsidP="00A9523E">
            <w:pPr>
              <w:spacing w:line="276" w:lineRule="auto"/>
              <w:rPr>
                <w:bCs/>
                <w:sz w:val="22"/>
                <w:szCs w:val="22"/>
                <w:lang w:val="en-GB"/>
              </w:rPr>
            </w:pPr>
            <w:r w:rsidRPr="00A9523E">
              <w:rPr>
                <w:bCs/>
                <w:sz w:val="22"/>
                <w:szCs w:val="22"/>
                <w:lang w:val="en-GB"/>
              </w:rPr>
              <w:t>(c)  update the list of AEWA and CMS decisions and guidelines relevant to avoiding additional and unnecessary mortality contained in Appendix 1 of Resolution 6.12  as well as including the inventory of relevant multilateral instruments and processes summarised in document AEWA/MOP 8.40 and make this synthesis available on AEWA’s website in a form that can be regularly updated and broadened including with material and opportunities from fields beyond those motivated by biodiversity conservation. (</w:t>
            </w:r>
            <w:r w:rsidRPr="00A9523E">
              <w:rPr>
                <w:bCs/>
                <w:i/>
                <w:iCs/>
                <w:sz w:val="22"/>
                <w:szCs w:val="22"/>
                <w:lang w:val="en-GB"/>
              </w:rPr>
              <w:t>Resolution 8.15</w:t>
            </w:r>
            <w:r w:rsidRPr="00A9523E">
              <w:rPr>
                <w:bCs/>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1D313684" w14:textId="77777777" w:rsidR="00F3020C" w:rsidRDefault="00F3020C" w:rsidP="00F3020C">
            <w:pPr>
              <w:spacing w:line="276" w:lineRule="auto"/>
              <w:rPr>
                <w:sz w:val="22"/>
                <w:szCs w:val="22"/>
                <w:lang w:val="en-GB"/>
              </w:rPr>
            </w:pPr>
            <w:r w:rsidRPr="00AC70CB">
              <w:rPr>
                <w:b/>
                <w:bCs/>
                <w:sz w:val="22"/>
                <w:szCs w:val="22"/>
                <w:shd w:val="clear" w:color="auto" w:fill="FFC000"/>
                <w:lang w:val="en-GB"/>
              </w:rPr>
              <w:lastRenderedPageBreak/>
              <w:t>High</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04053169" w14:textId="76684DE2" w:rsidR="00F3020C" w:rsidRPr="008F4DA8" w:rsidRDefault="00A9523E" w:rsidP="00F3020C">
            <w:pPr>
              <w:spacing w:line="276" w:lineRule="auto"/>
              <w:rPr>
                <w:sz w:val="22"/>
                <w:szCs w:val="22"/>
                <w:lang w:val="en-GB"/>
              </w:rPr>
            </w:pPr>
            <w:r>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38B21741" w14:textId="0256F6C5" w:rsidR="00F3020C" w:rsidRPr="000C2586" w:rsidRDefault="00A9523E" w:rsidP="00F3020C">
            <w:pPr>
              <w:spacing w:line="276" w:lineRule="auto"/>
              <w:rPr>
                <w:sz w:val="22"/>
                <w:szCs w:val="22"/>
                <w:lang w:val="en-GB"/>
              </w:rPr>
            </w:pPr>
            <w:r>
              <w:rPr>
                <w:sz w:val="22"/>
                <w:szCs w:val="22"/>
                <w:lang w:val="en-GB"/>
              </w:rPr>
              <w:t xml:space="preserve">No progress was made on this task. </w:t>
            </w:r>
            <w:r>
              <w:t xml:space="preserve"> </w:t>
            </w:r>
          </w:p>
        </w:tc>
        <w:tc>
          <w:tcPr>
            <w:tcW w:w="823" w:type="pct"/>
            <w:tcBorders>
              <w:top w:val="single" w:sz="4" w:space="0" w:color="000000"/>
              <w:left w:val="single" w:sz="4" w:space="0" w:color="000000"/>
              <w:bottom w:val="single" w:sz="4" w:space="0" w:color="000000"/>
              <w:right w:val="single" w:sz="4" w:space="0" w:color="000000"/>
            </w:tcBorders>
          </w:tcPr>
          <w:p w14:paraId="2332EBA3" w14:textId="1F20D7C8" w:rsidR="00F3020C" w:rsidRPr="00860CD7" w:rsidRDefault="00A9523E" w:rsidP="00F3020C">
            <w:pPr>
              <w:spacing w:line="276" w:lineRule="auto"/>
              <w:rPr>
                <w:sz w:val="22"/>
                <w:szCs w:val="22"/>
                <w:lang w:val="en-GB"/>
              </w:rPr>
            </w:pPr>
            <w:r>
              <w:rPr>
                <w:sz w:val="22"/>
                <w:szCs w:val="22"/>
                <w:lang w:val="en-GB"/>
              </w:rPr>
              <w:t>--</w:t>
            </w:r>
          </w:p>
        </w:tc>
      </w:tr>
      <w:tr w:rsidR="00014E64" w:rsidRPr="00860CD7" w14:paraId="41381484" w14:textId="77777777" w:rsidTr="00014E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0B58E9E8" w14:textId="17B2C60D" w:rsidR="00014E64" w:rsidRPr="00FB5F57" w:rsidRDefault="00014E64" w:rsidP="00014E64">
            <w:pPr>
              <w:spacing w:line="276" w:lineRule="auto"/>
              <w:rPr>
                <w:b/>
                <w:sz w:val="22"/>
                <w:szCs w:val="22"/>
                <w:lang w:val="en-GB" w:eastAsia="nl-NL"/>
              </w:rPr>
            </w:pPr>
            <w:r w:rsidRPr="00FB5F57">
              <w:rPr>
                <w:b/>
                <w:sz w:val="22"/>
                <w:szCs w:val="22"/>
                <w:lang w:val="en-GB" w:eastAsia="nl-NL"/>
              </w:rPr>
              <w:t xml:space="preserve">4.2. </w:t>
            </w:r>
            <w:r>
              <w:t xml:space="preserve"> </w:t>
            </w:r>
            <w:r w:rsidRPr="00014E64">
              <w:rPr>
                <w:b/>
                <w:sz w:val="22"/>
                <w:szCs w:val="22"/>
                <w:lang w:val="en-GB" w:eastAsia="nl-NL"/>
              </w:rPr>
              <w:t>Reducing energy impacts – Energy Task Force</w:t>
            </w:r>
          </w:p>
          <w:p w14:paraId="6D121590" w14:textId="41DF267F" w:rsidR="00014E64" w:rsidRPr="00FB5F57" w:rsidRDefault="00014E64" w:rsidP="00014E64">
            <w:pPr>
              <w:spacing w:line="276" w:lineRule="auto"/>
              <w:rPr>
                <w:bCs/>
                <w:sz w:val="22"/>
                <w:szCs w:val="22"/>
                <w:lang w:val="en-GB" w:eastAsia="nl-NL"/>
              </w:rPr>
            </w:pPr>
            <w:r w:rsidRPr="00014E64">
              <w:rPr>
                <w:bCs/>
                <w:sz w:val="22"/>
                <w:szCs w:val="22"/>
                <w:lang w:val="en-GB" w:eastAsia="nl-NL"/>
              </w:rPr>
              <w:t>Collaborate on implementation of CMS Resolution 11.27 on Renewable energy and migratory species.  Task includes participation in the CMS Energy Task Force to provide further guidance and support in relation to the implementation of CMS Resolution 11.27.</w:t>
            </w:r>
          </w:p>
        </w:tc>
        <w:tc>
          <w:tcPr>
            <w:tcW w:w="361" w:type="pct"/>
            <w:tcBorders>
              <w:top w:val="single" w:sz="4" w:space="0" w:color="000000"/>
              <w:left w:val="single" w:sz="4" w:space="0" w:color="000000"/>
              <w:bottom w:val="single" w:sz="4" w:space="0" w:color="000000"/>
              <w:right w:val="single" w:sz="4" w:space="0" w:color="000000"/>
            </w:tcBorders>
          </w:tcPr>
          <w:p w14:paraId="69D21C90" w14:textId="43ECAD32" w:rsidR="00014E64" w:rsidRDefault="00014E64" w:rsidP="00014E64">
            <w:pPr>
              <w:spacing w:line="276" w:lineRule="auto"/>
              <w:rPr>
                <w:sz w:val="22"/>
                <w:szCs w:val="22"/>
                <w:lang w:val="en-GB"/>
              </w:rPr>
            </w:pPr>
            <w:r w:rsidRPr="006E2325">
              <w:rPr>
                <w:b/>
                <w:bCs/>
                <w:sz w:val="22"/>
                <w:szCs w:val="22"/>
                <w:lang w:val="en-GB" w:eastAsia="nl-NL"/>
              </w:rPr>
              <w:t>No (immediate) action required</w:t>
            </w:r>
          </w:p>
        </w:tc>
        <w:tc>
          <w:tcPr>
            <w:tcW w:w="682" w:type="pct"/>
            <w:tcBorders>
              <w:top w:val="single" w:sz="4" w:space="0" w:color="000000"/>
              <w:left w:val="single" w:sz="4" w:space="0" w:color="000000"/>
              <w:bottom w:val="single" w:sz="4" w:space="0" w:color="000000"/>
              <w:right w:val="single" w:sz="4" w:space="0" w:color="000000"/>
            </w:tcBorders>
          </w:tcPr>
          <w:p w14:paraId="3C9EA5D7" w14:textId="66DAB5A7" w:rsidR="00014E64" w:rsidRDefault="00014E64" w:rsidP="00014E64">
            <w:pPr>
              <w:spacing w:line="276" w:lineRule="auto"/>
              <w:rPr>
                <w:sz w:val="22"/>
                <w:szCs w:val="22"/>
                <w:lang w:val="en-GB"/>
              </w:rPr>
            </w:pPr>
            <w:r w:rsidRPr="006E2325">
              <w:rPr>
                <w:b/>
                <w:bCs/>
                <w:sz w:val="22"/>
                <w:szCs w:val="22"/>
                <w:lang w:val="en-GB"/>
              </w:rPr>
              <w:t>N/A</w:t>
            </w:r>
          </w:p>
        </w:tc>
        <w:tc>
          <w:tcPr>
            <w:tcW w:w="1629" w:type="pct"/>
            <w:tcBorders>
              <w:top w:val="single" w:sz="4" w:space="0" w:color="000000"/>
              <w:left w:val="single" w:sz="4" w:space="0" w:color="000000"/>
              <w:bottom w:val="single" w:sz="4" w:space="0" w:color="000000"/>
              <w:right w:val="single" w:sz="4" w:space="0" w:color="000000"/>
            </w:tcBorders>
          </w:tcPr>
          <w:p w14:paraId="4B4AD25D" w14:textId="77777777" w:rsidR="00014E64" w:rsidRDefault="00014E64" w:rsidP="00014E64">
            <w:pPr>
              <w:spacing w:line="276" w:lineRule="auto"/>
              <w:rPr>
                <w:sz w:val="22"/>
                <w:szCs w:val="22"/>
                <w:lang w:val="en-GB"/>
              </w:rPr>
            </w:pPr>
            <w:r>
              <w:rPr>
                <w:sz w:val="22"/>
                <w:szCs w:val="22"/>
                <w:lang w:val="en-GB"/>
              </w:rPr>
              <w:t xml:space="preserve">The Technical Committee is represented in the Task Force by </w:t>
            </w:r>
            <w:r w:rsidR="008F3A87">
              <w:rPr>
                <w:sz w:val="22"/>
                <w:szCs w:val="22"/>
                <w:lang w:val="en-GB"/>
              </w:rPr>
              <w:t>M</w:t>
            </w:r>
            <w:r>
              <w:rPr>
                <w:sz w:val="22"/>
                <w:szCs w:val="22"/>
                <w:lang w:val="en-GB"/>
              </w:rPr>
              <w:t>aria Dias (reginal representation of North &amp; South-west Europe).</w:t>
            </w:r>
          </w:p>
          <w:p w14:paraId="777E8749" w14:textId="77777777" w:rsidR="008F3A87" w:rsidRDefault="008F3A87" w:rsidP="00014E64">
            <w:pPr>
              <w:spacing w:line="276" w:lineRule="auto"/>
              <w:rPr>
                <w:sz w:val="22"/>
                <w:szCs w:val="22"/>
                <w:lang w:val="en-GB"/>
              </w:rPr>
            </w:pPr>
          </w:p>
          <w:p w14:paraId="525A95FE" w14:textId="679DE023" w:rsidR="008F3A87" w:rsidRPr="00860CD7" w:rsidRDefault="008F3A87" w:rsidP="00014E64">
            <w:pPr>
              <w:spacing w:line="276" w:lineRule="auto"/>
              <w:rPr>
                <w:sz w:val="22"/>
                <w:szCs w:val="22"/>
                <w:lang w:val="en-GB"/>
              </w:rPr>
            </w:pPr>
          </w:p>
        </w:tc>
        <w:tc>
          <w:tcPr>
            <w:tcW w:w="823" w:type="pct"/>
            <w:tcBorders>
              <w:top w:val="single" w:sz="4" w:space="0" w:color="000000"/>
              <w:left w:val="single" w:sz="4" w:space="0" w:color="000000"/>
              <w:bottom w:val="single" w:sz="4" w:space="0" w:color="000000"/>
              <w:right w:val="single" w:sz="4" w:space="0" w:color="000000"/>
            </w:tcBorders>
          </w:tcPr>
          <w:p w14:paraId="78391719" w14:textId="057F3ECA" w:rsidR="00014E64" w:rsidRPr="00860CD7" w:rsidRDefault="00014E64" w:rsidP="00014E64">
            <w:pPr>
              <w:spacing w:line="276" w:lineRule="auto"/>
              <w:rPr>
                <w:sz w:val="22"/>
                <w:szCs w:val="22"/>
                <w:lang w:val="en-GB"/>
              </w:rPr>
            </w:pPr>
            <w:r>
              <w:rPr>
                <w:sz w:val="22"/>
                <w:szCs w:val="22"/>
                <w:lang w:val="en-GB"/>
              </w:rPr>
              <w:t>--</w:t>
            </w:r>
          </w:p>
        </w:tc>
      </w:tr>
      <w:tr w:rsidR="008F3A87" w:rsidRPr="00860CD7" w14:paraId="3ECBDB4D" w14:textId="77777777" w:rsidTr="00C807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3743BC7A" w14:textId="46975A4D" w:rsidR="008F3A87" w:rsidRPr="00FB5F57" w:rsidRDefault="008F3A87" w:rsidP="008F3A87">
            <w:pPr>
              <w:rPr>
                <w:b/>
                <w:sz w:val="22"/>
                <w:szCs w:val="22"/>
                <w:lang w:val="en-GB"/>
              </w:rPr>
            </w:pPr>
            <w:r w:rsidRPr="00FB5F57">
              <w:rPr>
                <w:b/>
                <w:sz w:val="22"/>
                <w:szCs w:val="22"/>
                <w:lang w:val="en-GB"/>
              </w:rPr>
              <w:t>4.</w:t>
            </w:r>
            <w:r>
              <w:rPr>
                <w:b/>
                <w:sz w:val="22"/>
                <w:szCs w:val="22"/>
                <w:lang w:val="en-GB"/>
              </w:rPr>
              <w:t>3</w:t>
            </w:r>
            <w:r w:rsidRPr="00FB5F57">
              <w:rPr>
                <w:b/>
                <w:sz w:val="22"/>
                <w:szCs w:val="22"/>
                <w:lang w:val="en-GB"/>
              </w:rPr>
              <w:t>. Poisoning and agrochemicals</w:t>
            </w:r>
          </w:p>
          <w:p w14:paraId="3CA25D14" w14:textId="77777777" w:rsidR="008F3A87" w:rsidRPr="00FB5F57" w:rsidRDefault="008F3A87" w:rsidP="008F3A87">
            <w:pPr>
              <w:spacing w:line="276" w:lineRule="auto"/>
              <w:rPr>
                <w:bCs/>
                <w:sz w:val="22"/>
                <w:szCs w:val="22"/>
                <w:lang w:val="en-GB"/>
              </w:rPr>
            </w:pPr>
            <w:r w:rsidRPr="00FB5F57">
              <w:rPr>
                <w:bCs/>
                <w:sz w:val="22"/>
                <w:szCs w:val="22"/>
                <w:lang w:val="en-GB"/>
              </w:rPr>
              <w:t xml:space="preserve">Collaborate on implementation of CMS Resolution 11.15 on Preventing poisoning of migratory birds.  Task includes participation in the CMS </w:t>
            </w:r>
            <w:r>
              <w:rPr>
                <w:bCs/>
                <w:sz w:val="22"/>
                <w:szCs w:val="22"/>
                <w:lang w:val="en-GB"/>
              </w:rPr>
              <w:t xml:space="preserve">Preventing </w:t>
            </w:r>
            <w:r w:rsidRPr="00FB5F57">
              <w:rPr>
                <w:bCs/>
                <w:sz w:val="22"/>
                <w:szCs w:val="22"/>
                <w:lang w:val="en-GB"/>
              </w:rPr>
              <w:t>Poisoning Working Group to provide further guidance and support in relation to the implementation of CMS Resolution 11.15</w:t>
            </w:r>
            <w:r>
              <w:rPr>
                <w:bCs/>
                <w:sz w:val="22"/>
                <w:szCs w:val="22"/>
                <w:lang w:val="en-GB"/>
              </w:rPr>
              <w:t xml:space="preserve"> </w:t>
            </w:r>
            <w:r w:rsidRPr="00B4261B">
              <w:rPr>
                <w:sz w:val="22"/>
                <w:szCs w:val="22"/>
                <w:lang w:val="en-GB"/>
              </w:rPr>
              <w:t>(</w:t>
            </w:r>
            <w:r w:rsidRPr="008F3A87">
              <w:rPr>
                <w:i/>
                <w:iCs/>
                <w:sz w:val="22"/>
                <w:szCs w:val="22"/>
                <w:lang w:val="en-GB"/>
              </w:rPr>
              <w:t>carried over from Work Plan 2016-2018</w:t>
            </w:r>
            <w:r w:rsidRPr="00B4261B">
              <w:rPr>
                <w:sz w:val="22"/>
                <w:szCs w:val="22"/>
                <w:lang w:val="en-GB"/>
              </w:rPr>
              <w:t>)</w:t>
            </w:r>
            <w:r>
              <w:rPr>
                <w:bCs/>
                <w:sz w:val="22"/>
                <w:szCs w:val="22"/>
                <w:lang w:val="en-GB"/>
              </w:rPr>
              <w:t>.</w:t>
            </w:r>
            <w:r w:rsidRPr="00FB5F57">
              <w:rPr>
                <w:bCs/>
                <w:sz w:val="22"/>
                <w:szCs w:val="22"/>
                <w:lang w:val="en-GB"/>
              </w:rPr>
              <w:t xml:space="preserve"> (</w:t>
            </w:r>
            <w:r w:rsidRPr="00026AF2">
              <w:rPr>
                <w:bCs/>
                <w:i/>
                <w:iCs/>
                <w:sz w:val="22"/>
                <w:szCs w:val="22"/>
                <w:lang w:val="en-GB"/>
              </w:rPr>
              <w:t xml:space="preserve">Resolution </w:t>
            </w:r>
            <w:r w:rsidRPr="00026AF2">
              <w:rPr>
                <w:bCs/>
                <w:i/>
                <w:iCs/>
                <w:sz w:val="22"/>
                <w:szCs w:val="22"/>
                <w:lang w:val="en-GB"/>
              </w:rPr>
              <w:lastRenderedPageBreak/>
              <w:t>6.12;</w:t>
            </w:r>
            <w:r>
              <w:rPr>
                <w:bCs/>
                <w:sz w:val="22"/>
                <w:szCs w:val="22"/>
                <w:lang w:val="en-GB"/>
              </w:rPr>
              <w:t xml:space="preserve"> </w:t>
            </w:r>
            <w:r w:rsidRPr="00107C91">
              <w:rPr>
                <w:i/>
                <w:iCs/>
                <w:sz w:val="22"/>
                <w:szCs w:val="22"/>
                <w:lang w:val="en-GB"/>
              </w:rPr>
              <w:t>CMS Flyways Programme of Work, Resolution 12.11, Annex 1</w:t>
            </w:r>
            <w:r w:rsidRPr="00FB5F57">
              <w:rPr>
                <w:bCs/>
                <w:sz w:val="22"/>
                <w:szCs w:val="22"/>
                <w:lang w:val="en-GB"/>
              </w:rPr>
              <w:t xml:space="preserve">) </w:t>
            </w:r>
          </w:p>
        </w:tc>
        <w:tc>
          <w:tcPr>
            <w:tcW w:w="361" w:type="pct"/>
            <w:tcBorders>
              <w:top w:val="single" w:sz="4" w:space="0" w:color="000000"/>
              <w:left w:val="single" w:sz="4" w:space="0" w:color="000000"/>
              <w:bottom w:val="single" w:sz="4" w:space="0" w:color="000000"/>
              <w:right w:val="single" w:sz="4" w:space="0" w:color="000000"/>
            </w:tcBorders>
          </w:tcPr>
          <w:p w14:paraId="3BD98A0E" w14:textId="77777777" w:rsidR="008F3A87" w:rsidRDefault="008F3A87" w:rsidP="008F3A87">
            <w:pPr>
              <w:rPr>
                <w:sz w:val="22"/>
                <w:szCs w:val="22"/>
                <w:lang w:val="en-GB"/>
              </w:rPr>
            </w:pPr>
            <w:r w:rsidRPr="006E2325">
              <w:rPr>
                <w:b/>
                <w:bCs/>
                <w:sz w:val="22"/>
                <w:szCs w:val="22"/>
                <w:lang w:val="en-GB" w:eastAsia="nl-NL"/>
              </w:rPr>
              <w:lastRenderedPageBreak/>
              <w:t>No (immediate) action required</w:t>
            </w:r>
          </w:p>
        </w:tc>
        <w:tc>
          <w:tcPr>
            <w:tcW w:w="682" w:type="pct"/>
            <w:tcBorders>
              <w:top w:val="single" w:sz="4" w:space="0" w:color="000000"/>
              <w:left w:val="single" w:sz="4" w:space="0" w:color="000000"/>
              <w:bottom w:val="single" w:sz="4" w:space="0" w:color="000000"/>
              <w:right w:val="single" w:sz="4" w:space="0" w:color="000000"/>
            </w:tcBorders>
          </w:tcPr>
          <w:p w14:paraId="239200FF" w14:textId="77777777" w:rsidR="008F3A87" w:rsidRDefault="008F3A87" w:rsidP="008F3A87">
            <w:pPr>
              <w:rPr>
                <w:b/>
                <w:sz w:val="22"/>
                <w:szCs w:val="22"/>
                <w:lang w:val="en-GB"/>
              </w:rPr>
            </w:pPr>
            <w:r w:rsidRPr="00B137E4">
              <w:rPr>
                <w:b/>
                <w:bCs/>
                <w:sz w:val="22"/>
                <w:szCs w:val="22"/>
                <w:lang w:val="en-GB"/>
              </w:rPr>
              <w:t>N/A</w:t>
            </w:r>
          </w:p>
        </w:tc>
        <w:tc>
          <w:tcPr>
            <w:tcW w:w="1629" w:type="pct"/>
            <w:tcBorders>
              <w:top w:val="single" w:sz="4" w:space="0" w:color="000000"/>
              <w:left w:val="single" w:sz="4" w:space="0" w:color="000000"/>
              <w:bottom w:val="single" w:sz="4" w:space="0" w:color="000000"/>
              <w:right w:val="single" w:sz="4" w:space="0" w:color="000000"/>
            </w:tcBorders>
          </w:tcPr>
          <w:p w14:paraId="166C764C" w14:textId="3F02860E" w:rsidR="008F3A87" w:rsidRPr="00860CD7" w:rsidRDefault="008F3A87" w:rsidP="008F3A87">
            <w:pPr>
              <w:rPr>
                <w:b/>
                <w:sz w:val="22"/>
                <w:szCs w:val="22"/>
                <w:lang w:val="en-GB"/>
              </w:rPr>
            </w:pPr>
            <w:r w:rsidRPr="008F3A87">
              <w:rPr>
                <w:sz w:val="22"/>
                <w:szCs w:val="22"/>
                <w:lang w:val="en-GB"/>
              </w:rPr>
              <w:t xml:space="preserve">The Technical Committee is represented in the </w:t>
            </w:r>
            <w:r>
              <w:rPr>
                <w:sz w:val="22"/>
                <w:szCs w:val="22"/>
                <w:lang w:val="en-GB"/>
              </w:rPr>
              <w:t xml:space="preserve">Working Group </w:t>
            </w:r>
            <w:r w:rsidRPr="008F3A87">
              <w:rPr>
                <w:sz w:val="22"/>
                <w:szCs w:val="22"/>
                <w:lang w:val="en-GB"/>
              </w:rPr>
              <w:t xml:space="preserve">by </w:t>
            </w:r>
            <w:r>
              <w:rPr>
                <w:sz w:val="22"/>
                <w:szCs w:val="22"/>
                <w:lang w:val="en-GB"/>
              </w:rPr>
              <w:t xml:space="preserve">Ruth Cromie </w:t>
            </w:r>
            <w:r w:rsidRPr="008F3A87">
              <w:rPr>
                <w:sz w:val="22"/>
                <w:szCs w:val="22"/>
                <w:lang w:val="en-GB"/>
              </w:rPr>
              <w:t>(</w:t>
            </w:r>
            <w:r>
              <w:rPr>
                <w:sz w:val="22"/>
                <w:szCs w:val="22"/>
                <w:lang w:val="en-GB"/>
              </w:rPr>
              <w:t>invited expert</w:t>
            </w:r>
            <w:r w:rsidRPr="008F3A87">
              <w:rPr>
                <w:sz w:val="22"/>
                <w:szCs w:val="22"/>
                <w:lang w:val="en-GB"/>
              </w:rPr>
              <w:t>).</w:t>
            </w:r>
          </w:p>
        </w:tc>
        <w:tc>
          <w:tcPr>
            <w:tcW w:w="823" w:type="pct"/>
            <w:tcBorders>
              <w:top w:val="single" w:sz="4" w:space="0" w:color="000000"/>
              <w:left w:val="single" w:sz="4" w:space="0" w:color="000000"/>
              <w:bottom w:val="single" w:sz="4" w:space="0" w:color="000000"/>
              <w:right w:val="single" w:sz="4" w:space="0" w:color="000000"/>
            </w:tcBorders>
          </w:tcPr>
          <w:p w14:paraId="5A02F708" w14:textId="6A863D14" w:rsidR="008F3A87" w:rsidRPr="00860CD7" w:rsidRDefault="008F3A87" w:rsidP="008F3A87">
            <w:pPr>
              <w:rPr>
                <w:sz w:val="22"/>
                <w:szCs w:val="22"/>
                <w:lang w:val="en-GB"/>
              </w:rPr>
            </w:pPr>
            <w:r>
              <w:rPr>
                <w:sz w:val="22"/>
                <w:szCs w:val="22"/>
                <w:lang w:val="en-GB"/>
              </w:rPr>
              <w:t>--</w:t>
            </w:r>
          </w:p>
        </w:tc>
      </w:tr>
      <w:tr w:rsidR="008F3A87" w:rsidRPr="00860CD7" w14:paraId="4603A69F" w14:textId="77777777" w:rsidTr="00C807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25C87DD4" w14:textId="0E4B9B21" w:rsidR="008F3A87" w:rsidRPr="00FB5F57" w:rsidRDefault="008F3A87" w:rsidP="008F3A87">
            <w:pPr>
              <w:keepNext/>
              <w:rPr>
                <w:b/>
                <w:sz w:val="22"/>
                <w:szCs w:val="22"/>
                <w:lang w:val="en-GB"/>
              </w:rPr>
            </w:pPr>
            <w:r w:rsidRPr="00FB5F57">
              <w:rPr>
                <w:b/>
                <w:sz w:val="22"/>
                <w:szCs w:val="22"/>
                <w:lang w:val="en-GB"/>
              </w:rPr>
              <w:t>4.</w:t>
            </w:r>
            <w:r>
              <w:rPr>
                <w:b/>
                <w:sz w:val="22"/>
                <w:szCs w:val="22"/>
                <w:lang w:val="en-GB"/>
              </w:rPr>
              <w:t>4</w:t>
            </w:r>
            <w:r w:rsidRPr="00FB5F57">
              <w:rPr>
                <w:b/>
                <w:sz w:val="22"/>
                <w:szCs w:val="22"/>
                <w:lang w:val="en-GB"/>
              </w:rPr>
              <w:t>. Poisoning by lead shot</w:t>
            </w:r>
          </w:p>
          <w:p w14:paraId="178FFFB1" w14:textId="76C0D134" w:rsidR="008F3A87" w:rsidRPr="00FB5F57" w:rsidRDefault="008F3A87" w:rsidP="008F3A87">
            <w:pPr>
              <w:spacing w:line="276" w:lineRule="auto"/>
              <w:rPr>
                <w:bCs/>
                <w:sz w:val="22"/>
                <w:szCs w:val="22"/>
                <w:lang w:val="en-GB"/>
              </w:rPr>
            </w:pPr>
            <w:r w:rsidRPr="008F3A87">
              <w:rPr>
                <w:bCs/>
                <w:sz w:val="22"/>
                <w:szCs w:val="22"/>
                <w:lang w:val="en-GB"/>
              </w:rPr>
              <w:t>Collaborate on implementation of CMS Resolution 11.15 on Preventing poisoning of migratory birds.  Task includes participation in the CMS Intergovernmental Task Force on Phasing Out the Use of Lead Ammunition and Lead Fishing Weights to provide further guidance and support in relation to the implementation of CMS Resolution 11.15 (</w:t>
            </w:r>
            <w:r w:rsidRPr="008F3A87">
              <w:rPr>
                <w:bCs/>
                <w:i/>
                <w:iCs/>
                <w:sz w:val="22"/>
                <w:szCs w:val="22"/>
                <w:lang w:val="en-GB"/>
              </w:rPr>
              <w:t>carried over from Work Plan 2016-2018 with pertinent updates based on CMS Resolution 11.15 (Rev.COP13)</w:t>
            </w:r>
            <w:r w:rsidRPr="008F3A87">
              <w:rPr>
                <w:bCs/>
                <w:sz w:val="22"/>
                <w:szCs w:val="22"/>
                <w:lang w:val="en-GB"/>
              </w:rPr>
              <w:t>).</w:t>
            </w:r>
            <w:r>
              <w:rPr>
                <w:bCs/>
                <w:sz w:val="22"/>
                <w:szCs w:val="22"/>
                <w:lang w:val="en-GB"/>
              </w:rPr>
              <w:t xml:space="preserve"> </w:t>
            </w:r>
            <w:r w:rsidRPr="008F3A87">
              <w:rPr>
                <w:bCs/>
                <w:sz w:val="22"/>
                <w:szCs w:val="22"/>
                <w:lang w:val="en-GB"/>
              </w:rPr>
              <w:t>(</w:t>
            </w:r>
            <w:r w:rsidRPr="008F3A87">
              <w:rPr>
                <w:bCs/>
                <w:i/>
                <w:iCs/>
                <w:sz w:val="22"/>
                <w:szCs w:val="22"/>
                <w:lang w:val="en-GB"/>
              </w:rPr>
              <w:t>Resolution 6.12</w:t>
            </w:r>
            <w:r w:rsidRPr="008F3A87">
              <w:rPr>
                <w:bCs/>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tcPr>
          <w:p w14:paraId="0A50DC55" w14:textId="77777777" w:rsidR="008F3A87" w:rsidRPr="00345A66" w:rsidRDefault="008F3A87" w:rsidP="008F3A87">
            <w:pPr>
              <w:rPr>
                <w:sz w:val="22"/>
                <w:szCs w:val="22"/>
                <w:lang w:val="en-GB"/>
              </w:rPr>
            </w:pPr>
            <w:r w:rsidRPr="006E2325">
              <w:rPr>
                <w:b/>
                <w:bCs/>
                <w:sz w:val="22"/>
                <w:szCs w:val="22"/>
                <w:lang w:val="en-GB" w:eastAsia="nl-NL"/>
              </w:rPr>
              <w:t>No (immediate) action required</w:t>
            </w:r>
          </w:p>
        </w:tc>
        <w:tc>
          <w:tcPr>
            <w:tcW w:w="682" w:type="pct"/>
            <w:tcBorders>
              <w:top w:val="single" w:sz="4" w:space="0" w:color="000000"/>
              <w:left w:val="single" w:sz="4" w:space="0" w:color="000000"/>
              <w:bottom w:val="single" w:sz="4" w:space="0" w:color="000000"/>
              <w:right w:val="single" w:sz="4" w:space="0" w:color="000000"/>
            </w:tcBorders>
          </w:tcPr>
          <w:p w14:paraId="5B2150BD" w14:textId="77777777" w:rsidR="008F3A87" w:rsidRPr="00345A66" w:rsidRDefault="008F3A87" w:rsidP="008F3A87">
            <w:pPr>
              <w:rPr>
                <w:sz w:val="22"/>
                <w:szCs w:val="22"/>
                <w:lang w:val="en-GB"/>
              </w:rPr>
            </w:pPr>
            <w:r w:rsidRPr="00345A66">
              <w:rPr>
                <w:b/>
                <w:bCs/>
                <w:sz w:val="22"/>
                <w:szCs w:val="22"/>
                <w:lang w:val="en-GB"/>
              </w:rPr>
              <w:t>N/A</w:t>
            </w:r>
          </w:p>
        </w:tc>
        <w:tc>
          <w:tcPr>
            <w:tcW w:w="1629" w:type="pct"/>
            <w:tcBorders>
              <w:top w:val="single" w:sz="4" w:space="0" w:color="000000"/>
              <w:left w:val="single" w:sz="4" w:space="0" w:color="000000"/>
              <w:bottom w:val="single" w:sz="4" w:space="0" w:color="000000"/>
              <w:right w:val="single" w:sz="4" w:space="0" w:color="000000"/>
            </w:tcBorders>
          </w:tcPr>
          <w:p w14:paraId="282354C7" w14:textId="0D7D9760" w:rsidR="008F3A87" w:rsidRPr="00345A66" w:rsidRDefault="008F3A87" w:rsidP="008F3A87">
            <w:pPr>
              <w:rPr>
                <w:sz w:val="22"/>
                <w:szCs w:val="22"/>
                <w:lang w:val="en-GB"/>
              </w:rPr>
            </w:pPr>
            <w:r>
              <w:rPr>
                <w:sz w:val="22"/>
                <w:szCs w:val="22"/>
                <w:lang w:val="en-GB"/>
              </w:rPr>
              <w:t>Ruth Cromie, as invited experts, was assigned to represent the Technical Committee in the Task Force. The Task Force is yet to be convened by the CMS Secretariat.</w:t>
            </w:r>
          </w:p>
          <w:p w14:paraId="6E782245" w14:textId="77777777" w:rsidR="008F3A87" w:rsidRDefault="008F3A87" w:rsidP="008F3A87">
            <w:pPr>
              <w:rPr>
                <w:sz w:val="22"/>
                <w:szCs w:val="22"/>
                <w:lang w:val="en-GB"/>
              </w:rPr>
            </w:pPr>
          </w:p>
          <w:p w14:paraId="11C791F4" w14:textId="2624E643" w:rsidR="008F3A87" w:rsidRPr="0030103B" w:rsidRDefault="008F3A87" w:rsidP="008F3A87">
            <w:pPr>
              <w:rPr>
                <w:sz w:val="22"/>
                <w:szCs w:val="22"/>
                <w:lang w:val="en-GB"/>
              </w:rPr>
            </w:pPr>
          </w:p>
        </w:tc>
        <w:tc>
          <w:tcPr>
            <w:tcW w:w="823" w:type="pct"/>
            <w:tcBorders>
              <w:top w:val="single" w:sz="4" w:space="0" w:color="000000"/>
              <w:left w:val="single" w:sz="4" w:space="0" w:color="000000"/>
              <w:bottom w:val="single" w:sz="4" w:space="0" w:color="000000"/>
              <w:right w:val="single" w:sz="4" w:space="0" w:color="000000"/>
            </w:tcBorders>
          </w:tcPr>
          <w:p w14:paraId="3036EBDF" w14:textId="14DEEC70" w:rsidR="008F3A87" w:rsidRPr="00860CD7" w:rsidRDefault="008F3A87" w:rsidP="008F3A87">
            <w:pPr>
              <w:rPr>
                <w:sz w:val="22"/>
                <w:szCs w:val="22"/>
                <w:lang w:val="en-GB"/>
              </w:rPr>
            </w:pPr>
            <w:r>
              <w:rPr>
                <w:sz w:val="22"/>
                <w:szCs w:val="22"/>
                <w:lang w:val="en-GB"/>
              </w:rPr>
              <w:t>--</w:t>
            </w:r>
          </w:p>
        </w:tc>
      </w:tr>
      <w:tr w:rsidR="008F3A87" w:rsidRPr="00860CD7" w14:paraId="609D00F5" w14:textId="77777777" w:rsidTr="00C807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trHeight w:val="1734"/>
        </w:trPr>
        <w:tc>
          <w:tcPr>
            <w:tcW w:w="1505" w:type="pct"/>
            <w:tcBorders>
              <w:top w:val="single" w:sz="4" w:space="0" w:color="000000"/>
              <w:left w:val="single" w:sz="4" w:space="0" w:color="000000"/>
              <w:bottom w:val="single" w:sz="4" w:space="0" w:color="000000"/>
              <w:right w:val="single" w:sz="4" w:space="0" w:color="000000"/>
            </w:tcBorders>
            <w:hideMark/>
          </w:tcPr>
          <w:p w14:paraId="46EB5E49" w14:textId="1D07124E" w:rsidR="008F3A87" w:rsidRPr="00C70762" w:rsidRDefault="008F3A87" w:rsidP="008F3A87">
            <w:pPr>
              <w:spacing w:line="276" w:lineRule="auto"/>
              <w:rPr>
                <w:b/>
                <w:bCs/>
                <w:sz w:val="22"/>
                <w:szCs w:val="22"/>
                <w:lang w:val="en-GB"/>
              </w:rPr>
            </w:pPr>
            <w:r w:rsidRPr="00C70762">
              <w:rPr>
                <w:b/>
                <w:bCs/>
                <w:sz w:val="22"/>
                <w:szCs w:val="22"/>
                <w:lang w:val="en-GB"/>
              </w:rPr>
              <w:t>4.</w:t>
            </w:r>
            <w:r>
              <w:rPr>
                <w:b/>
                <w:bCs/>
                <w:sz w:val="22"/>
                <w:szCs w:val="22"/>
                <w:lang w:val="en-GB"/>
              </w:rPr>
              <w:t>5</w:t>
            </w:r>
            <w:r w:rsidRPr="00C70762">
              <w:rPr>
                <w:b/>
                <w:bCs/>
                <w:sz w:val="22"/>
                <w:szCs w:val="22"/>
                <w:lang w:val="en-GB"/>
              </w:rPr>
              <w:t>. Illegal killing</w:t>
            </w:r>
          </w:p>
          <w:p w14:paraId="4E8CFEF8" w14:textId="79302821" w:rsidR="008F3A87" w:rsidRPr="00C70762" w:rsidRDefault="008F3A87" w:rsidP="008F3A87">
            <w:pPr>
              <w:spacing w:line="276" w:lineRule="auto"/>
              <w:rPr>
                <w:sz w:val="22"/>
                <w:szCs w:val="22"/>
                <w:lang w:val="en-GB"/>
              </w:rPr>
            </w:pPr>
            <w:r w:rsidRPr="008F3A87">
              <w:rPr>
                <w:sz w:val="22"/>
                <w:szCs w:val="22"/>
                <w:lang w:val="en-GB"/>
              </w:rPr>
              <w:t>Collaborate on implementation of CMS Resolution 11.16 on the prevention of illegal killing, taking and trade of migratory birds and the CMS COP14 Resolution on the same subject.  Task includes participation in the Intergovernmental Task Force to Address Illegal Killing, Taking and Trade of Migratory Birds in the Mediterranean, and the newly established TF for SW Asia, and technical support for implementation of the Plan of Action to Address Bird Trapping Along the Mediterranean Coasts of Egypt and Libya (</w:t>
            </w:r>
            <w:r w:rsidRPr="008F3A87">
              <w:rPr>
                <w:i/>
                <w:iCs/>
                <w:sz w:val="22"/>
                <w:szCs w:val="22"/>
                <w:lang w:val="en-GB"/>
              </w:rPr>
              <w:t>Resolution 6.12</w:t>
            </w:r>
            <w:r w:rsidRPr="008F3A87">
              <w:rPr>
                <w:sz w:val="22"/>
                <w:szCs w:val="22"/>
                <w:lang w:val="en-GB"/>
              </w:rPr>
              <w:t>)</w:t>
            </w:r>
            <w:r>
              <w:rPr>
                <w:sz w:val="22"/>
                <w:szCs w:val="22"/>
                <w:lang w:val="en-GB"/>
              </w:rPr>
              <w:t>.</w:t>
            </w:r>
            <w:r w:rsidRPr="008F3A87">
              <w:rPr>
                <w:sz w:val="22"/>
                <w:szCs w:val="22"/>
                <w:lang w:val="en-GB"/>
              </w:rPr>
              <w:t xml:space="preserve"> (</w:t>
            </w:r>
            <w:r w:rsidRPr="008F3A87">
              <w:rPr>
                <w:i/>
                <w:iCs/>
                <w:sz w:val="22"/>
                <w:szCs w:val="22"/>
                <w:lang w:val="en-GB"/>
              </w:rPr>
              <w:t>carried over from Work Plan 2016-2018; Resolution 8.15</w:t>
            </w:r>
            <w:r w:rsidRPr="008F3A87">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tcPr>
          <w:p w14:paraId="121E51E1" w14:textId="77777777" w:rsidR="008F3A87" w:rsidRDefault="008F3A87" w:rsidP="008F3A87">
            <w:pPr>
              <w:spacing w:line="276" w:lineRule="auto"/>
              <w:rPr>
                <w:sz w:val="22"/>
                <w:szCs w:val="22"/>
                <w:lang w:val="en-GB"/>
              </w:rPr>
            </w:pPr>
            <w:r w:rsidRPr="006E2325">
              <w:rPr>
                <w:b/>
                <w:bCs/>
                <w:sz w:val="22"/>
                <w:szCs w:val="22"/>
                <w:lang w:val="en-GB" w:eastAsia="nl-NL"/>
              </w:rPr>
              <w:t>No (immediate) action required</w:t>
            </w:r>
          </w:p>
        </w:tc>
        <w:tc>
          <w:tcPr>
            <w:tcW w:w="682" w:type="pct"/>
            <w:tcBorders>
              <w:top w:val="single" w:sz="4" w:space="0" w:color="000000"/>
              <w:left w:val="single" w:sz="4" w:space="0" w:color="000000"/>
              <w:bottom w:val="single" w:sz="4" w:space="0" w:color="000000"/>
              <w:right w:val="single" w:sz="4" w:space="0" w:color="000000"/>
            </w:tcBorders>
          </w:tcPr>
          <w:p w14:paraId="3037D9CA" w14:textId="77777777" w:rsidR="008F3A87" w:rsidRDefault="008F3A87" w:rsidP="008F3A87">
            <w:pPr>
              <w:spacing w:line="276" w:lineRule="auto"/>
              <w:rPr>
                <w:sz w:val="22"/>
                <w:szCs w:val="22"/>
                <w:lang w:val="en-GB"/>
              </w:rPr>
            </w:pPr>
            <w:r w:rsidRPr="00345A66">
              <w:rPr>
                <w:b/>
                <w:bCs/>
                <w:sz w:val="22"/>
                <w:szCs w:val="22"/>
                <w:lang w:val="en-GB"/>
              </w:rPr>
              <w:t>N/A</w:t>
            </w:r>
          </w:p>
        </w:tc>
        <w:tc>
          <w:tcPr>
            <w:tcW w:w="1629" w:type="pct"/>
            <w:tcBorders>
              <w:top w:val="single" w:sz="4" w:space="0" w:color="000000"/>
              <w:left w:val="single" w:sz="4" w:space="0" w:color="000000"/>
              <w:bottom w:val="single" w:sz="4" w:space="0" w:color="000000"/>
              <w:right w:val="single" w:sz="4" w:space="0" w:color="000000"/>
            </w:tcBorders>
          </w:tcPr>
          <w:p w14:paraId="4071C7C9" w14:textId="77777777" w:rsidR="008F3A87" w:rsidRPr="008F3A87" w:rsidRDefault="008F3A87" w:rsidP="008F3A87">
            <w:pPr>
              <w:spacing w:line="276" w:lineRule="auto"/>
              <w:rPr>
                <w:sz w:val="22"/>
                <w:szCs w:val="22"/>
              </w:rPr>
            </w:pPr>
            <w:r w:rsidRPr="008F3A87">
              <w:rPr>
                <w:sz w:val="22"/>
                <w:szCs w:val="22"/>
              </w:rPr>
              <w:t>Taulant Bino (regional representative of Central Europe), Hichem Azafzaf (regional representative of Northern Africa), and Nils Bunnefeld (thematic expert on rural economics) were assigned to represent the technical Committee in the Mediterranean Task Force.</w:t>
            </w:r>
          </w:p>
          <w:p w14:paraId="6999F5FE" w14:textId="77777777" w:rsidR="008F3A87" w:rsidRPr="008F3A87" w:rsidRDefault="008F3A87" w:rsidP="008F3A87">
            <w:pPr>
              <w:spacing w:line="276" w:lineRule="auto"/>
              <w:rPr>
                <w:sz w:val="22"/>
                <w:szCs w:val="22"/>
              </w:rPr>
            </w:pPr>
          </w:p>
          <w:p w14:paraId="76C700EE" w14:textId="56874271" w:rsidR="008F3A87" w:rsidRPr="008F3A87" w:rsidRDefault="008F3A87" w:rsidP="008F3A87">
            <w:pPr>
              <w:spacing w:line="276" w:lineRule="auto"/>
              <w:rPr>
                <w:sz w:val="22"/>
                <w:szCs w:val="22"/>
                <w:lang w:val="en-GB"/>
              </w:rPr>
            </w:pPr>
            <w:r w:rsidRPr="008F3A87">
              <w:rPr>
                <w:sz w:val="22"/>
                <w:szCs w:val="22"/>
              </w:rPr>
              <w:t xml:space="preserve">Mohammed Shobrak (TC chair and representative of South-west Asia) was assigned to represent the Technical Committee in the SW Asian Task Force. </w:t>
            </w:r>
          </w:p>
        </w:tc>
        <w:tc>
          <w:tcPr>
            <w:tcW w:w="823" w:type="pct"/>
            <w:tcBorders>
              <w:top w:val="single" w:sz="4" w:space="0" w:color="000000"/>
              <w:left w:val="single" w:sz="4" w:space="0" w:color="000000"/>
              <w:bottom w:val="single" w:sz="4" w:space="0" w:color="000000"/>
              <w:right w:val="single" w:sz="4" w:space="0" w:color="000000"/>
            </w:tcBorders>
          </w:tcPr>
          <w:p w14:paraId="4B7B9F59" w14:textId="3BF1A066" w:rsidR="008F3A87" w:rsidRPr="00860CD7" w:rsidRDefault="008F3A87" w:rsidP="008F3A87">
            <w:pPr>
              <w:spacing w:line="276" w:lineRule="auto"/>
              <w:rPr>
                <w:sz w:val="22"/>
                <w:szCs w:val="22"/>
                <w:lang w:val="en-GB"/>
              </w:rPr>
            </w:pPr>
            <w:r>
              <w:rPr>
                <w:sz w:val="22"/>
                <w:szCs w:val="22"/>
                <w:lang w:val="en-GB"/>
              </w:rPr>
              <w:t>--</w:t>
            </w:r>
          </w:p>
        </w:tc>
      </w:tr>
      <w:tr w:rsidR="00F3020C" w:rsidRPr="00860CD7" w14:paraId="464DBE82" w14:textId="77777777" w:rsidTr="00DC3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35155871" w14:textId="22A86478" w:rsidR="00DC3494" w:rsidRDefault="00F3020C" w:rsidP="00DC3494">
            <w:pPr>
              <w:spacing w:line="276" w:lineRule="auto"/>
              <w:rPr>
                <w:b/>
                <w:bCs/>
                <w:sz w:val="22"/>
                <w:szCs w:val="22"/>
                <w:lang w:val="en-GB"/>
              </w:rPr>
            </w:pPr>
            <w:r w:rsidRPr="002C6484">
              <w:rPr>
                <w:b/>
                <w:bCs/>
                <w:sz w:val="22"/>
                <w:szCs w:val="22"/>
                <w:lang w:val="en-GB"/>
              </w:rPr>
              <w:lastRenderedPageBreak/>
              <w:t>4.</w:t>
            </w:r>
            <w:r w:rsidR="00DC3494">
              <w:rPr>
                <w:b/>
                <w:bCs/>
                <w:sz w:val="22"/>
                <w:szCs w:val="22"/>
                <w:lang w:val="en-GB"/>
              </w:rPr>
              <w:t>6</w:t>
            </w:r>
            <w:r w:rsidRPr="002C6484">
              <w:rPr>
                <w:b/>
                <w:bCs/>
                <w:sz w:val="22"/>
                <w:szCs w:val="22"/>
                <w:lang w:val="en-GB"/>
              </w:rPr>
              <w:t xml:space="preserve">. </w:t>
            </w:r>
            <w:r w:rsidR="00DC3494" w:rsidRPr="00DC3494">
              <w:rPr>
                <w:b/>
                <w:bCs/>
                <w:sz w:val="22"/>
                <w:szCs w:val="22"/>
                <w:lang w:val="en-GB"/>
              </w:rPr>
              <w:t>Harvest data estimates from non-Party Range States</w:t>
            </w:r>
          </w:p>
          <w:p w14:paraId="7140C73A" w14:textId="79BBE4D3" w:rsidR="00F3020C" w:rsidRPr="002C6484" w:rsidRDefault="00DC3494" w:rsidP="00DC3494">
            <w:pPr>
              <w:spacing w:line="276" w:lineRule="auto"/>
              <w:rPr>
                <w:sz w:val="22"/>
                <w:szCs w:val="22"/>
                <w:lang w:val="en-GB"/>
              </w:rPr>
            </w:pPr>
            <w:r w:rsidRPr="00DC3494">
              <w:rPr>
                <w:sz w:val="22"/>
                <w:szCs w:val="22"/>
                <w:lang w:val="en-GB"/>
              </w:rPr>
              <w:t>Establish informed estimates of harvest of AEWA-listed waterbird species from non-Party Range States</w:t>
            </w:r>
            <w:r>
              <w:rPr>
                <w:sz w:val="22"/>
                <w:szCs w:val="22"/>
                <w:lang w:val="en-GB"/>
              </w:rPr>
              <w:t>.</w:t>
            </w:r>
            <w:r w:rsidRPr="00DC3494">
              <w:rPr>
                <w:sz w:val="22"/>
                <w:szCs w:val="22"/>
                <w:lang w:val="en-GB"/>
              </w:rPr>
              <w:t xml:space="preserve"> (</w:t>
            </w:r>
            <w:r w:rsidRPr="00DC3494">
              <w:rPr>
                <w:i/>
                <w:iCs/>
                <w:sz w:val="22"/>
                <w:szCs w:val="22"/>
                <w:lang w:val="en-GB"/>
              </w:rPr>
              <w:t>Strategic Plan 2019-2027</w:t>
            </w:r>
            <w:r w:rsidRPr="00DC3494">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5D27F84D" w14:textId="77777777" w:rsidR="00F3020C" w:rsidRDefault="00F3020C" w:rsidP="00F3020C">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616D821B" w14:textId="336BF15B" w:rsidR="00F3020C" w:rsidRPr="00860CD7" w:rsidRDefault="00DC3494" w:rsidP="00F3020C">
            <w:pPr>
              <w:spacing w:line="276" w:lineRule="auto"/>
              <w:rPr>
                <w:sz w:val="22"/>
                <w:szCs w:val="22"/>
                <w:lang w:val="en-GB"/>
              </w:rPr>
            </w:pPr>
            <w:r>
              <w:rPr>
                <w:b/>
                <w:bCs/>
                <w:sz w:val="22"/>
                <w:szCs w:val="22"/>
                <w:lang w:val="en-GB"/>
              </w:rPr>
              <w:t xml:space="preserve">Partially implemented </w:t>
            </w:r>
          </w:p>
        </w:tc>
        <w:tc>
          <w:tcPr>
            <w:tcW w:w="1629" w:type="pct"/>
            <w:tcBorders>
              <w:top w:val="single" w:sz="4" w:space="0" w:color="000000"/>
              <w:left w:val="single" w:sz="4" w:space="0" w:color="000000"/>
              <w:bottom w:val="single" w:sz="4" w:space="0" w:color="000000"/>
              <w:right w:val="single" w:sz="4" w:space="0" w:color="000000"/>
            </w:tcBorders>
          </w:tcPr>
          <w:p w14:paraId="3529E6CA" w14:textId="77777777" w:rsidR="00F3020C" w:rsidRDefault="00DC3494" w:rsidP="00F3020C">
            <w:pPr>
              <w:spacing w:line="276" w:lineRule="auto"/>
              <w:rPr>
                <w:sz w:val="22"/>
                <w:szCs w:val="22"/>
                <w:lang w:val="en-GB"/>
              </w:rPr>
            </w:pPr>
            <w:r>
              <w:rPr>
                <w:sz w:val="22"/>
                <w:szCs w:val="22"/>
                <w:lang w:val="en-GB"/>
              </w:rPr>
              <w:t>The Technical Committee agreed to i</w:t>
            </w:r>
            <w:r w:rsidRPr="00DC3494">
              <w:rPr>
                <w:sz w:val="22"/>
                <w:szCs w:val="22"/>
                <w:lang w:val="en-GB"/>
              </w:rPr>
              <w:t xml:space="preserve">nvolve all </w:t>
            </w:r>
            <w:r>
              <w:rPr>
                <w:sz w:val="22"/>
                <w:szCs w:val="22"/>
                <w:lang w:val="en-GB"/>
              </w:rPr>
              <w:t>n</w:t>
            </w:r>
            <w:r w:rsidRPr="00DC3494">
              <w:rPr>
                <w:sz w:val="22"/>
                <w:szCs w:val="22"/>
                <w:lang w:val="en-GB"/>
              </w:rPr>
              <w:t xml:space="preserve">on-Party Range States </w:t>
            </w:r>
            <w:r>
              <w:rPr>
                <w:sz w:val="22"/>
                <w:szCs w:val="22"/>
                <w:lang w:val="en-GB"/>
              </w:rPr>
              <w:t xml:space="preserve">(nPRSs) </w:t>
            </w:r>
            <w:r w:rsidRPr="00DC3494">
              <w:rPr>
                <w:sz w:val="22"/>
                <w:szCs w:val="22"/>
                <w:lang w:val="en-GB"/>
              </w:rPr>
              <w:t xml:space="preserve">in responding to the harvest data reporting module </w:t>
            </w:r>
            <w:r>
              <w:rPr>
                <w:sz w:val="22"/>
                <w:szCs w:val="22"/>
                <w:lang w:val="en-GB"/>
              </w:rPr>
              <w:t>in</w:t>
            </w:r>
            <w:r w:rsidRPr="00DC3494">
              <w:rPr>
                <w:sz w:val="22"/>
                <w:szCs w:val="22"/>
                <w:lang w:val="en-GB"/>
              </w:rPr>
              <w:t xml:space="preserve"> the MOP9 reporting cycle</w:t>
            </w:r>
            <w:r>
              <w:rPr>
                <w:sz w:val="22"/>
                <w:szCs w:val="22"/>
                <w:lang w:val="en-GB"/>
              </w:rPr>
              <w:t>, which the Secretariat implemented, but only one nPRSs submitted a report.</w:t>
            </w:r>
          </w:p>
          <w:p w14:paraId="26C5589D" w14:textId="77777777" w:rsidR="00DC3494" w:rsidRDefault="00DC3494" w:rsidP="00F3020C">
            <w:pPr>
              <w:spacing w:line="276" w:lineRule="auto"/>
              <w:rPr>
                <w:sz w:val="22"/>
                <w:szCs w:val="22"/>
                <w:lang w:val="en-GB"/>
              </w:rPr>
            </w:pPr>
          </w:p>
          <w:p w14:paraId="487E1200" w14:textId="6270AB40" w:rsidR="00DC3494" w:rsidRPr="000C2586" w:rsidRDefault="00DC3494" w:rsidP="00F3020C">
            <w:pPr>
              <w:spacing w:line="276" w:lineRule="auto"/>
              <w:rPr>
                <w:sz w:val="22"/>
                <w:szCs w:val="22"/>
                <w:lang w:val="en-GB"/>
              </w:rPr>
            </w:pPr>
            <w:r>
              <w:rPr>
                <w:sz w:val="22"/>
                <w:szCs w:val="22"/>
                <w:lang w:val="en-GB"/>
              </w:rPr>
              <w:t xml:space="preserve">Under this task the Technical Committee </w:t>
            </w:r>
            <w:r w:rsidR="002016C5">
              <w:rPr>
                <w:sz w:val="22"/>
                <w:szCs w:val="22"/>
                <w:lang w:val="en-GB"/>
              </w:rPr>
              <w:t xml:space="preserve">approved </w:t>
            </w:r>
            <w:r w:rsidR="002016C5">
              <w:t>at its 18</w:t>
            </w:r>
            <w:r w:rsidR="002016C5" w:rsidRPr="002016C5">
              <w:rPr>
                <w:vertAlign w:val="superscript"/>
              </w:rPr>
              <w:t>th</w:t>
            </w:r>
            <w:r w:rsidR="002016C5">
              <w:t xml:space="preserve"> meeting in March 2023 </w:t>
            </w:r>
            <w:r w:rsidRPr="00DC3494">
              <w:rPr>
                <w:sz w:val="22"/>
                <w:szCs w:val="22"/>
                <w:lang w:val="en-GB"/>
              </w:rPr>
              <w:t>T</w:t>
            </w:r>
            <w:r>
              <w:rPr>
                <w:sz w:val="22"/>
                <w:szCs w:val="22"/>
                <w:lang w:val="en-GB"/>
              </w:rPr>
              <w:t xml:space="preserve">erms </w:t>
            </w:r>
            <w:r w:rsidRPr="00DC3494">
              <w:rPr>
                <w:sz w:val="22"/>
                <w:szCs w:val="22"/>
                <w:lang w:val="en-GB"/>
              </w:rPr>
              <w:t>o</w:t>
            </w:r>
            <w:r>
              <w:rPr>
                <w:sz w:val="22"/>
                <w:szCs w:val="22"/>
                <w:lang w:val="en-GB"/>
              </w:rPr>
              <w:t xml:space="preserve">f </w:t>
            </w:r>
            <w:r w:rsidRPr="00DC3494">
              <w:rPr>
                <w:sz w:val="22"/>
                <w:szCs w:val="22"/>
                <w:lang w:val="en-GB"/>
              </w:rPr>
              <w:t>R</w:t>
            </w:r>
            <w:r>
              <w:rPr>
                <w:sz w:val="22"/>
                <w:szCs w:val="22"/>
                <w:lang w:val="en-GB"/>
              </w:rPr>
              <w:t>eference</w:t>
            </w:r>
            <w:r w:rsidRPr="00DC3494">
              <w:rPr>
                <w:sz w:val="22"/>
                <w:szCs w:val="22"/>
                <w:lang w:val="en-GB"/>
              </w:rPr>
              <w:t xml:space="preserve"> </w:t>
            </w:r>
            <w:r w:rsidR="002016C5">
              <w:rPr>
                <w:sz w:val="22"/>
                <w:szCs w:val="22"/>
                <w:lang w:val="en-GB"/>
              </w:rPr>
              <w:t xml:space="preserve">(ToR) </w:t>
            </w:r>
            <w:r w:rsidRPr="00DC3494">
              <w:rPr>
                <w:sz w:val="22"/>
                <w:szCs w:val="22"/>
                <w:lang w:val="en-GB"/>
              </w:rPr>
              <w:t>for outsourcing the compilation of guidance on methods and tools for harvest data collection</w:t>
            </w:r>
            <w:r>
              <w:rPr>
                <w:sz w:val="22"/>
                <w:szCs w:val="22"/>
                <w:lang w:val="en-GB"/>
              </w:rPr>
              <w:t xml:space="preserve">. </w:t>
            </w:r>
            <w:r w:rsidR="002016C5">
              <w:rPr>
                <w:sz w:val="22"/>
                <w:szCs w:val="22"/>
                <w:lang w:val="en-GB"/>
              </w:rPr>
              <w:t xml:space="preserve">The ToR were compiled by the ad hoc working group as reported under task 2.4. </w:t>
            </w:r>
            <w:r>
              <w:rPr>
                <w:sz w:val="22"/>
                <w:szCs w:val="22"/>
                <w:lang w:val="en-GB"/>
              </w:rPr>
              <w:t xml:space="preserve">Due to the lack of funding, the implementation of this sub-task could not be outsourced. </w:t>
            </w:r>
            <w:r w:rsidRPr="00AA3281">
              <w:rPr>
                <w:bCs/>
                <w:sz w:val="22"/>
                <w:szCs w:val="22"/>
                <w:lang w:val="en-GB" w:eastAsia="nl-NL"/>
              </w:rPr>
              <w:t>It will be carried over for implementation in the next triennium, funding permitting.</w:t>
            </w:r>
          </w:p>
        </w:tc>
        <w:tc>
          <w:tcPr>
            <w:tcW w:w="823" w:type="pct"/>
            <w:tcBorders>
              <w:top w:val="single" w:sz="4" w:space="0" w:color="000000"/>
              <w:left w:val="single" w:sz="4" w:space="0" w:color="000000"/>
              <w:bottom w:val="single" w:sz="4" w:space="0" w:color="000000"/>
              <w:right w:val="single" w:sz="4" w:space="0" w:color="000000"/>
            </w:tcBorders>
          </w:tcPr>
          <w:p w14:paraId="278577B2" w14:textId="4C9F564B" w:rsidR="00F3020C" w:rsidRPr="00860CD7" w:rsidRDefault="00DC3494" w:rsidP="00F3020C">
            <w:pPr>
              <w:spacing w:line="276" w:lineRule="auto"/>
              <w:rPr>
                <w:sz w:val="22"/>
                <w:szCs w:val="22"/>
                <w:lang w:val="en-GB"/>
              </w:rPr>
            </w:pPr>
            <w:r>
              <w:rPr>
                <w:sz w:val="22"/>
                <w:szCs w:val="22"/>
                <w:lang w:val="en-GB"/>
              </w:rPr>
              <w:t>--</w:t>
            </w:r>
          </w:p>
        </w:tc>
      </w:tr>
      <w:tr w:rsidR="00F3020C" w:rsidRPr="00860CD7" w14:paraId="59D7B6D7" w14:textId="77777777" w:rsidTr="002016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2F9248B6" w14:textId="12502211" w:rsidR="00F3020C" w:rsidRPr="002C6484" w:rsidRDefault="00F3020C" w:rsidP="00F3020C">
            <w:pPr>
              <w:keepNext/>
              <w:spacing w:line="276" w:lineRule="auto"/>
              <w:rPr>
                <w:b/>
                <w:sz w:val="22"/>
                <w:szCs w:val="22"/>
                <w:lang w:val="en-GB" w:eastAsia="nl-NL"/>
              </w:rPr>
            </w:pPr>
            <w:r w:rsidRPr="002C6484">
              <w:rPr>
                <w:b/>
                <w:sz w:val="22"/>
                <w:szCs w:val="22"/>
                <w:lang w:val="en-GB" w:eastAsia="nl-NL"/>
              </w:rPr>
              <w:t>4.</w:t>
            </w:r>
            <w:r w:rsidR="002016C5">
              <w:rPr>
                <w:b/>
                <w:sz w:val="22"/>
                <w:szCs w:val="22"/>
                <w:lang w:val="en-GB" w:eastAsia="nl-NL"/>
              </w:rPr>
              <w:t>7</w:t>
            </w:r>
            <w:r w:rsidRPr="002C6484">
              <w:rPr>
                <w:b/>
                <w:sz w:val="22"/>
                <w:szCs w:val="22"/>
                <w:lang w:val="en-GB" w:eastAsia="nl-NL"/>
              </w:rPr>
              <w:t xml:space="preserve">. Sustainability of harvest </w:t>
            </w:r>
          </w:p>
          <w:p w14:paraId="19FC2C89" w14:textId="00D24986" w:rsidR="00F3020C" w:rsidRPr="002C6484" w:rsidRDefault="00F3020C" w:rsidP="00F3020C">
            <w:pPr>
              <w:spacing w:line="276" w:lineRule="auto"/>
              <w:rPr>
                <w:bCs/>
                <w:sz w:val="22"/>
                <w:szCs w:val="22"/>
                <w:lang w:val="en-GB" w:eastAsia="nl-NL"/>
              </w:rPr>
            </w:pPr>
            <w:r w:rsidRPr="002C6484">
              <w:rPr>
                <w:bCs/>
                <w:sz w:val="22"/>
                <w:szCs w:val="22"/>
                <w:lang w:val="en-GB" w:eastAsia="nl-NL"/>
              </w:rPr>
              <w:t>Undertake a rapid assessment of sustainability of harvest of declining quarry populations</w:t>
            </w:r>
            <w:r w:rsidR="002016C5">
              <w:rPr>
                <w:bCs/>
                <w:sz w:val="22"/>
                <w:szCs w:val="22"/>
                <w:lang w:val="en-GB" w:eastAsia="nl-NL"/>
              </w:rPr>
              <w:t xml:space="preserve"> </w:t>
            </w:r>
            <w:r w:rsidR="002016C5" w:rsidRPr="002016C5">
              <w:rPr>
                <w:bCs/>
                <w:sz w:val="22"/>
                <w:szCs w:val="22"/>
                <w:lang w:val="en-GB" w:eastAsia="nl-NL"/>
              </w:rPr>
              <w:t>(</w:t>
            </w:r>
            <w:r w:rsidR="002016C5" w:rsidRPr="002016C5">
              <w:rPr>
                <w:bCs/>
                <w:i/>
                <w:iCs/>
                <w:sz w:val="22"/>
                <w:szCs w:val="22"/>
                <w:lang w:val="en-GB" w:eastAsia="nl-NL"/>
              </w:rPr>
              <w:t>carried over from Work Plan 2019-2021/2022</w:t>
            </w:r>
            <w:r w:rsidR="002016C5" w:rsidRPr="002016C5">
              <w:rPr>
                <w:bCs/>
                <w:sz w:val="22"/>
                <w:szCs w:val="22"/>
                <w:lang w:val="en-GB" w:eastAsia="nl-NL"/>
              </w:rPr>
              <w:t>)</w:t>
            </w:r>
            <w:r>
              <w:rPr>
                <w:bCs/>
                <w:sz w:val="22"/>
                <w:szCs w:val="22"/>
                <w:lang w:val="en-GB" w:eastAsia="nl-NL"/>
              </w:rPr>
              <w:t>.</w:t>
            </w:r>
            <w:r w:rsidRPr="002C6484">
              <w:rPr>
                <w:bCs/>
                <w:sz w:val="22"/>
                <w:szCs w:val="22"/>
                <w:lang w:val="en-GB" w:eastAsia="nl-NL"/>
              </w:rPr>
              <w:t xml:space="preserve"> (</w:t>
            </w:r>
            <w:r w:rsidRPr="00131EA3">
              <w:rPr>
                <w:bCs/>
                <w:i/>
                <w:iCs/>
                <w:sz w:val="22"/>
                <w:szCs w:val="22"/>
                <w:lang w:val="en-GB" w:eastAsia="nl-NL"/>
              </w:rPr>
              <w:t>Strategic Plan 2019-2027</w:t>
            </w:r>
            <w:r w:rsidRPr="002C6484">
              <w:rPr>
                <w:bCs/>
                <w:sz w:val="22"/>
                <w:szCs w:val="22"/>
                <w:lang w:val="en-GB" w:eastAsia="nl-NL"/>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7A454301" w14:textId="77777777" w:rsidR="00F3020C" w:rsidRDefault="00F3020C" w:rsidP="00F3020C">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4E288941" w14:textId="758B03B7" w:rsidR="00F3020C" w:rsidRPr="00860CD7" w:rsidRDefault="002016C5" w:rsidP="00F3020C">
            <w:pPr>
              <w:spacing w:line="276" w:lineRule="auto"/>
              <w:rPr>
                <w:sz w:val="22"/>
                <w:szCs w:val="22"/>
                <w:lang w:val="en-GB"/>
              </w:rPr>
            </w:pPr>
            <w:r>
              <w:rPr>
                <w:b/>
                <w:bCs/>
                <w:sz w:val="22"/>
                <w:szCs w:val="22"/>
                <w:lang w:val="en-GB"/>
              </w:rPr>
              <w:t xml:space="preserve">Not </w:t>
            </w:r>
            <w:r w:rsidR="00F3020C">
              <w:rPr>
                <w:b/>
                <w:bCs/>
                <w:sz w:val="22"/>
                <w:szCs w:val="22"/>
                <w:lang w:val="en-GB"/>
              </w:rPr>
              <w:t>implemented</w:t>
            </w:r>
          </w:p>
        </w:tc>
        <w:tc>
          <w:tcPr>
            <w:tcW w:w="1629" w:type="pct"/>
            <w:tcBorders>
              <w:top w:val="single" w:sz="4" w:space="0" w:color="000000"/>
              <w:left w:val="single" w:sz="4" w:space="0" w:color="000000"/>
              <w:bottom w:val="single" w:sz="4" w:space="0" w:color="000000"/>
              <w:right w:val="single" w:sz="4" w:space="0" w:color="000000"/>
            </w:tcBorders>
          </w:tcPr>
          <w:p w14:paraId="4F6D9789" w14:textId="7E78DECF" w:rsidR="00F3020C" w:rsidRPr="000C2586" w:rsidRDefault="002016C5" w:rsidP="00F3020C">
            <w:pPr>
              <w:spacing w:line="276" w:lineRule="auto"/>
              <w:rPr>
                <w:sz w:val="22"/>
                <w:szCs w:val="22"/>
                <w:lang w:val="en-GB"/>
              </w:rPr>
            </w:pPr>
            <w:r w:rsidRPr="002016C5">
              <w:rPr>
                <w:sz w:val="22"/>
                <w:szCs w:val="22"/>
                <w:lang w:val="en-GB"/>
              </w:rPr>
              <w:t>Under this task the Technical Committee approved at its 18</w:t>
            </w:r>
            <w:r w:rsidRPr="002016C5">
              <w:rPr>
                <w:sz w:val="22"/>
                <w:szCs w:val="22"/>
                <w:vertAlign w:val="superscript"/>
                <w:lang w:val="en-GB"/>
              </w:rPr>
              <w:t>th</w:t>
            </w:r>
            <w:r>
              <w:rPr>
                <w:sz w:val="22"/>
                <w:szCs w:val="22"/>
                <w:lang w:val="en-GB"/>
              </w:rPr>
              <w:t xml:space="preserve"> </w:t>
            </w:r>
            <w:r w:rsidRPr="002016C5">
              <w:rPr>
                <w:sz w:val="22"/>
                <w:szCs w:val="22"/>
                <w:lang w:val="en-GB"/>
              </w:rPr>
              <w:t xml:space="preserve">meeting in March 2023 Terms of Reference (ToR) for outsourcing the </w:t>
            </w:r>
            <w:r>
              <w:rPr>
                <w:sz w:val="22"/>
                <w:szCs w:val="22"/>
                <w:lang w:val="en-GB"/>
              </w:rPr>
              <w:t xml:space="preserve">rapid assessment of sustainability of </w:t>
            </w:r>
            <w:r w:rsidRPr="002016C5">
              <w:rPr>
                <w:sz w:val="22"/>
                <w:szCs w:val="22"/>
                <w:lang w:val="en-GB"/>
              </w:rPr>
              <w:t xml:space="preserve">harvest. The ToR were compiled by the ad hoc working group as reported under task 2.4. Due to the </w:t>
            </w:r>
            <w:r>
              <w:rPr>
                <w:sz w:val="22"/>
                <w:szCs w:val="22"/>
                <w:lang w:val="en-GB"/>
              </w:rPr>
              <w:t xml:space="preserve">very low reporting rate of harvest data Parties and non-Party Range States as well as the </w:t>
            </w:r>
            <w:r w:rsidRPr="002016C5">
              <w:rPr>
                <w:sz w:val="22"/>
                <w:szCs w:val="22"/>
                <w:lang w:val="en-GB"/>
              </w:rPr>
              <w:t xml:space="preserve">lack of funding, the implementation of this sub-task could not be outsourced. It will be carried over for implementation in the next triennium, funding </w:t>
            </w:r>
            <w:r>
              <w:rPr>
                <w:sz w:val="22"/>
                <w:szCs w:val="22"/>
                <w:lang w:val="en-GB"/>
              </w:rPr>
              <w:t xml:space="preserve">and data availability </w:t>
            </w:r>
            <w:r w:rsidRPr="002016C5">
              <w:rPr>
                <w:sz w:val="22"/>
                <w:szCs w:val="22"/>
                <w:lang w:val="en-GB"/>
              </w:rPr>
              <w:t>permitting.</w:t>
            </w:r>
          </w:p>
        </w:tc>
        <w:tc>
          <w:tcPr>
            <w:tcW w:w="823" w:type="pct"/>
            <w:tcBorders>
              <w:top w:val="single" w:sz="4" w:space="0" w:color="000000"/>
              <w:left w:val="single" w:sz="4" w:space="0" w:color="000000"/>
              <w:bottom w:val="single" w:sz="4" w:space="0" w:color="000000"/>
              <w:right w:val="single" w:sz="4" w:space="0" w:color="000000"/>
            </w:tcBorders>
          </w:tcPr>
          <w:p w14:paraId="3A5B40F4" w14:textId="6C34451A" w:rsidR="00F3020C" w:rsidRPr="00860CD7" w:rsidRDefault="002016C5" w:rsidP="00F3020C">
            <w:pPr>
              <w:spacing w:line="276" w:lineRule="auto"/>
              <w:rPr>
                <w:sz w:val="22"/>
                <w:szCs w:val="22"/>
                <w:lang w:val="en-GB"/>
              </w:rPr>
            </w:pPr>
            <w:r>
              <w:rPr>
                <w:sz w:val="22"/>
                <w:szCs w:val="22"/>
                <w:lang w:val="en-GB"/>
              </w:rPr>
              <w:t>--</w:t>
            </w:r>
          </w:p>
        </w:tc>
      </w:tr>
      <w:tr w:rsidR="00F3020C" w:rsidRPr="00860CD7" w14:paraId="4427E06C" w14:textId="77777777" w:rsidTr="002016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438E4D04" w14:textId="6B051508" w:rsidR="00F3020C" w:rsidRPr="002C6484" w:rsidRDefault="00F3020C" w:rsidP="00F3020C">
            <w:pPr>
              <w:spacing w:line="276" w:lineRule="auto"/>
              <w:rPr>
                <w:b/>
                <w:sz w:val="22"/>
                <w:szCs w:val="22"/>
                <w:lang w:val="en-GB" w:eastAsia="nl-NL"/>
              </w:rPr>
            </w:pPr>
            <w:r w:rsidRPr="002C6484">
              <w:rPr>
                <w:b/>
                <w:sz w:val="22"/>
                <w:szCs w:val="22"/>
                <w:lang w:val="en-GB" w:eastAsia="nl-NL"/>
              </w:rPr>
              <w:t>4.</w:t>
            </w:r>
            <w:r w:rsidR="002016C5">
              <w:rPr>
                <w:b/>
                <w:sz w:val="22"/>
                <w:szCs w:val="22"/>
                <w:lang w:val="en-GB" w:eastAsia="nl-NL"/>
              </w:rPr>
              <w:t>8</w:t>
            </w:r>
            <w:r w:rsidRPr="002C6484">
              <w:rPr>
                <w:b/>
                <w:sz w:val="22"/>
                <w:szCs w:val="22"/>
                <w:lang w:val="en-GB" w:eastAsia="nl-NL"/>
              </w:rPr>
              <w:t xml:space="preserve">. </w:t>
            </w:r>
            <w:r w:rsidR="002016C5">
              <w:t xml:space="preserve"> </w:t>
            </w:r>
            <w:r w:rsidR="002016C5" w:rsidRPr="002016C5">
              <w:rPr>
                <w:b/>
                <w:sz w:val="22"/>
                <w:szCs w:val="22"/>
                <w:lang w:val="en-GB" w:eastAsia="nl-NL"/>
              </w:rPr>
              <w:t>World Coastal Forum</w:t>
            </w:r>
            <w:r w:rsidR="002016C5">
              <w:rPr>
                <w:b/>
                <w:sz w:val="22"/>
                <w:szCs w:val="22"/>
                <w:lang w:val="en-GB" w:eastAsia="nl-NL"/>
              </w:rPr>
              <w:t xml:space="preserve"> (WCF)</w:t>
            </w:r>
          </w:p>
          <w:p w14:paraId="452D7668" w14:textId="3D04D336" w:rsidR="00F3020C" w:rsidRPr="002C6484" w:rsidRDefault="002016C5" w:rsidP="00F3020C">
            <w:pPr>
              <w:spacing w:line="276" w:lineRule="auto"/>
              <w:rPr>
                <w:bCs/>
                <w:sz w:val="22"/>
                <w:szCs w:val="22"/>
                <w:lang w:val="en-GB" w:eastAsia="nl-NL"/>
              </w:rPr>
            </w:pPr>
            <w:r w:rsidRPr="002016C5">
              <w:rPr>
                <w:bCs/>
                <w:sz w:val="22"/>
                <w:szCs w:val="22"/>
                <w:lang w:val="en-GB" w:eastAsia="nl-NL"/>
              </w:rPr>
              <w:t>Note WCF and assess the significance of its knowledge products for AEWA</w:t>
            </w:r>
            <w:r>
              <w:rPr>
                <w:bCs/>
                <w:sz w:val="22"/>
                <w:szCs w:val="22"/>
                <w:lang w:val="en-GB" w:eastAsia="nl-NL"/>
              </w:rPr>
              <w:t>.</w:t>
            </w:r>
            <w:r w:rsidRPr="002016C5">
              <w:rPr>
                <w:bCs/>
                <w:sz w:val="22"/>
                <w:szCs w:val="22"/>
                <w:lang w:val="en-GB" w:eastAsia="nl-NL"/>
              </w:rPr>
              <w:t xml:space="preserve"> (</w:t>
            </w:r>
            <w:r w:rsidRPr="002016C5">
              <w:rPr>
                <w:bCs/>
                <w:i/>
                <w:iCs/>
                <w:sz w:val="22"/>
                <w:szCs w:val="22"/>
                <w:lang w:val="en-GB" w:eastAsia="nl-NL"/>
              </w:rPr>
              <w:t>Resolution 8.7</w:t>
            </w:r>
            <w:r w:rsidRPr="002016C5">
              <w:rPr>
                <w:bCs/>
                <w:sz w:val="22"/>
                <w:szCs w:val="22"/>
                <w:lang w:val="en-GB" w:eastAsia="nl-NL"/>
              </w:rPr>
              <w:t>)</w:t>
            </w:r>
          </w:p>
        </w:tc>
        <w:tc>
          <w:tcPr>
            <w:tcW w:w="361" w:type="pct"/>
            <w:tcBorders>
              <w:top w:val="single" w:sz="4" w:space="0" w:color="000000"/>
              <w:left w:val="single" w:sz="4" w:space="0" w:color="000000"/>
              <w:bottom w:val="single" w:sz="4" w:space="0" w:color="000000"/>
              <w:right w:val="single" w:sz="4" w:space="0" w:color="000000"/>
            </w:tcBorders>
            <w:shd w:val="clear" w:color="auto" w:fill="99CCFF"/>
          </w:tcPr>
          <w:p w14:paraId="7C245975" w14:textId="6D122F27" w:rsidR="00F3020C" w:rsidRPr="002016C5" w:rsidRDefault="002016C5" w:rsidP="00F3020C">
            <w:pPr>
              <w:spacing w:line="276" w:lineRule="auto"/>
              <w:rPr>
                <w:b/>
                <w:bCs/>
                <w:sz w:val="22"/>
                <w:szCs w:val="22"/>
                <w:lang w:val="en-GB"/>
              </w:rPr>
            </w:pPr>
            <w:r w:rsidRPr="002016C5">
              <w:rPr>
                <w:b/>
                <w:bCs/>
                <w:sz w:val="22"/>
                <w:szCs w:val="22"/>
                <w:lang w:val="en-GB"/>
              </w:rPr>
              <w:t>Other</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1988CA01" w14:textId="6E07E6D2" w:rsidR="00F3020C" w:rsidRPr="0014323A" w:rsidRDefault="002016C5" w:rsidP="00F3020C">
            <w:pPr>
              <w:spacing w:line="276" w:lineRule="auto"/>
              <w:rPr>
                <w:b/>
                <w:bCs/>
                <w:sz w:val="22"/>
                <w:szCs w:val="22"/>
                <w:highlight w:val="yellow"/>
                <w:lang w:val="en-GB"/>
              </w:rPr>
            </w:pPr>
            <w:r>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16AD77BF" w14:textId="17BD803D" w:rsidR="00F3020C" w:rsidRPr="000C2586" w:rsidRDefault="002016C5" w:rsidP="00F3020C">
            <w:pPr>
              <w:spacing w:line="276" w:lineRule="auto"/>
              <w:rPr>
                <w:sz w:val="22"/>
                <w:szCs w:val="22"/>
                <w:lang w:val="en-GB"/>
              </w:rPr>
            </w:pPr>
            <w:r>
              <w:rPr>
                <w:sz w:val="22"/>
                <w:szCs w:val="22"/>
                <w:lang w:val="en-GB"/>
              </w:rPr>
              <w:t xml:space="preserve">No progress has been made on this task. </w:t>
            </w:r>
          </w:p>
        </w:tc>
        <w:tc>
          <w:tcPr>
            <w:tcW w:w="823" w:type="pct"/>
            <w:tcBorders>
              <w:top w:val="single" w:sz="4" w:space="0" w:color="000000"/>
              <w:left w:val="single" w:sz="4" w:space="0" w:color="000000"/>
              <w:bottom w:val="single" w:sz="4" w:space="0" w:color="000000"/>
              <w:right w:val="single" w:sz="4" w:space="0" w:color="000000"/>
            </w:tcBorders>
          </w:tcPr>
          <w:p w14:paraId="17D792CF" w14:textId="3FB746CE" w:rsidR="00F3020C" w:rsidRPr="00860CD7" w:rsidRDefault="002016C5" w:rsidP="00F3020C">
            <w:pPr>
              <w:spacing w:line="276" w:lineRule="auto"/>
              <w:rPr>
                <w:sz w:val="22"/>
                <w:szCs w:val="22"/>
                <w:lang w:val="en-GB"/>
              </w:rPr>
            </w:pPr>
            <w:r>
              <w:rPr>
                <w:sz w:val="22"/>
                <w:szCs w:val="22"/>
                <w:lang w:val="en-GB"/>
              </w:rPr>
              <w:t>--</w:t>
            </w:r>
          </w:p>
        </w:tc>
      </w:tr>
      <w:tr w:rsidR="00F3020C" w:rsidRPr="00860CD7" w14:paraId="6FABD66D" w14:textId="77777777" w:rsidTr="00B2330D">
        <w:trPr>
          <w:trHeight w:val="570"/>
        </w:trPr>
        <w:tc>
          <w:tcPr>
            <w:tcW w:w="5000" w:type="pct"/>
            <w:gridSpan w:val="5"/>
            <w:shd w:val="clear" w:color="auto" w:fill="FFF2CC" w:themeFill="accent4" w:themeFillTint="33"/>
            <w:vAlign w:val="center"/>
            <w:hideMark/>
          </w:tcPr>
          <w:p w14:paraId="68FA917A" w14:textId="77777777" w:rsidR="00F3020C" w:rsidRPr="00860CD7" w:rsidRDefault="00F3020C" w:rsidP="00F3020C">
            <w:pPr>
              <w:keepNext/>
              <w:spacing w:line="276" w:lineRule="auto"/>
              <w:rPr>
                <w:b/>
                <w:color w:val="000000"/>
                <w:sz w:val="22"/>
                <w:szCs w:val="22"/>
                <w:lang w:val="en-GB"/>
              </w:rPr>
            </w:pPr>
            <w:r w:rsidRPr="000A7EC8">
              <w:rPr>
                <w:b/>
                <w:color w:val="2F5496" w:themeColor="accent1" w:themeShade="BF"/>
                <w:lang w:val="en-GB"/>
              </w:rPr>
              <w:lastRenderedPageBreak/>
              <w:t>Research and monitoring (Working Group 5)</w:t>
            </w:r>
          </w:p>
        </w:tc>
      </w:tr>
      <w:tr w:rsidR="00F3020C" w:rsidRPr="00860CD7" w14:paraId="236F75C0"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blHeader/>
        </w:trPr>
        <w:tc>
          <w:tcPr>
            <w:tcW w:w="1505" w:type="pct"/>
            <w:tcBorders>
              <w:top w:val="single" w:sz="4" w:space="0" w:color="000000"/>
              <w:left w:val="single" w:sz="4" w:space="0" w:color="000000"/>
              <w:bottom w:val="single" w:sz="4" w:space="0" w:color="000000"/>
              <w:right w:val="single" w:sz="4" w:space="0" w:color="000000"/>
            </w:tcBorders>
            <w:shd w:val="clear" w:color="auto" w:fill="F2F2F2"/>
            <w:hideMark/>
          </w:tcPr>
          <w:p w14:paraId="2E4DFD06" w14:textId="77777777" w:rsidR="00F3020C" w:rsidRPr="00860CD7" w:rsidRDefault="00F3020C" w:rsidP="00F3020C">
            <w:pPr>
              <w:keepNext/>
              <w:spacing w:line="276" w:lineRule="auto"/>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tcPr>
          <w:p w14:paraId="00F0988A" w14:textId="77777777" w:rsidR="00F3020C" w:rsidRPr="0000230E" w:rsidRDefault="00F3020C" w:rsidP="00F3020C">
            <w:pPr>
              <w:keepNext/>
              <w:spacing w:line="276" w:lineRule="auto"/>
              <w:rPr>
                <w:b/>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cPr>
          <w:p w14:paraId="291892F1" w14:textId="77777777" w:rsidR="00F3020C" w:rsidRPr="0000230E" w:rsidRDefault="00F3020C" w:rsidP="00F3020C">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cPr>
          <w:p w14:paraId="2EC9F2DB" w14:textId="77777777" w:rsidR="00F3020C" w:rsidRPr="0000230E" w:rsidRDefault="00F3020C" w:rsidP="00F3020C">
            <w:pPr>
              <w:keepNext/>
              <w:spacing w:line="276" w:lineRule="auto"/>
              <w:rPr>
                <w:b/>
                <w:sz w:val="22"/>
                <w:szCs w:val="22"/>
                <w:lang w:val="en-GB"/>
              </w:rPr>
            </w:pPr>
            <w:r w:rsidRPr="002C2F9E">
              <w:rPr>
                <w:b/>
                <w:sz w:val="22"/>
                <w:szCs w:val="22"/>
                <w:lang w:val="en-GB"/>
              </w:rPr>
              <w:t>Actions undertaken by the TC</w:t>
            </w:r>
          </w:p>
        </w:tc>
        <w:tc>
          <w:tcPr>
            <w:tcW w:w="823" w:type="pct"/>
            <w:tcBorders>
              <w:top w:val="single" w:sz="4" w:space="0" w:color="000000"/>
              <w:left w:val="single" w:sz="4" w:space="0" w:color="000000"/>
              <w:bottom w:val="single" w:sz="4" w:space="0" w:color="000000"/>
              <w:right w:val="single" w:sz="4" w:space="0" w:color="000000"/>
            </w:tcBorders>
            <w:shd w:val="clear" w:color="auto" w:fill="F2F2F2"/>
            <w:hideMark/>
          </w:tcPr>
          <w:p w14:paraId="14768F98" w14:textId="78F6DB3B" w:rsidR="00F3020C" w:rsidRPr="0000230E" w:rsidRDefault="00F3020C" w:rsidP="00F3020C">
            <w:pPr>
              <w:keepNext/>
              <w:spacing w:line="276" w:lineRule="auto"/>
              <w:rPr>
                <w:b/>
                <w:sz w:val="22"/>
                <w:szCs w:val="22"/>
                <w:lang w:val="en-GB"/>
              </w:rPr>
            </w:pPr>
            <w:r w:rsidRPr="0000230E">
              <w:rPr>
                <w:b/>
                <w:sz w:val="22"/>
                <w:szCs w:val="22"/>
                <w:lang w:val="en-GB"/>
              </w:rPr>
              <w:t>Relevant MOP</w:t>
            </w:r>
            <w:r w:rsidR="0032185B">
              <w:rPr>
                <w:b/>
                <w:sz w:val="22"/>
                <w:szCs w:val="22"/>
                <w:lang w:val="en-GB"/>
              </w:rPr>
              <w:t xml:space="preserve">9 </w:t>
            </w:r>
            <w:r w:rsidRPr="0000230E">
              <w:rPr>
                <w:b/>
                <w:sz w:val="22"/>
                <w:szCs w:val="22"/>
                <w:lang w:val="en-GB"/>
              </w:rPr>
              <w:t xml:space="preserve">documents </w:t>
            </w:r>
          </w:p>
        </w:tc>
      </w:tr>
      <w:tr w:rsidR="00F3020C" w:rsidRPr="00860CD7" w14:paraId="1ED884F5" w14:textId="77777777" w:rsidTr="00B324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06051970" w14:textId="208F40D2" w:rsidR="00F3020C" w:rsidRPr="000E00FA" w:rsidRDefault="00F3020C" w:rsidP="00F3020C">
            <w:pPr>
              <w:spacing w:line="276" w:lineRule="auto"/>
              <w:rPr>
                <w:b/>
                <w:sz w:val="22"/>
                <w:szCs w:val="22"/>
                <w:lang w:val="en-GB" w:eastAsia="nl-NL"/>
              </w:rPr>
            </w:pPr>
            <w:r w:rsidRPr="000E00FA">
              <w:rPr>
                <w:b/>
                <w:sz w:val="22"/>
                <w:szCs w:val="22"/>
                <w:lang w:val="en-GB" w:eastAsia="nl-NL"/>
              </w:rPr>
              <w:t xml:space="preserve">5.1. </w:t>
            </w:r>
            <w:r w:rsidR="00B3248B">
              <w:t xml:space="preserve"> </w:t>
            </w:r>
            <w:r w:rsidR="00B3248B" w:rsidRPr="00B3248B">
              <w:rPr>
                <w:b/>
                <w:sz w:val="22"/>
                <w:szCs w:val="22"/>
                <w:lang w:val="en-GB" w:eastAsia="nl-NL"/>
              </w:rPr>
              <w:t>Horizon scanning</w:t>
            </w:r>
          </w:p>
          <w:p w14:paraId="794F1DDF" w14:textId="34F6A0BF" w:rsidR="00F3020C" w:rsidRPr="00860CD7" w:rsidRDefault="00B3248B" w:rsidP="00F3020C">
            <w:pPr>
              <w:spacing w:line="276" w:lineRule="auto"/>
              <w:rPr>
                <w:b/>
                <w:sz w:val="22"/>
                <w:szCs w:val="22"/>
                <w:lang w:val="en-GB"/>
              </w:rPr>
            </w:pPr>
            <w:r w:rsidRPr="00B3248B">
              <w:rPr>
                <w:bCs/>
                <w:sz w:val="22"/>
                <w:szCs w:val="22"/>
                <w:lang w:val="en-GB" w:eastAsia="nl-NL"/>
              </w:rPr>
              <w:t>Periodically undertake horizon scanning exercises (for knowledge needs and gaps) working with others, as appropriate, and report the findings to the Meeting of Parties</w:t>
            </w:r>
            <w:r>
              <w:rPr>
                <w:bCs/>
                <w:sz w:val="22"/>
                <w:szCs w:val="22"/>
                <w:lang w:val="en-GB" w:eastAsia="nl-NL"/>
              </w:rPr>
              <w:t>.</w:t>
            </w:r>
            <w:r w:rsidRPr="00B3248B">
              <w:rPr>
                <w:bCs/>
                <w:sz w:val="22"/>
                <w:szCs w:val="22"/>
                <w:lang w:val="en-GB" w:eastAsia="nl-NL"/>
              </w:rPr>
              <w:t xml:space="preserve"> (</w:t>
            </w:r>
            <w:r w:rsidRPr="00B3248B">
              <w:rPr>
                <w:bCs/>
                <w:i/>
                <w:iCs/>
                <w:sz w:val="22"/>
                <w:szCs w:val="22"/>
                <w:lang w:val="en-GB" w:eastAsia="nl-NL"/>
              </w:rPr>
              <w:t>Strategic Plan 2019-2027; Resolution 8.7</w:t>
            </w:r>
            <w:r w:rsidRPr="00B3248B">
              <w:rPr>
                <w:bCs/>
                <w:sz w:val="22"/>
                <w:szCs w:val="22"/>
                <w:lang w:val="en-GB" w:eastAsia="nl-NL"/>
              </w:rPr>
              <w:t>)</w:t>
            </w:r>
          </w:p>
        </w:tc>
        <w:tc>
          <w:tcPr>
            <w:tcW w:w="361" w:type="pct"/>
            <w:tcBorders>
              <w:top w:val="single" w:sz="4" w:space="0" w:color="000000"/>
              <w:left w:val="single" w:sz="4" w:space="0" w:color="000000"/>
              <w:bottom w:val="single" w:sz="4" w:space="0" w:color="000000"/>
              <w:right w:val="single" w:sz="4" w:space="0" w:color="000000"/>
            </w:tcBorders>
            <w:shd w:val="clear" w:color="auto" w:fill="99CCFF"/>
          </w:tcPr>
          <w:p w14:paraId="6B39EB2F" w14:textId="6A5D2E2C" w:rsidR="00F3020C" w:rsidRPr="00860CD7" w:rsidRDefault="00B3248B" w:rsidP="00F3020C">
            <w:pPr>
              <w:spacing w:line="276" w:lineRule="auto"/>
              <w:rPr>
                <w:sz w:val="22"/>
                <w:szCs w:val="22"/>
                <w:lang w:val="en-GB"/>
              </w:rPr>
            </w:pPr>
            <w:r w:rsidRPr="00206F6B">
              <w:rPr>
                <w:b/>
                <w:sz w:val="22"/>
                <w:szCs w:val="22"/>
                <w:shd w:val="clear" w:color="auto" w:fill="99CCFF"/>
                <w:lang w:val="en-GB" w:eastAsia="nl-NL"/>
              </w:rPr>
              <w:t>Other</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2800535A" w14:textId="36CD49BC" w:rsidR="00F3020C" w:rsidRPr="00B3248B" w:rsidRDefault="00B3248B" w:rsidP="00F3020C">
            <w:pPr>
              <w:spacing w:line="276" w:lineRule="auto"/>
              <w:rPr>
                <w:b/>
                <w:bCs/>
                <w:sz w:val="22"/>
                <w:szCs w:val="22"/>
                <w:lang w:val="en-GB"/>
              </w:rPr>
            </w:pPr>
            <w:r w:rsidRPr="00B3248B">
              <w:rPr>
                <w:b/>
                <w:bCs/>
                <w:sz w:val="22"/>
                <w:szCs w:val="22"/>
              </w:rPr>
              <w:t>Partially implemented</w:t>
            </w:r>
          </w:p>
        </w:tc>
        <w:tc>
          <w:tcPr>
            <w:tcW w:w="1629" w:type="pct"/>
            <w:tcBorders>
              <w:top w:val="single" w:sz="4" w:space="0" w:color="000000"/>
              <w:left w:val="single" w:sz="4" w:space="0" w:color="000000"/>
              <w:bottom w:val="single" w:sz="4" w:space="0" w:color="000000"/>
              <w:right w:val="single" w:sz="4" w:space="0" w:color="000000"/>
            </w:tcBorders>
          </w:tcPr>
          <w:p w14:paraId="2F8A5F1D" w14:textId="7C6E6592" w:rsidR="00F3020C" w:rsidRPr="000C2586" w:rsidRDefault="00B3248B" w:rsidP="00F3020C">
            <w:pPr>
              <w:spacing w:line="276" w:lineRule="auto"/>
              <w:rPr>
                <w:sz w:val="22"/>
                <w:szCs w:val="22"/>
                <w:lang w:val="en-GB"/>
              </w:rPr>
            </w:pPr>
            <w:r>
              <w:rPr>
                <w:sz w:val="22"/>
                <w:szCs w:val="22"/>
                <w:lang w:val="en-GB"/>
              </w:rPr>
              <w:t xml:space="preserve">Based on document </w:t>
            </w:r>
            <w:r w:rsidRPr="00B3248B">
              <w:rPr>
                <w:sz w:val="22"/>
                <w:szCs w:val="22"/>
                <w:lang w:val="en-GB"/>
              </w:rPr>
              <w:t>AEWA/MOP 8.30</w:t>
            </w:r>
            <w:r>
              <w:rPr>
                <w:sz w:val="22"/>
                <w:szCs w:val="22"/>
                <w:lang w:val="en-GB"/>
              </w:rPr>
              <w:t>, the Technical Committee compiled and reviewed a draft of an updated review of the knowledge gaps and needs relevant for the implementation of the Agreement, but could not finalise it for submission to MOP9.</w:t>
            </w:r>
          </w:p>
        </w:tc>
        <w:tc>
          <w:tcPr>
            <w:tcW w:w="823" w:type="pct"/>
            <w:tcBorders>
              <w:top w:val="single" w:sz="4" w:space="0" w:color="000000"/>
              <w:left w:val="single" w:sz="4" w:space="0" w:color="000000"/>
              <w:bottom w:val="single" w:sz="4" w:space="0" w:color="000000"/>
              <w:right w:val="single" w:sz="4" w:space="0" w:color="000000"/>
            </w:tcBorders>
          </w:tcPr>
          <w:p w14:paraId="5ACA52D4" w14:textId="1AAF0199" w:rsidR="00F3020C" w:rsidRPr="00B3248B" w:rsidRDefault="00B3248B" w:rsidP="00B3248B">
            <w:pPr>
              <w:spacing w:line="276" w:lineRule="auto"/>
              <w:rPr>
                <w:sz w:val="22"/>
                <w:szCs w:val="22"/>
              </w:rPr>
            </w:pPr>
            <w:r>
              <w:rPr>
                <w:sz w:val="22"/>
                <w:szCs w:val="22"/>
              </w:rPr>
              <w:t>--</w:t>
            </w:r>
          </w:p>
        </w:tc>
      </w:tr>
      <w:tr w:rsidR="00F3020C" w:rsidRPr="00860CD7" w14:paraId="15D51C58" w14:textId="77777777" w:rsidTr="00B324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73715ABB" w14:textId="557988FD" w:rsidR="00F3020C" w:rsidRPr="000E00FA" w:rsidRDefault="00F3020C" w:rsidP="00F3020C">
            <w:pPr>
              <w:spacing w:line="276" w:lineRule="auto"/>
              <w:rPr>
                <w:b/>
                <w:bCs/>
                <w:color w:val="000000"/>
                <w:sz w:val="22"/>
                <w:szCs w:val="22"/>
                <w:lang w:val="en-GB"/>
              </w:rPr>
            </w:pPr>
            <w:r w:rsidRPr="000E00FA">
              <w:rPr>
                <w:b/>
                <w:bCs/>
                <w:color w:val="000000"/>
                <w:sz w:val="22"/>
                <w:szCs w:val="22"/>
                <w:lang w:val="en-GB"/>
              </w:rPr>
              <w:t xml:space="preserve">5.2. </w:t>
            </w:r>
            <w:r w:rsidR="00B3248B">
              <w:t xml:space="preserve"> </w:t>
            </w:r>
            <w:r w:rsidR="00B3248B" w:rsidRPr="00B3248B">
              <w:rPr>
                <w:b/>
                <w:bCs/>
                <w:color w:val="000000"/>
                <w:sz w:val="22"/>
                <w:szCs w:val="22"/>
                <w:lang w:val="en-GB"/>
              </w:rPr>
              <w:t>Integration of science-policy interface</w:t>
            </w:r>
          </w:p>
          <w:p w14:paraId="5EB2ACD2" w14:textId="6660DE3F" w:rsidR="00F3020C" w:rsidRPr="000E00FA" w:rsidRDefault="00B3248B" w:rsidP="00F3020C">
            <w:pPr>
              <w:spacing w:line="276" w:lineRule="auto"/>
              <w:rPr>
                <w:color w:val="000000"/>
                <w:sz w:val="22"/>
                <w:szCs w:val="22"/>
                <w:lang w:val="en-GB"/>
              </w:rPr>
            </w:pPr>
            <w:r w:rsidRPr="00B3248B">
              <w:rPr>
                <w:color w:val="000000"/>
                <w:sz w:val="22"/>
                <w:szCs w:val="22"/>
                <w:lang w:val="en-GB"/>
              </w:rPr>
              <w:t>(</w:t>
            </w:r>
            <w:r w:rsidRPr="00B3248B">
              <w:rPr>
                <w:i/>
                <w:iCs/>
                <w:color w:val="000000"/>
                <w:sz w:val="22"/>
                <w:szCs w:val="22"/>
                <w:lang w:val="en-GB"/>
              </w:rPr>
              <w:t>task added by the TC at its 18</w:t>
            </w:r>
            <w:r w:rsidRPr="00B3248B">
              <w:rPr>
                <w:i/>
                <w:iCs/>
                <w:color w:val="000000"/>
                <w:sz w:val="22"/>
                <w:szCs w:val="22"/>
                <w:vertAlign w:val="superscript"/>
                <w:lang w:val="en-GB"/>
              </w:rPr>
              <w:t>th</w:t>
            </w:r>
            <w:r w:rsidRPr="00B3248B">
              <w:rPr>
                <w:i/>
                <w:iCs/>
                <w:color w:val="000000"/>
                <w:sz w:val="22"/>
                <w:szCs w:val="22"/>
                <w:lang w:val="en-GB"/>
              </w:rPr>
              <w:t xml:space="preserve"> meeting in March 2023</w:t>
            </w:r>
            <w:r w:rsidRPr="00B3248B">
              <w:rPr>
                <w:color w:val="000000"/>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99CCFF"/>
          </w:tcPr>
          <w:p w14:paraId="079CDBEB" w14:textId="13C14FEA" w:rsidR="00F3020C" w:rsidRPr="00FD7D2D" w:rsidRDefault="00B3248B" w:rsidP="00F3020C">
            <w:pPr>
              <w:spacing w:line="276" w:lineRule="auto"/>
              <w:rPr>
                <w:sz w:val="22"/>
                <w:szCs w:val="22"/>
                <w:lang w:val="en-GB"/>
              </w:rPr>
            </w:pPr>
            <w:r w:rsidRPr="00206F6B">
              <w:rPr>
                <w:b/>
                <w:sz w:val="22"/>
                <w:szCs w:val="22"/>
                <w:shd w:val="clear" w:color="auto" w:fill="99CCFF"/>
                <w:lang w:val="en-GB" w:eastAsia="nl-NL"/>
              </w:rPr>
              <w:t>Other</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27AD81DE" w14:textId="0A28AB61" w:rsidR="00F3020C" w:rsidRPr="00B3248B" w:rsidRDefault="00B3248B" w:rsidP="00F3020C">
            <w:pPr>
              <w:spacing w:line="276" w:lineRule="auto"/>
              <w:rPr>
                <w:b/>
                <w:bCs/>
                <w:sz w:val="22"/>
                <w:szCs w:val="22"/>
                <w:lang w:val="en-GB"/>
              </w:rPr>
            </w:pPr>
            <w:r w:rsidRPr="00B3248B">
              <w:rPr>
                <w:b/>
                <w:bCs/>
                <w:sz w:val="22"/>
                <w:szCs w:val="22"/>
                <w:lang w:val="en-GB"/>
              </w:rPr>
              <w:t>Partially implemented</w:t>
            </w:r>
          </w:p>
        </w:tc>
        <w:tc>
          <w:tcPr>
            <w:tcW w:w="1629" w:type="pct"/>
            <w:tcBorders>
              <w:top w:val="single" w:sz="4" w:space="0" w:color="000000"/>
              <w:left w:val="single" w:sz="4" w:space="0" w:color="000000"/>
              <w:bottom w:val="single" w:sz="4" w:space="0" w:color="000000"/>
              <w:right w:val="single" w:sz="4" w:space="0" w:color="000000"/>
            </w:tcBorders>
          </w:tcPr>
          <w:p w14:paraId="465BDDAA" w14:textId="1503D545" w:rsidR="00F3020C" w:rsidRPr="00FD7D2D" w:rsidRDefault="0032185B" w:rsidP="00F3020C">
            <w:pPr>
              <w:spacing w:line="276" w:lineRule="auto"/>
              <w:rPr>
                <w:sz w:val="22"/>
                <w:szCs w:val="22"/>
                <w:lang w:val="en-GB"/>
              </w:rPr>
            </w:pPr>
            <w:r>
              <w:rPr>
                <w:sz w:val="22"/>
                <w:szCs w:val="22"/>
                <w:lang w:val="en-GB"/>
              </w:rPr>
              <w:t>The Technical Committee lead on task 5.2, the Chair of the Standing Committee and the Secretariat jointly compiled a draft paper on strengthening AEWAs science-policy interface, but due to time and capacity limitations, the document could not be finalised for submission to MOP9. Draft resolution 9.2 proposes the establishment of a MOP mandate for this task, which is to be delivered to MOP10.</w:t>
            </w:r>
          </w:p>
        </w:tc>
        <w:tc>
          <w:tcPr>
            <w:tcW w:w="823" w:type="pct"/>
            <w:tcBorders>
              <w:top w:val="single" w:sz="4" w:space="0" w:color="000000"/>
              <w:left w:val="single" w:sz="4" w:space="0" w:color="000000"/>
              <w:bottom w:val="single" w:sz="4" w:space="0" w:color="000000"/>
              <w:right w:val="single" w:sz="4" w:space="0" w:color="000000"/>
            </w:tcBorders>
          </w:tcPr>
          <w:p w14:paraId="23162161" w14:textId="7CD2794E" w:rsidR="00F3020C" w:rsidRPr="000E00FA" w:rsidRDefault="00F3020C" w:rsidP="00F3020C">
            <w:pPr>
              <w:rPr>
                <w:sz w:val="22"/>
                <w:szCs w:val="22"/>
                <w:lang w:val="en-GB"/>
              </w:rPr>
            </w:pPr>
            <w:r>
              <w:rPr>
                <w:sz w:val="22"/>
                <w:szCs w:val="22"/>
                <w:lang w:val="en-GB"/>
              </w:rPr>
              <w:t>Doc. AEWA/MOP</w:t>
            </w:r>
            <w:r w:rsidR="00B3248B">
              <w:rPr>
                <w:sz w:val="22"/>
                <w:szCs w:val="22"/>
                <w:lang w:val="en-GB"/>
              </w:rPr>
              <w:t>9</w:t>
            </w:r>
            <w:r>
              <w:rPr>
                <w:sz w:val="22"/>
                <w:szCs w:val="22"/>
                <w:lang w:val="en-GB"/>
              </w:rPr>
              <w:t xml:space="preserve"> DR.</w:t>
            </w:r>
            <w:r w:rsidR="00B3248B">
              <w:rPr>
                <w:sz w:val="22"/>
                <w:szCs w:val="22"/>
                <w:lang w:val="en-GB"/>
              </w:rPr>
              <w:t>2</w:t>
            </w:r>
          </w:p>
          <w:p w14:paraId="1E82AA89" w14:textId="77777777" w:rsidR="00F3020C" w:rsidRPr="00860CD7" w:rsidRDefault="00F3020C" w:rsidP="00F3020C">
            <w:pPr>
              <w:spacing w:line="276" w:lineRule="auto"/>
              <w:rPr>
                <w:sz w:val="22"/>
                <w:szCs w:val="22"/>
                <w:lang w:val="en-GB"/>
              </w:rPr>
            </w:pPr>
          </w:p>
        </w:tc>
      </w:tr>
      <w:tr w:rsidR="00F3020C" w:rsidRPr="00860CD7" w14:paraId="70074039" w14:textId="77777777" w:rsidTr="008E1311">
        <w:trPr>
          <w:trHeight w:val="476"/>
        </w:trPr>
        <w:tc>
          <w:tcPr>
            <w:tcW w:w="5000" w:type="pct"/>
            <w:gridSpan w:val="5"/>
            <w:vAlign w:val="center"/>
          </w:tcPr>
          <w:p w14:paraId="46C0DDBC" w14:textId="77777777" w:rsidR="00F3020C" w:rsidRPr="000A7EC8" w:rsidRDefault="00F3020C" w:rsidP="00F3020C">
            <w:pPr>
              <w:keepNext/>
              <w:spacing w:line="276" w:lineRule="auto"/>
              <w:rPr>
                <w:b/>
                <w:color w:val="2F5496" w:themeColor="accent1" w:themeShade="BF"/>
                <w:lang w:val="en-GB"/>
              </w:rPr>
            </w:pPr>
          </w:p>
        </w:tc>
      </w:tr>
      <w:tr w:rsidR="00F3020C" w:rsidRPr="00860CD7" w14:paraId="325F3630" w14:textId="77777777" w:rsidTr="00B2330D">
        <w:trPr>
          <w:trHeight w:val="476"/>
        </w:trPr>
        <w:tc>
          <w:tcPr>
            <w:tcW w:w="5000" w:type="pct"/>
            <w:gridSpan w:val="5"/>
            <w:shd w:val="clear" w:color="auto" w:fill="FFF2CC" w:themeFill="accent4" w:themeFillTint="33"/>
            <w:vAlign w:val="center"/>
            <w:hideMark/>
          </w:tcPr>
          <w:p w14:paraId="6137BD1F" w14:textId="77777777" w:rsidR="00F3020C" w:rsidRPr="00860CD7" w:rsidRDefault="00F3020C" w:rsidP="00F3020C">
            <w:pPr>
              <w:keepNext/>
              <w:spacing w:line="276" w:lineRule="auto"/>
              <w:rPr>
                <w:b/>
                <w:color w:val="000000"/>
                <w:sz w:val="22"/>
                <w:szCs w:val="22"/>
                <w:lang w:val="en-GB"/>
              </w:rPr>
            </w:pPr>
            <w:bookmarkStart w:id="2" w:name="_Hlk77618866"/>
            <w:r w:rsidRPr="000A7EC8">
              <w:rPr>
                <w:b/>
                <w:color w:val="2F5496" w:themeColor="accent1" w:themeShade="BF"/>
                <w:lang w:val="en-GB"/>
              </w:rPr>
              <w:t>Education and information (Working Group 6)</w:t>
            </w:r>
            <w:r w:rsidRPr="00860CD7">
              <w:rPr>
                <w:b/>
                <w:color w:val="000000"/>
                <w:sz w:val="22"/>
                <w:szCs w:val="22"/>
                <w:lang w:val="en-GB"/>
              </w:rPr>
              <w:t xml:space="preserve"> </w:t>
            </w:r>
          </w:p>
        </w:tc>
      </w:tr>
      <w:tr w:rsidR="00F3020C" w:rsidRPr="00860CD7" w14:paraId="58722FD2"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blHeader/>
        </w:trPr>
        <w:tc>
          <w:tcPr>
            <w:tcW w:w="1505" w:type="pct"/>
            <w:tcBorders>
              <w:top w:val="single" w:sz="4" w:space="0" w:color="000000"/>
              <w:left w:val="single" w:sz="4" w:space="0" w:color="000000"/>
              <w:bottom w:val="single" w:sz="4" w:space="0" w:color="auto"/>
              <w:right w:val="single" w:sz="4" w:space="0" w:color="000000"/>
            </w:tcBorders>
            <w:shd w:val="clear" w:color="auto" w:fill="F2F2F2"/>
            <w:hideMark/>
          </w:tcPr>
          <w:p w14:paraId="09AEA6CF" w14:textId="77777777" w:rsidR="00F3020C" w:rsidRPr="00860CD7" w:rsidRDefault="00F3020C" w:rsidP="00F3020C">
            <w:pPr>
              <w:keepNext/>
              <w:spacing w:line="276" w:lineRule="auto"/>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hideMark/>
          </w:tcPr>
          <w:p w14:paraId="0C41FEBC" w14:textId="77777777" w:rsidR="00F3020C" w:rsidRPr="0000230E" w:rsidRDefault="00F3020C" w:rsidP="00F3020C">
            <w:pPr>
              <w:keepNext/>
              <w:spacing w:line="276" w:lineRule="auto"/>
              <w:rPr>
                <w:b/>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cPr>
          <w:p w14:paraId="5AD63A3A" w14:textId="77777777" w:rsidR="00F3020C" w:rsidRPr="0000230E" w:rsidRDefault="00F3020C" w:rsidP="00F3020C">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cPr>
          <w:p w14:paraId="6784AB4B" w14:textId="77777777" w:rsidR="00F3020C" w:rsidRPr="0000230E" w:rsidRDefault="00F3020C" w:rsidP="00F3020C">
            <w:pPr>
              <w:keepNext/>
              <w:spacing w:line="276" w:lineRule="auto"/>
              <w:rPr>
                <w:b/>
                <w:sz w:val="22"/>
                <w:szCs w:val="22"/>
                <w:lang w:val="en-GB"/>
              </w:rPr>
            </w:pPr>
            <w:r w:rsidRPr="002C2F9E">
              <w:rPr>
                <w:b/>
                <w:sz w:val="22"/>
                <w:szCs w:val="22"/>
                <w:lang w:val="en-GB"/>
              </w:rPr>
              <w:t>Actions undertaken by the TC</w:t>
            </w:r>
          </w:p>
        </w:tc>
        <w:tc>
          <w:tcPr>
            <w:tcW w:w="823" w:type="pct"/>
            <w:tcBorders>
              <w:top w:val="single" w:sz="4" w:space="0" w:color="000000"/>
              <w:left w:val="single" w:sz="4" w:space="0" w:color="000000"/>
              <w:bottom w:val="single" w:sz="4" w:space="0" w:color="auto"/>
              <w:right w:val="single" w:sz="4" w:space="0" w:color="000000"/>
            </w:tcBorders>
            <w:shd w:val="clear" w:color="auto" w:fill="F2F2F2"/>
            <w:hideMark/>
          </w:tcPr>
          <w:p w14:paraId="67AC4F7C" w14:textId="6A919816" w:rsidR="00F3020C" w:rsidRPr="0000230E" w:rsidRDefault="00F3020C" w:rsidP="00F3020C">
            <w:pPr>
              <w:keepNext/>
              <w:spacing w:line="276" w:lineRule="auto"/>
              <w:rPr>
                <w:b/>
                <w:sz w:val="22"/>
                <w:szCs w:val="22"/>
                <w:lang w:val="en-GB"/>
              </w:rPr>
            </w:pPr>
            <w:r w:rsidRPr="0000230E">
              <w:rPr>
                <w:b/>
                <w:sz w:val="22"/>
                <w:szCs w:val="22"/>
                <w:lang w:val="en-GB"/>
              </w:rPr>
              <w:t>Relevant MOP</w:t>
            </w:r>
            <w:r w:rsidR="0032185B">
              <w:rPr>
                <w:b/>
                <w:sz w:val="22"/>
                <w:szCs w:val="22"/>
                <w:lang w:val="en-GB"/>
              </w:rPr>
              <w:t xml:space="preserve">9 </w:t>
            </w:r>
            <w:r w:rsidRPr="0000230E">
              <w:rPr>
                <w:b/>
                <w:sz w:val="22"/>
                <w:szCs w:val="22"/>
                <w:lang w:val="en-GB"/>
              </w:rPr>
              <w:t xml:space="preserve">documents </w:t>
            </w:r>
          </w:p>
        </w:tc>
      </w:tr>
      <w:tr w:rsidR="00F3020C" w:rsidRPr="00860CD7" w14:paraId="29A5A5BA"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auto"/>
              <w:left w:val="single" w:sz="4" w:space="0" w:color="auto"/>
              <w:bottom w:val="single" w:sz="4" w:space="0" w:color="auto"/>
              <w:right w:val="single" w:sz="4" w:space="0" w:color="auto"/>
            </w:tcBorders>
            <w:hideMark/>
          </w:tcPr>
          <w:p w14:paraId="2FA17B15" w14:textId="77777777" w:rsidR="00F3020C" w:rsidRPr="00C078C5" w:rsidRDefault="00F3020C" w:rsidP="00F3020C">
            <w:pPr>
              <w:spacing w:line="276" w:lineRule="auto"/>
              <w:rPr>
                <w:b/>
                <w:sz w:val="22"/>
                <w:szCs w:val="22"/>
                <w:lang w:val="en-GB" w:eastAsia="nl-NL"/>
              </w:rPr>
            </w:pPr>
            <w:r w:rsidRPr="00C078C5">
              <w:rPr>
                <w:b/>
                <w:sz w:val="22"/>
                <w:szCs w:val="22"/>
                <w:lang w:val="en-GB" w:eastAsia="nl-NL"/>
              </w:rPr>
              <w:t>6.1. Communication Strategy implementation</w:t>
            </w:r>
          </w:p>
          <w:p w14:paraId="60FBAEC4" w14:textId="77777777" w:rsidR="00F3020C" w:rsidRPr="00C078C5" w:rsidRDefault="00F3020C" w:rsidP="00F3020C">
            <w:pPr>
              <w:spacing w:line="276" w:lineRule="auto"/>
              <w:rPr>
                <w:bCs/>
                <w:sz w:val="22"/>
                <w:szCs w:val="22"/>
                <w:lang w:val="en-GB"/>
              </w:rPr>
            </w:pPr>
            <w:r w:rsidRPr="00C078C5">
              <w:rPr>
                <w:bCs/>
                <w:sz w:val="22"/>
                <w:szCs w:val="22"/>
                <w:lang w:val="en-GB" w:eastAsia="nl-NL"/>
              </w:rPr>
              <w:t>Provide advice and prioritisation on the ongoing implementation of the Communication Strategy</w:t>
            </w:r>
            <w:r>
              <w:rPr>
                <w:bCs/>
                <w:sz w:val="22"/>
                <w:szCs w:val="22"/>
                <w:lang w:val="en-GB" w:eastAsia="nl-NL"/>
              </w:rPr>
              <w:t xml:space="preserve"> </w:t>
            </w:r>
            <w:r w:rsidRPr="00C078C5">
              <w:rPr>
                <w:bCs/>
                <w:sz w:val="22"/>
                <w:szCs w:val="22"/>
                <w:lang w:val="en-GB" w:eastAsia="nl-NL"/>
              </w:rPr>
              <w:lastRenderedPageBreak/>
              <w:t>(</w:t>
            </w:r>
            <w:r w:rsidRPr="00B5063D">
              <w:rPr>
                <w:bCs/>
                <w:i/>
                <w:iCs/>
                <w:sz w:val="22"/>
                <w:szCs w:val="22"/>
                <w:lang w:val="en-GB" w:eastAsia="nl-NL"/>
              </w:rPr>
              <w:t>carried over from Work Plan 2016-2018</w:t>
            </w:r>
            <w:r w:rsidRPr="00C078C5">
              <w:rPr>
                <w:bCs/>
                <w:sz w:val="22"/>
                <w:szCs w:val="22"/>
                <w:lang w:val="en-GB" w:eastAsia="nl-NL"/>
              </w:rPr>
              <w:t>). (</w:t>
            </w:r>
            <w:r w:rsidRPr="00C078C5">
              <w:rPr>
                <w:bCs/>
                <w:i/>
                <w:iCs/>
                <w:sz w:val="22"/>
                <w:szCs w:val="22"/>
                <w:lang w:val="en-GB" w:eastAsia="nl-NL"/>
              </w:rPr>
              <w:t>Resolution 6.10</w:t>
            </w:r>
            <w:r w:rsidRPr="00C078C5">
              <w:rPr>
                <w:bCs/>
                <w:sz w:val="22"/>
                <w:szCs w:val="22"/>
                <w:lang w:val="en-GB" w:eastAsia="nl-NL"/>
              </w:rPr>
              <w:t xml:space="preserve">) </w:t>
            </w:r>
          </w:p>
        </w:tc>
        <w:tc>
          <w:tcPr>
            <w:tcW w:w="361" w:type="pct"/>
            <w:tcBorders>
              <w:top w:val="single" w:sz="4" w:space="0" w:color="000000"/>
              <w:left w:val="single" w:sz="4" w:space="0" w:color="000000"/>
              <w:bottom w:val="single" w:sz="4" w:space="0" w:color="000000"/>
              <w:right w:val="single" w:sz="4" w:space="0" w:color="000000"/>
            </w:tcBorders>
            <w:shd w:val="clear" w:color="auto" w:fill="99CCFF"/>
          </w:tcPr>
          <w:p w14:paraId="326C82C0" w14:textId="77777777" w:rsidR="00F3020C" w:rsidRPr="0000230E" w:rsidRDefault="00F3020C" w:rsidP="00F3020C">
            <w:pPr>
              <w:spacing w:line="276" w:lineRule="auto"/>
              <w:rPr>
                <w:sz w:val="22"/>
                <w:szCs w:val="22"/>
                <w:highlight w:val="yellow"/>
                <w:lang w:val="en-GB"/>
              </w:rPr>
            </w:pPr>
            <w:r w:rsidRPr="00206F6B">
              <w:rPr>
                <w:b/>
                <w:sz w:val="22"/>
                <w:szCs w:val="22"/>
                <w:shd w:val="clear" w:color="auto" w:fill="99CCFF"/>
                <w:lang w:val="en-GB" w:eastAsia="nl-NL"/>
              </w:rPr>
              <w:lastRenderedPageBreak/>
              <w:t>Other</w:t>
            </w:r>
          </w:p>
        </w:tc>
        <w:tc>
          <w:tcPr>
            <w:tcW w:w="682" w:type="pct"/>
            <w:tcBorders>
              <w:top w:val="single" w:sz="4" w:space="0" w:color="auto"/>
              <w:left w:val="single" w:sz="4" w:space="0" w:color="auto"/>
              <w:bottom w:val="single" w:sz="4" w:space="0" w:color="auto"/>
              <w:right w:val="single" w:sz="4" w:space="0" w:color="auto"/>
            </w:tcBorders>
            <w:shd w:val="clear" w:color="auto" w:fill="FFFF99"/>
          </w:tcPr>
          <w:p w14:paraId="07E0C8A9" w14:textId="3F5E0CEE" w:rsidR="00F3020C" w:rsidRPr="0000230E" w:rsidRDefault="00B5063D" w:rsidP="00F3020C">
            <w:pPr>
              <w:spacing w:line="276" w:lineRule="auto"/>
              <w:rPr>
                <w:sz w:val="22"/>
                <w:szCs w:val="22"/>
                <w:highlight w:val="yellow"/>
                <w:lang w:val="en-GB"/>
              </w:rPr>
            </w:pPr>
            <w:r>
              <w:rPr>
                <w:b/>
                <w:bCs/>
                <w:sz w:val="22"/>
                <w:szCs w:val="22"/>
                <w:lang w:val="en-GB"/>
              </w:rPr>
              <w:t xml:space="preserve">Fully </w:t>
            </w:r>
            <w:r w:rsidR="00F3020C" w:rsidRPr="0014323A">
              <w:rPr>
                <w:b/>
                <w:bCs/>
                <w:sz w:val="22"/>
                <w:szCs w:val="22"/>
                <w:lang w:val="en-GB"/>
              </w:rPr>
              <w:t>implemented</w:t>
            </w:r>
          </w:p>
        </w:tc>
        <w:tc>
          <w:tcPr>
            <w:tcW w:w="1629" w:type="pct"/>
            <w:tcBorders>
              <w:top w:val="single" w:sz="4" w:space="0" w:color="auto"/>
              <w:left w:val="single" w:sz="4" w:space="0" w:color="auto"/>
              <w:bottom w:val="single" w:sz="4" w:space="0" w:color="auto"/>
              <w:right w:val="single" w:sz="4" w:space="0" w:color="auto"/>
            </w:tcBorders>
          </w:tcPr>
          <w:p w14:paraId="557EA4C1" w14:textId="71E86806" w:rsidR="00F3020C" w:rsidRPr="003E2B85" w:rsidRDefault="00B5063D" w:rsidP="00F3020C">
            <w:pPr>
              <w:spacing w:line="276" w:lineRule="auto"/>
              <w:rPr>
                <w:sz w:val="22"/>
                <w:szCs w:val="22"/>
                <w:lang w:val="en-GB"/>
              </w:rPr>
            </w:pPr>
            <w:r>
              <w:rPr>
                <w:sz w:val="22"/>
                <w:szCs w:val="22"/>
                <w:lang w:val="en-GB"/>
              </w:rPr>
              <w:t xml:space="preserve">Under this task, the Technical Committee compiled a CEPA work plan to support the implementation of the Strategic Plan 2019-2027 in the next triennium. </w:t>
            </w:r>
          </w:p>
        </w:tc>
        <w:tc>
          <w:tcPr>
            <w:tcW w:w="823" w:type="pct"/>
            <w:tcBorders>
              <w:top w:val="single" w:sz="4" w:space="0" w:color="auto"/>
              <w:left w:val="single" w:sz="4" w:space="0" w:color="auto"/>
              <w:bottom w:val="single" w:sz="4" w:space="0" w:color="auto"/>
              <w:right w:val="single" w:sz="4" w:space="0" w:color="auto"/>
            </w:tcBorders>
          </w:tcPr>
          <w:p w14:paraId="76836424" w14:textId="389B9C57" w:rsidR="00F3020C" w:rsidRPr="00860CD7" w:rsidRDefault="00B5063D" w:rsidP="00F3020C">
            <w:pPr>
              <w:spacing w:line="276" w:lineRule="auto"/>
              <w:rPr>
                <w:sz w:val="22"/>
                <w:szCs w:val="22"/>
                <w:lang w:val="en-GB"/>
              </w:rPr>
            </w:pPr>
            <w:r>
              <w:rPr>
                <w:sz w:val="22"/>
                <w:szCs w:val="22"/>
                <w:lang w:val="en-GB"/>
              </w:rPr>
              <w:t xml:space="preserve">Doc. </w:t>
            </w:r>
            <w:r w:rsidRPr="00B5063D">
              <w:rPr>
                <w:sz w:val="22"/>
                <w:szCs w:val="22"/>
                <w:lang w:val="en-GB"/>
              </w:rPr>
              <w:t>AEWA/MOP 9.11</w:t>
            </w:r>
          </w:p>
        </w:tc>
      </w:tr>
      <w:tr w:rsidR="00B5063D" w:rsidRPr="00860CD7" w14:paraId="40737B77" w14:textId="77777777" w:rsidTr="00B506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auto"/>
              <w:left w:val="single" w:sz="4" w:space="0" w:color="auto"/>
              <w:bottom w:val="single" w:sz="4" w:space="0" w:color="auto"/>
              <w:right w:val="single" w:sz="4" w:space="0" w:color="auto"/>
            </w:tcBorders>
          </w:tcPr>
          <w:p w14:paraId="78D95167" w14:textId="5E543075" w:rsidR="00B5063D" w:rsidRPr="00B5063D" w:rsidRDefault="00B5063D" w:rsidP="00B5063D">
            <w:pPr>
              <w:spacing w:line="276" w:lineRule="auto"/>
              <w:rPr>
                <w:b/>
                <w:sz w:val="22"/>
                <w:szCs w:val="22"/>
                <w:lang w:val="en-GB" w:eastAsia="nl-NL"/>
              </w:rPr>
            </w:pPr>
            <w:r w:rsidRPr="00B5063D">
              <w:rPr>
                <w:b/>
                <w:sz w:val="22"/>
                <w:szCs w:val="22"/>
                <w:lang w:val="en-GB" w:eastAsia="nl-NL"/>
              </w:rPr>
              <w:t>6.</w:t>
            </w:r>
            <w:r>
              <w:rPr>
                <w:b/>
                <w:sz w:val="22"/>
                <w:szCs w:val="22"/>
                <w:lang w:val="en-GB" w:eastAsia="nl-NL"/>
              </w:rPr>
              <w:t>2</w:t>
            </w:r>
            <w:r w:rsidRPr="00B5063D">
              <w:rPr>
                <w:b/>
                <w:sz w:val="22"/>
                <w:szCs w:val="22"/>
                <w:lang w:val="en-GB" w:eastAsia="nl-NL"/>
              </w:rPr>
              <w:t xml:space="preserve">. </w:t>
            </w:r>
            <w:r>
              <w:t xml:space="preserve"> </w:t>
            </w:r>
            <w:r w:rsidRPr="00B5063D">
              <w:rPr>
                <w:b/>
                <w:sz w:val="22"/>
                <w:szCs w:val="22"/>
                <w:lang w:val="en-GB" w:eastAsia="nl-NL"/>
              </w:rPr>
              <w:t>Experience sharing – AEWA priorities integration into NBSAPs</w:t>
            </w:r>
          </w:p>
          <w:p w14:paraId="4368E1C7" w14:textId="3D934DAF" w:rsidR="00B5063D" w:rsidRPr="00B5063D" w:rsidRDefault="00B5063D" w:rsidP="00B5063D">
            <w:pPr>
              <w:spacing w:line="276" w:lineRule="auto"/>
              <w:rPr>
                <w:bCs/>
                <w:sz w:val="22"/>
                <w:szCs w:val="22"/>
                <w:lang w:val="en-GB" w:eastAsia="nl-NL"/>
              </w:rPr>
            </w:pPr>
            <w:r w:rsidRPr="00B5063D">
              <w:rPr>
                <w:bCs/>
                <w:sz w:val="22"/>
                <w:szCs w:val="22"/>
                <w:lang w:val="en-GB" w:eastAsia="nl-NL"/>
              </w:rPr>
              <w:t>Support Parties in compiling and sharing successful examples, best practice and guidance for the integration of AEWA priorities into NBSAPs and other national processes</w:t>
            </w:r>
            <w:r>
              <w:rPr>
                <w:bCs/>
                <w:sz w:val="22"/>
                <w:szCs w:val="22"/>
                <w:lang w:val="en-GB" w:eastAsia="nl-NL"/>
              </w:rPr>
              <w:t>.</w:t>
            </w:r>
            <w:r w:rsidRPr="00B5063D">
              <w:rPr>
                <w:bCs/>
                <w:sz w:val="22"/>
                <w:szCs w:val="22"/>
                <w:lang w:val="en-GB" w:eastAsia="nl-NL"/>
              </w:rPr>
              <w:t xml:space="preserve"> (</w:t>
            </w:r>
            <w:r w:rsidRPr="00B5063D">
              <w:rPr>
                <w:bCs/>
                <w:i/>
                <w:iCs/>
                <w:sz w:val="22"/>
                <w:szCs w:val="22"/>
                <w:lang w:val="en-GB" w:eastAsia="nl-NL"/>
              </w:rPr>
              <w:t>Strategic Plan 2019-2027</w:t>
            </w:r>
            <w:r w:rsidRPr="00B5063D">
              <w:rPr>
                <w:bCs/>
                <w:sz w:val="22"/>
                <w:szCs w:val="22"/>
                <w:lang w:val="en-GB" w:eastAsia="nl-NL"/>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29AA5C8C" w14:textId="7608BC54" w:rsidR="00B5063D" w:rsidRPr="00206F6B" w:rsidRDefault="00B5063D" w:rsidP="00B5063D">
            <w:pPr>
              <w:spacing w:line="276" w:lineRule="auto"/>
              <w:rPr>
                <w:b/>
                <w:sz w:val="22"/>
                <w:szCs w:val="22"/>
                <w:shd w:val="clear" w:color="auto" w:fill="99CCFF"/>
                <w:lang w:val="en-GB" w:eastAsia="nl-NL"/>
              </w:rPr>
            </w:pPr>
            <w:r w:rsidRPr="00AC70CB">
              <w:rPr>
                <w:b/>
                <w:bCs/>
                <w:sz w:val="22"/>
                <w:szCs w:val="22"/>
                <w:shd w:val="clear" w:color="auto" w:fill="FF9999"/>
              </w:rPr>
              <w:t>Essential</w:t>
            </w:r>
          </w:p>
        </w:tc>
        <w:tc>
          <w:tcPr>
            <w:tcW w:w="682" w:type="pct"/>
            <w:tcBorders>
              <w:top w:val="single" w:sz="4" w:space="0" w:color="auto"/>
              <w:left w:val="single" w:sz="4" w:space="0" w:color="auto"/>
              <w:bottom w:val="single" w:sz="4" w:space="0" w:color="auto"/>
              <w:right w:val="single" w:sz="4" w:space="0" w:color="auto"/>
            </w:tcBorders>
            <w:shd w:val="clear" w:color="auto" w:fill="FF5050"/>
          </w:tcPr>
          <w:p w14:paraId="07AD24C1" w14:textId="103F21BC" w:rsidR="00B5063D" w:rsidRDefault="00B5063D" w:rsidP="00B5063D">
            <w:pPr>
              <w:spacing w:line="276" w:lineRule="auto"/>
              <w:rPr>
                <w:b/>
                <w:bCs/>
                <w:sz w:val="22"/>
                <w:szCs w:val="22"/>
                <w:lang w:val="en-GB"/>
              </w:rPr>
            </w:pPr>
            <w:r>
              <w:rPr>
                <w:b/>
                <w:bCs/>
                <w:sz w:val="22"/>
                <w:szCs w:val="22"/>
                <w:lang w:val="en-GB"/>
              </w:rPr>
              <w:t xml:space="preserve">Not implemented </w:t>
            </w:r>
          </w:p>
        </w:tc>
        <w:tc>
          <w:tcPr>
            <w:tcW w:w="1629" w:type="pct"/>
            <w:tcBorders>
              <w:top w:val="single" w:sz="4" w:space="0" w:color="auto"/>
              <w:left w:val="single" w:sz="4" w:space="0" w:color="auto"/>
              <w:bottom w:val="single" w:sz="4" w:space="0" w:color="auto"/>
              <w:right w:val="single" w:sz="4" w:space="0" w:color="auto"/>
            </w:tcBorders>
          </w:tcPr>
          <w:p w14:paraId="1867B4F1" w14:textId="389680B7" w:rsidR="00B5063D" w:rsidRDefault="006C3FD5" w:rsidP="00B5063D">
            <w:pPr>
              <w:spacing w:line="276" w:lineRule="auto"/>
              <w:rPr>
                <w:sz w:val="22"/>
                <w:szCs w:val="22"/>
                <w:lang w:val="en-GB"/>
              </w:rPr>
            </w:pPr>
            <w:r>
              <w:rPr>
                <w:sz w:val="22"/>
                <w:szCs w:val="22"/>
                <w:lang w:val="en-GB"/>
              </w:rPr>
              <w:t>No progress has been made on this task.</w:t>
            </w:r>
          </w:p>
        </w:tc>
        <w:tc>
          <w:tcPr>
            <w:tcW w:w="823" w:type="pct"/>
            <w:tcBorders>
              <w:top w:val="single" w:sz="4" w:space="0" w:color="auto"/>
              <w:left w:val="single" w:sz="4" w:space="0" w:color="auto"/>
              <w:bottom w:val="single" w:sz="4" w:space="0" w:color="auto"/>
              <w:right w:val="single" w:sz="4" w:space="0" w:color="auto"/>
            </w:tcBorders>
          </w:tcPr>
          <w:p w14:paraId="5D953733" w14:textId="11DD5F43" w:rsidR="00B5063D" w:rsidRDefault="00B5063D" w:rsidP="00B5063D">
            <w:pPr>
              <w:spacing w:line="276" w:lineRule="auto"/>
              <w:rPr>
                <w:sz w:val="22"/>
                <w:szCs w:val="22"/>
                <w:lang w:val="en-GB"/>
              </w:rPr>
            </w:pPr>
            <w:r>
              <w:rPr>
                <w:sz w:val="22"/>
                <w:szCs w:val="22"/>
                <w:lang w:val="en-GB"/>
              </w:rPr>
              <w:t>--</w:t>
            </w:r>
          </w:p>
        </w:tc>
      </w:tr>
      <w:bookmarkEnd w:id="2"/>
      <w:tr w:rsidR="00F3020C" w:rsidRPr="00BF276B" w14:paraId="19B0F8B0"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blHeader/>
        </w:trPr>
        <w:tc>
          <w:tcPr>
            <w:tcW w:w="5000" w:type="pct"/>
            <w:gridSpan w:val="5"/>
            <w:tcBorders>
              <w:top w:val="single" w:sz="4" w:space="0" w:color="auto"/>
              <w:left w:val="nil"/>
              <w:bottom w:val="nil"/>
              <w:right w:val="nil"/>
            </w:tcBorders>
          </w:tcPr>
          <w:p w14:paraId="52D392BB" w14:textId="77777777" w:rsidR="00F3020C" w:rsidRPr="00BF276B" w:rsidRDefault="00F3020C" w:rsidP="00F3020C">
            <w:pPr>
              <w:keepNext/>
              <w:spacing w:line="276" w:lineRule="auto"/>
              <w:rPr>
                <w:b/>
                <w:sz w:val="22"/>
                <w:szCs w:val="22"/>
                <w:lang w:val="en-GB"/>
              </w:rPr>
            </w:pPr>
          </w:p>
        </w:tc>
      </w:tr>
      <w:tr w:rsidR="00F3020C" w:rsidRPr="00BF276B" w14:paraId="1FC99794" w14:textId="77777777" w:rsidTr="00B23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blHeader/>
        </w:trPr>
        <w:tc>
          <w:tcPr>
            <w:tcW w:w="5000" w:type="pct"/>
            <w:gridSpan w:val="5"/>
            <w:tcBorders>
              <w:top w:val="nil"/>
              <w:left w:val="nil"/>
              <w:bottom w:val="single" w:sz="4" w:space="0" w:color="auto"/>
              <w:right w:val="nil"/>
            </w:tcBorders>
            <w:shd w:val="clear" w:color="auto" w:fill="FFF2CC" w:themeFill="accent4" w:themeFillTint="33"/>
          </w:tcPr>
          <w:p w14:paraId="354128DE" w14:textId="77777777" w:rsidR="00F3020C" w:rsidRPr="00BF276B" w:rsidRDefault="00F3020C" w:rsidP="00F3020C">
            <w:pPr>
              <w:keepNext/>
              <w:spacing w:line="276" w:lineRule="auto"/>
              <w:rPr>
                <w:b/>
                <w:sz w:val="22"/>
                <w:szCs w:val="22"/>
                <w:lang w:val="en-GB"/>
              </w:rPr>
            </w:pPr>
            <w:r w:rsidRPr="000A7EC8">
              <w:rPr>
                <w:b/>
                <w:color w:val="2F5496" w:themeColor="accent1" w:themeShade="BF"/>
                <w:lang w:val="en-GB"/>
              </w:rPr>
              <w:t>Implementation (Working Group 7)</w:t>
            </w:r>
          </w:p>
        </w:tc>
      </w:tr>
      <w:tr w:rsidR="00F3020C" w:rsidRPr="00BF276B" w14:paraId="0B997BB8"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blHeader/>
        </w:trPr>
        <w:tc>
          <w:tcPr>
            <w:tcW w:w="1505" w:type="pct"/>
            <w:tcBorders>
              <w:top w:val="single" w:sz="4" w:space="0" w:color="auto"/>
              <w:left w:val="single" w:sz="4" w:space="0" w:color="auto"/>
              <w:bottom w:val="single" w:sz="4" w:space="0" w:color="auto"/>
              <w:right w:val="single" w:sz="4" w:space="0" w:color="auto"/>
            </w:tcBorders>
            <w:shd w:val="clear" w:color="auto" w:fill="F2F2F2"/>
            <w:hideMark/>
          </w:tcPr>
          <w:p w14:paraId="13C8D4D2" w14:textId="77777777" w:rsidR="00F3020C" w:rsidRPr="00860CD7" w:rsidRDefault="00F3020C" w:rsidP="00F3020C">
            <w:pPr>
              <w:keepNext/>
              <w:spacing w:line="276" w:lineRule="auto"/>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tcPr>
          <w:p w14:paraId="1A993DC7" w14:textId="77777777" w:rsidR="00F3020C" w:rsidRPr="00BF276B" w:rsidRDefault="00F3020C" w:rsidP="00F3020C">
            <w:pPr>
              <w:keepNext/>
              <w:spacing w:line="276" w:lineRule="auto"/>
              <w:rPr>
                <w:b/>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cPr>
          <w:p w14:paraId="03E3CBB2" w14:textId="77777777" w:rsidR="00F3020C" w:rsidRPr="00BF276B" w:rsidRDefault="00F3020C" w:rsidP="00F3020C">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cPr>
          <w:p w14:paraId="550A1B51" w14:textId="77777777" w:rsidR="00F3020C" w:rsidRPr="00BF276B" w:rsidRDefault="00F3020C" w:rsidP="00F3020C">
            <w:pPr>
              <w:keepNext/>
              <w:spacing w:line="276" w:lineRule="auto"/>
              <w:rPr>
                <w:b/>
                <w:sz w:val="22"/>
                <w:szCs w:val="22"/>
                <w:lang w:val="en-GB"/>
              </w:rPr>
            </w:pPr>
            <w:r w:rsidRPr="002C2F9E">
              <w:rPr>
                <w:b/>
                <w:sz w:val="22"/>
                <w:szCs w:val="22"/>
                <w:lang w:val="en-GB"/>
              </w:rPr>
              <w:t>Actions undertaken by the TC</w:t>
            </w:r>
          </w:p>
        </w:tc>
        <w:tc>
          <w:tcPr>
            <w:tcW w:w="823" w:type="pct"/>
            <w:tcBorders>
              <w:top w:val="single" w:sz="4" w:space="0" w:color="auto"/>
              <w:left w:val="single" w:sz="4" w:space="0" w:color="auto"/>
              <w:bottom w:val="single" w:sz="4" w:space="0" w:color="auto"/>
              <w:right w:val="single" w:sz="4" w:space="0" w:color="auto"/>
            </w:tcBorders>
            <w:shd w:val="clear" w:color="auto" w:fill="F2F2F2"/>
            <w:hideMark/>
          </w:tcPr>
          <w:p w14:paraId="7FC6E058" w14:textId="7DBA6492" w:rsidR="00F3020C" w:rsidRPr="00BF276B" w:rsidRDefault="00F3020C" w:rsidP="00F3020C">
            <w:pPr>
              <w:keepNext/>
              <w:spacing w:line="276" w:lineRule="auto"/>
              <w:rPr>
                <w:b/>
                <w:sz w:val="22"/>
                <w:szCs w:val="22"/>
                <w:lang w:val="en-GB"/>
              </w:rPr>
            </w:pPr>
            <w:r w:rsidRPr="00BF276B">
              <w:rPr>
                <w:b/>
                <w:sz w:val="22"/>
                <w:szCs w:val="22"/>
                <w:lang w:val="en-GB"/>
              </w:rPr>
              <w:t>Relevant MOP</w:t>
            </w:r>
            <w:r w:rsidR="006E410C">
              <w:rPr>
                <w:b/>
                <w:sz w:val="22"/>
                <w:szCs w:val="22"/>
                <w:lang w:val="en-GB"/>
              </w:rPr>
              <w:t>9</w:t>
            </w:r>
            <w:r w:rsidRPr="00BF276B">
              <w:rPr>
                <w:b/>
                <w:sz w:val="22"/>
                <w:szCs w:val="22"/>
                <w:lang w:val="en-GB"/>
              </w:rPr>
              <w:t xml:space="preserve"> documents</w:t>
            </w:r>
          </w:p>
        </w:tc>
      </w:tr>
      <w:tr w:rsidR="00F3020C" w:rsidRPr="00126188" w14:paraId="17EC97F9"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auto"/>
              <w:left w:val="single" w:sz="4" w:space="0" w:color="000000"/>
              <w:bottom w:val="single" w:sz="4" w:space="0" w:color="000000"/>
              <w:right w:val="single" w:sz="4" w:space="0" w:color="000000"/>
            </w:tcBorders>
            <w:hideMark/>
          </w:tcPr>
          <w:p w14:paraId="1A2BFD1D" w14:textId="52AC0811" w:rsidR="00F3020C" w:rsidRPr="004F060C" w:rsidRDefault="00F3020C" w:rsidP="00F3020C">
            <w:pPr>
              <w:spacing w:line="276" w:lineRule="auto"/>
              <w:rPr>
                <w:b/>
                <w:bCs/>
                <w:sz w:val="22"/>
                <w:szCs w:val="22"/>
                <w:lang w:val="en-GB"/>
              </w:rPr>
            </w:pPr>
            <w:r w:rsidRPr="004F060C">
              <w:rPr>
                <w:b/>
                <w:bCs/>
                <w:sz w:val="22"/>
                <w:szCs w:val="22"/>
                <w:lang w:val="en-GB"/>
              </w:rPr>
              <w:t xml:space="preserve">7.1. Conservation Status Review </w:t>
            </w:r>
            <w:r w:rsidR="003071CA">
              <w:rPr>
                <w:b/>
                <w:bCs/>
                <w:sz w:val="22"/>
                <w:szCs w:val="22"/>
                <w:lang w:val="en-GB"/>
              </w:rPr>
              <w:t>9</w:t>
            </w:r>
          </w:p>
          <w:p w14:paraId="249A0F03" w14:textId="5A78FFFC" w:rsidR="00F3020C" w:rsidRPr="00860CD7" w:rsidRDefault="00265375" w:rsidP="00F3020C">
            <w:pPr>
              <w:spacing w:line="276" w:lineRule="auto"/>
              <w:rPr>
                <w:b/>
                <w:sz w:val="22"/>
                <w:szCs w:val="22"/>
                <w:lang w:val="en-GB"/>
              </w:rPr>
            </w:pPr>
            <w:r w:rsidRPr="00265375">
              <w:rPr>
                <w:sz w:val="22"/>
                <w:szCs w:val="22"/>
                <w:lang w:val="en-GB"/>
              </w:rPr>
              <w:t>Guide the process of preparation of Conservation Status Review 9 (Action Plan 7.4a) while taking into account reporting needs on the AEWA Strategic Plan 2019-2027</w:t>
            </w:r>
            <w:r>
              <w:rPr>
                <w:sz w:val="22"/>
                <w:szCs w:val="22"/>
                <w:lang w:val="en-GB"/>
              </w:rPr>
              <w:t xml:space="preserve">. </w:t>
            </w:r>
            <w:r w:rsidRPr="00265375">
              <w:rPr>
                <w:sz w:val="22"/>
                <w:szCs w:val="22"/>
                <w:lang w:val="en-GB"/>
              </w:rPr>
              <w:t>(</w:t>
            </w:r>
            <w:r w:rsidRPr="00265375">
              <w:rPr>
                <w:i/>
                <w:iCs/>
                <w:sz w:val="22"/>
                <w:szCs w:val="22"/>
                <w:lang w:val="en-GB"/>
              </w:rPr>
              <w:t>AEWA Annex 3, paragraph 7.4</w:t>
            </w:r>
            <w:r w:rsidRPr="00265375">
              <w:rPr>
                <w:sz w:val="22"/>
                <w:szCs w:val="22"/>
                <w:lang w:val="en-GB"/>
              </w:rPr>
              <w:t>)</w:t>
            </w:r>
          </w:p>
        </w:tc>
        <w:tc>
          <w:tcPr>
            <w:tcW w:w="361" w:type="pct"/>
            <w:tcBorders>
              <w:top w:val="single" w:sz="4" w:space="0" w:color="auto"/>
              <w:left w:val="single" w:sz="4" w:space="0" w:color="000000"/>
              <w:bottom w:val="single" w:sz="4" w:space="0" w:color="000000"/>
              <w:right w:val="single" w:sz="4" w:space="0" w:color="000000"/>
            </w:tcBorders>
            <w:shd w:val="clear" w:color="auto" w:fill="FF9999"/>
          </w:tcPr>
          <w:p w14:paraId="453EB8E3" w14:textId="77777777" w:rsidR="00F3020C" w:rsidRPr="004F060C" w:rsidRDefault="00F3020C" w:rsidP="00F3020C">
            <w:pPr>
              <w:spacing w:line="276" w:lineRule="auto"/>
              <w:rPr>
                <w:sz w:val="22"/>
                <w:szCs w:val="22"/>
                <w:highlight w:val="yellow"/>
                <w:lang w:val="en-GB"/>
              </w:rPr>
            </w:pPr>
            <w:r w:rsidRPr="00AC70CB">
              <w:rPr>
                <w:b/>
                <w:bCs/>
                <w:sz w:val="22"/>
                <w:szCs w:val="22"/>
                <w:shd w:val="clear" w:color="auto" w:fill="FF9999"/>
              </w:rPr>
              <w:t>Essential</w:t>
            </w:r>
          </w:p>
        </w:tc>
        <w:tc>
          <w:tcPr>
            <w:tcW w:w="682" w:type="pct"/>
            <w:tcBorders>
              <w:top w:val="single" w:sz="4" w:space="0" w:color="auto"/>
              <w:left w:val="single" w:sz="4" w:space="0" w:color="000000"/>
              <w:bottom w:val="single" w:sz="4" w:space="0" w:color="000000"/>
              <w:right w:val="single" w:sz="4" w:space="0" w:color="000000"/>
            </w:tcBorders>
            <w:shd w:val="clear" w:color="auto" w:fill="92D050"/>
          </w:tcPr>
          <w:p w14:paraId="1247AB4B" w14:textId="77777777" w:rsidR="00F3020C" w:rsidRPr="004F060C" w:rsidRDefault="00F3020C" w:rsidP="00F3020C">
            <w:pPr>
              <w:spacing w:line="276" w:lineRule="auto"/>
              <w:ind w:left="352" w:hanging="352"/>
              <w:rPr>
                <w:sz w:val="22"/>
                <w:szCs w:val="22"/>
                <w:highlight w:val="yellow"/>
                <w:lang w:val="en-GB"/>
              </w:rPr>
            </w:pPr>
            <w:r w:rsidRPr="00092BFA">
              <w:rPr>
                <w:b/>
                <w:bCs/>
                <w:sz w:val="22"/>
                <w:szCs w:val="22"/>
                <w:shd w:val="clear" w:color="auto" w:fill="92D050"/>
                <w:lang w:val="en-GB"/>
              </w:rPr>
              <w:t>Fully implemented</w:t>
            </w:r>
          </w:p>
          <w:p w14:paraId="62831304" w14:textId="77777777" w:rsidR="00F3020C" w:rsidRPr="004F060C" w:rsidRDefault="00F3020C" w:rsidP="00F3020C">
            <w:pPr>
              <w:spacing w:line="276" w:lineRule="auto"/>
              <w:rPr>
                <w:sz w:val="22"/>
                <w:szCs w:val="22"/>
                <w:highlight w:val="yellow"/>
                <w:lang w:val="en-GB"/>
              </w:rPr>
            </w:pPr>
          </w:p>
          <w:p w14:paraId="597D7830" w14:textId="77777777" w:rsidR="00F3020C" w:rsidRPr="004F060C" w:rsidRDefault="00F3020C" w:rsidP="00F3020C">
            <w:pPr>
              <w:spacing w:line="276" w:lineRule="auto"/>
              <w:ind w:left="352" w:hanging="352"/>
              <w:rPr>
                <w:sz w:val="22"/>
                <w:szCs w:val="22"/>
                <w:highlight w:val="yellow"/>
                <w:lang w:val="en-GB"/>
              </w:rPr>
            </w:pPr>
          </w:p>
        </w:tc>
        <w:tc>
          <w:tcPr>
            <w:tcW w:w="1629" w:type="pct"/>
            <w:tcBorders>
              <w:top w:val="single" w:sz="4" w:space="0" w:color="auto"/>
              <w:left w:val="single" w:sz="4" w:space="0" w:color="000000"/>
              <w:bottom w:val="single" w:sz="4" w:space="0" w:color="000000"/>
              <w:right w:val="single" w:sz="4" w:space="0" w:color="000000"/>
            </w:tcBorders>
          </w:tcPr>
          <w:p w14:paraId="3D78AD51" w14:textId="4E1F7077" w:rsidR="00F3020C" w:rsidRPr="008E53BD" w:rsidRDefault="00801D11" w:rsidP="00F3020C">
            <w:pPr>
              <w:spacing w:line="276" w:lineRule="auto"/>
              <w:rPr>
                <w:sz w:val="22"/>
                <w:szCs w:val="22"/>
                <w:lang w:val="en-GB"/>
              </w:rPr>
            </w:pPr>
            <w:r>
              <w:rPr>
                <w:sz w:val="22"/>
                <w:szCs w:val="22"/>
                <w:lang w:val="en-GB"/>
              </w:rPr>
              <w:t>At its 19</w:t>
            </w:r>
            <w:r w:rsidRPr="00801D11">
              <w:rPr>
                <w:sz w:val="22"/>
                <w:szCs w:val="22"/>
                <w:vertAlign w:val="superscript"/>
                <w:lang w:val="en-GB"/>
              </w:rPr>
              <w:t>th</w:t>
            </w:r>
            <w:r>
              <w:rPr>
                <w:sz w:val="22"/>
                <w:szCs w:val="22"/>
                <w:lang w:val="en-GB"/>
              </w:rPr>
              <w:t xml:space="preserve"> meeting in March 2024, the Technical Committee agreed on the format for </w:t>
            </w:r>
            <w:r w:rsidR="00F3020C">
              <w:rPr>
                <w:sz w:val="22"/>
                <w:szCs w:val="22"/>
                <w:lang w:val="en-GB"/>
              </w:rPr>
              <w:t xml:space="preserve">the </w:t>
            </w:r>
            <w:r>
              <w:rPr>
                <w:sz w:val="22"/>
                <w:szCs w:val="22"/>
                <w:lang w:val="en-GB"/>
              </w:rPr>
              <w:t>9</w:t>
            </w:r>
            <w:r w:rsidR="00F3020C" w:rsidRPr="008E53BD">
              <w:rPr>
                <w:sz w:val="22"/>
                <w:szCs w:val="22"/>
                <w:vertAlign w:val="superscript"/>
                <w:lang w:val="en-GB"/>
              </w:rPr>
              <w:t>th</w:t>
            </w:r>
            <w:r w:rsidR="00F3020C">
              <w:rPr>
                <w:sz w:val="22"/>
                <w:szCs w:val="22"/>
                <w:lang w:val="en-GB"/>
              </w:rPr>
              <w:t xml:space="preserve"> </w:t>
            </w:r>
            <w:r w:rsidR="00F3020C" w:rsidRPr="008E53BD">
              <w:rPr>
                <w:sz w:val="22"/>
                <w:szCs w:val="22"/>
                <w:lang w:val="en-GB"/>
              </w:rPr>
              <w:t>Conservation Status Review (CSR</w:t>
            </w:r>
            <w:r>
              <w:rPr>
                <w:sz w:val="22"/>
                <w:szCs w:val="22"/>
                <w:lang w:val="en-GB"/>
              </w:rPr>
              <w:t>9</w:t>
            </w:r>
            <w:r w:rsidR="00F3020C" w:rsidRPr="008E53BD">
              <w:rPr>
                <w:sz w:val="22"/>
                <w:szCs w:val="22"/>
                <w:lang w:val="en-GB"/>
              </w:rPr>
              <w:t xml:space="preserve">), </w:t>
            </w:r>
            <w:r>
              <w:rPr>
                <w:sz w:val="22"/>
                <w:szCs w:val="22"/>
                <w:lang w:val="en-GB"/>
              </w:rPr>
              <w:t>which is the first CSR edition to feature assessment of pressures to AEWA populations and the responses to them. T</w:t>
            </w:r>
            <w:r w:rsidR="00F3020C" w:rsidRPr="008E53BD">
              <w:rPr>
                <w:sz w:val="22"/>
                <w:szCs w:val="22"/>
                <w:lang w:val="en-GB"/>
              </w:rPr>
              <w:t>he production was outsourced to Wetlands International</w:t>
            </w:r>
            <w:r>
              <w:rPr>
                <w:sz w:val="22"/>
                <w:szCs w:val="22"/>
                <w:lang w:val="en-GB"/>
              </w:rPr>
              <w:t xml:space="preserve"> thanks to voluntary financial contributions form several Parties. The report was reviewed and approved by the Technical Committee by correspondence for submission to MOP9</w:t>
            </w:r>
            <w:r w:rsidR="00F3020C" w:rsidRPr="008E53BD">
              <w:rPr>
                <w:sz w:val="22"/>
                <w:szCs w:val="22"/>
                <w:lang w:val="en-GB"/>
              </w:rPr>
              <w:t>.</w:t>
            </w:r>
          </w:p>
        </w:tc>
        <w:tc>
          <w:tcPr>
            <w:tcW w:w="823" w:type="pct"/>
            <w:tcBorders>
              <w:top w:val="single" w:sz="4" w:space="0" w:color="auto"/>
              <w:left w:val="single" w:sz="4" w:space="0" w:color="000000"/>
              <w:bottom w:val="single" w:sz="4" w:space="0" w:color="000000"/>
              <w:right w:val="single" w:sz="4" w:space="0" w:color="000000"/>
            </w:tcBorders>
          </w:tcPr>
          <w:p w14:paraId="599DDB22" w14:textId="2D79F3E0" w:rsidR="00F3020C" w:rsidRPr="00860CD7" w:rsidRDefault="00F3020C" w:rsidP="00F3020C">
            <w:pPr>
              <w:spacing w:line="276" w:lineRule="auto"/>
              <w:rPr>
                <w:sz w:val="22"/>
                <w:szCs w:val="22"/>
                <w:lang w:val="en-GB"/>
              </w:rPr>
            </w:pPr>
            <w:r>
              <w:rPr>
                <w:sz w:val="22"/>
                <w:szCs w:val="22"/>
                <w:lang w:val="en-GB"/>
              </w:rPr>
              <w:t xml:space="preserve">Doc. AEWA/MOP </w:t>
            </w:r>
            <w:r w:rsidR="00265375">
              <w:rPr>
                <w:sz w:val="22"/>
                <w:szCs w:val="22"/>
                <w:lang w:val="en-GB"/>
              </w:rPr>
              <w:t>9</w:t>
            </w:r>
            <w:r w:rsidRPr="0028191F">
              <w:rPr>
                <w:sz w:val="22"/>
                <w:szCs w:val="22"/>
                <w:lang w:val="en-GB"/>
              </w:rPr>
              <w:t>.</w:t>
            </w:r>
            <w:r>
              <w:rPr>
                <w:sz w:val="22"/>
                <w:szCs w:val="22"/>
                <w:lang w:val="en-GB"/>
              </w:rPr>
              <w:t>1</w:t>
            </w:r>
            <w:r w:rsidR="00265375">
              <w:rPr>
                <w:sz w:val="22"/>
                <w:szCs w:val="22"/>
                <w:lang w:val="en-GB"/>
              </w:rPr>
              <w:t>3</w:t>
            </w:r>
          </w:p>
        </w:tc>
      </w:tr>
      <w:tr w:rsidR="00F3020C" w:rsidRPr="00860CD7" w14:paraId="348BA71F"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trHeight w:val="549"/>
        </w:trPr>
        <w:tc>
          <w:tcPr>
            <w:tcW w:w="1505" w:type="pct"/>
            <w:tcBorders>
              <w:top w:val="single" w:sz="4" w:space="0" w:color="000000"/>
              <w:left w:val="single" w:sz="4" w:space="0" w:color="000000"/>
              <w:bottom w:val="single" w:sz="4" w:space="0" w:color="000000"/>
              <w:right w:val="single" w:sz="4" w:space="0" w:color="000000"/>
            </w:tcBorders>
          </w:tcPr>
          <w:p w14:paraId="6A8EDF28" w14:textId="77777777" w:rsidR="00F3020C" w:rsidRPr="004F060C" w:rsidRDefault="00F3020C" w:rsidP="00F3020C">
            <w:pPr>
              <w:spacing w:line="276" w:lineRule="auto"/>
              <w:rPr>
                <w:b/>
                <w:bCs/>
                <w:sz w:val="22"/>
                <w:szCs w:val="22"/>
                <w:lang w:val="en-GB"/>
              </w:rPr>
            </w:pPr>
            <w:r w:rsidRPr="004F060C">
              <w:rPr>
                <w:b/>
                <w:bCs/>
                <w:sz w:val="22"/>
                <w:szCs w:val="22"/>
                <w:lang w:val="en-GB"/>
              </w:rPr>
              <w:t>7.2. Other international reviews</w:t>
            </w:r>
          </w:p>
          <w:p w14:paraId="0613E81D" w14:textId="52039944" w:rsidR="00F3020C" w:rsidRPr="004F060C" w:rsidRDefault="00F3020C" w:rsidP="00F3020C">
            <w:pPr>
              <w:spacing w:line="276" w:lineRule="auto"/>
              <w:rPr>
                <w:sz w:val="22"/>
                <w:szCs w:val="22"/>
                <w:lang w:val="en-GB"/>
              </w:rPr>
            </w:pPr>
            <w:r w:rsidRPr="004F060C">
              <w:rPr>
                <w:sz w:val="22"/>
                <w:szCs w:val="22"/>
                <w:lang w:val="en-GB"/>
              </w:rPr>
              <w:t xml:space="preserve">Guide the process of preparation of a) </w:t>
            </w:r>
            <w:r w:rsidRPr="004F060C">
              <w:rPr>
                <w:b/>
                <w:bCs/>
                <w:sz w:val="22"/>
                <w:szCs w:val="22"/>
                <w:lang w:val="en-GB"/>
              </w:rPr>
              <w:t xml:space="preserve">review of </w:t>
            </w:r>
            <w:r w:rsidR="0013799E">
              <w:rPr>
                <w:b/>
                <w:bCs/>
                <w:sz w:val="22"/>
                <w:szCs w:val="22"/>
                <w:lang w:val="en-GB"/>
              </w:rPr>
              <w:t xml:space="preserve">(gaps of) </w:t>
            </w:r>
            <w:r w:rsidRPr="004F060C">
              <w:rPr>
                <w:b/>
                <w:bCs/>
                <w:sz w:val="22"/>
                <w:szCs w:val="22"/>
                <w:lang w:val="en-GB"/>
              </w:rPr>
              <w:t>information from surveys</w:t>
            </w:r>
            <w:r w:rsidRPr="004F060C">
              <w:rPr>
                <w:sz w:val="22"/>
                <w:szCs w:val="22"/>
                <w:lang w:val="en-GB"/>
              </w:rPr>
              <w:t xml:space="preserve"> (</w:t>
            </w:r>
            <w:r w:rsidRPr="004F060C">
              <w:rPr>
                <w:i/>
                <w:iCs/>
                <w:sz w:val="22"/>
                <w:szCs w:val="22"/>
                <w:lang w:val="en-GB"/>
              </w:rPr>
              <w:t xml:space="preserve">Action Plan </w:t>
            </w:r>
            <w:r w:rsidRPr="004F060C">
              <w:rPr>
                <w:i/>
                <w:iCs/>
                <w:sz w:val="22"/>
                <w:szCs w:val="22"/>
                <w:lang w:val="en-GB"/>
              </w:rPr>
              <w:lastRenderedPageBreak/>
              <w:t>7.4b</w:t>
            </w:r>
            <w:r w:rsidRPr="004F060C">
              <w:rPr>
                <w:sz w:val="22"/>
                <w:szCs w:val="22"/>
                <w:lang w:val="en-GB"/>
              </w:rPr>
              <w:t xml:space="preserve">) – never compiled so far; b) </w:t>
            </w:r>
            <w:r w:rsidRPr="004F060C">
              <w:rPr>
                <w:b/>
                <w:bCs/>
                <w:sz w:val="22"/>
                <w:szCs w:val="22"/>
                <w:lang w:val="en-GB"/>
              </w:rPr>
              <w:t>updated review of pertinent hunting and trade legislation</w:t>
            </w:r>
            <w:r w:rsidRPr="004F060C">
              <w:rPr>
                <w:sz w:val="22"/>
                <w:szCs w:val="22"/>
                <w:lang w:val="en-GB"/>
              </w:rPr>
              <w:t xml:space="preserve"> (</w:t>
            </w:r>
            <w:r w:rsidRPr="004F060C">
              <w:rPr>
                <w:i/>
                <w:iCs/>
                <w:sz w:val="22"/>
                <w:szCs w:val="22"/>
                <w:lang w:val="en-GB"/>
              </w:rPr>
              <w:t>Action Plan 7.4d</w:t>
            </w:r>
            <w:r w:rsidRPr="004F060C">
              <w:rPr>
                <w:sz w:val="22"/>
                <w:szCs w:val="22"/>
                <w:lang w:val="en-GB"/>
              </w:rPr>
              <w:t xml:space="preserve">) – last produced for MOP4 in 2008, next one was due for MOP7 in 2018; c) </w:t>
            </w:r>
            <w:r w:rsidRPr="004F060C">
              <w:rPr>
                <w:b/>
                <w:bCs/>
                <w:sz w:val="22"/>
                <w:szCs w:val="22"/>
                <w:lang w:val="en-GB"/>
              </w:rPr>
              <w:t>updated review of the preparation and implementation of Single Species Action Plans</w:t>
            </w:r>
            <w:r w:rsidRPr="004F060C">
              <w:rPr>
                <w:sz w:val="22"/>
                <w:szCs w:val="22"/>
                <w:lang w:val="en-GB"/>
              </w:rPr>
              <w:t xml:space="preserve"> (</w:t>
            </w:r>
            <w:r w:rsidRPr="004F060C">
              <w:rPr>
                <w:i/>
                <w:iCs/>
                <w:sz w:val="22"/>
                <w:szCs w:val="22"/>
                <w:lang w:val="en-GB"/>
              </w:rPr>
              <w:t>Action Plan 7.4e</w:t>
            </w:r>
            <w:r w:rsidRPr="004F060C">
              <w:rPr>
                <w:sz w:val="22"/>
                <w:szCs w:val="22"/>
                <w:lang w:val="en-GB"/>
              </w:rPr>
              <w:t>) – last produced for MOP6 in 2015, next one is due for MOP8 in 2021.</w:t>
            </w:r>
            <w:r w:rsidR="0013799E">
              <w:rPr>
                <w:sz w:val="22"/>
                <w:szCs w:val="22"/>
                <w:lang w:val="en-GB"/>
              </w:rPr>
              <w:t xml:space="preserve"> </w:t>
            </w:r>
            <w:r w:rsidR="0013799E" w:rsidRPr="0013799E">
              <w:rPr>
                <w:sz w:val="22"/>
                <w:szCs w:val="22"/>
                <w:lang w:val="en-GB"/>
              </w:rPr>
              <w:t>(</w:t>
            </w:r>
            <w:r w:rsidR="0013799E" w:rsidRPr="0013799E">
              <w:rPr>
                <w:i/>
                <w:iCs/>
                <w:sz w:val="22"/>
                <w:szCs w:val="22"/>
                <w:lang w:val="en-GB"/>
              </w:rPr>
              <w:t>AEWA Annex 3, paragraphs 7.4 &amp; 7.5</w:t>
            </w:r>
            <w:r w:rsidR="0013799E" w:rsidRPr="0013799E">
              <w:rPr>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44BC4733" w14:textId="77777777" w:rsidR="00F3020C" w:rsidRPr="004F060C" w:rsidRDefault="00F3020C" w:rsidP="00F3020C">
            <w:pPr>
              <w:spacing w:line="276" w:lineRule="auto"/>
              <w:rPr>
                <w:b/>
                <w:sz w:val="22"/>
                <w:szCs w:val="22"/>
                <w:highlight w:val="yellow"/>
                <w:lang w:val="en-GB"/>
              </w:rPr>
            </w:pPr>
            <w:r w:rsidRPr="00AC70CB">
              <w:rPr>
                <w:b/>
                <w:bCs/>
                <w:sz w:val="22"/>
                <w:szCs w:val="22"/>
                <w:shd w:val="clear" w:color="auto" w:fill="FF9999"/>
              </w:rPr>
              <w:lastRenderedPageBreak/>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06043EE1" w14:textId="77777777" w:rsidR="00F3020C" w:rsidRPr="00CB2ABB" w:rsidRDefault="00F3020C" w:rsidP="00F3020C">
            <w:pPr>
              <w:spacing w:line="276" w:lineRule="auto"/>
              <w:rPr>
                <w:b/>
                <w:bCs/>
                <w:sz w:val="22"/>
                <w:szCs w:val="22"/>
                <w:highlight w:val="yellow"/>
                <w:lang w:val="en-GB"/>
              </w:rPr>
            </w:pPr>
            <w:r w:rsidRPr="00CB2ABB">
              <w:rPr>
                <w:b/>
                <w:bCs/>
                <w:sz w:val="22"/>
                <w:szCs w:val="22"/>
                <w:shd w:val="clear" w:color="auto" w:fill="FFFF99"/>
                <w:lang w:val="en-GB"/>
              </w:rPr>
              <w:t>Partially implemented</w:t>
            </w:r>
          </w:p>
        </w:tc>
        <w:tc>
          <w:tcPr>
            <w:tcW w:w="1629" w:type="pct"/>
            <w:tcBorders>
              <w:top w:val="single" w:sz="4" w:space="0" w:color="000000"/>
              <w:left w:val="single" w:sz="4" w:space="0" w:color="000000"/>
              <w:bottom w:val="single" w:sz="4" w:space="0" w:color="000000"/>
              <w:right w:val="single" w:sz="4" w:space="0" w:color="000000"/>
            </w:tcBorders>
          </w:tcPr>
          <w:p w14:paraId="07427002" w14:textId="77777777" w:rsidR="00F3020C" w:rsidRDefault="00F3020C" w:rsidP="0013799E">
            <w:pPr>
              <w:spacing w:line="276" w:lineRule="auto"/>
              <w:rPr>
                <w:sz w:val="22"/>
                <w:szCs w:val="22"/>
                <w:lang w:val="en-GB"/>
              </w:rPr>
            </w:pPr>
            <w:r w:rsidRPr="003E21E7">
              <w:rPr>
                <w:sz w:val="22"/>
                <w:szCs w:val="22"/>
                <w:lang w:val="en-GB"/>
              </w:rPr>
              <w:t xml:space="preserve">The </w:t>
            </w:r>
            <w:r w:rsidR="0013799E">
              <w:rPr>
                <w:sz w:val="22"/>
                <w:szCs w:val="22"/>
                <w:lang w:val="en-GB"/>
              </w:rPr>
              <w:t xml:space="preserve">updated review of the preparation and implementation of </w:t>
            </w:r>
            <w:r w:rsidRPr="003E21E7">
              <w:rPr>
                <w:sz w:val="22"/>
                <w:szCs w:val="22"/>
                <w:lang w:val="en-GB"/>
              </w:rPr>
              <w:t xml:space="preserve">species action plans (7.4e) </w:t>
            </w:r>
            <w:r w:rsidR="0013799E">
              <w:rPr>
                <w:sz w:val="22"/>
                <w:szCs w:val="22"/>
                <w:lang w:val="en-GB"/>
              </w:rPr>
              <w:t xml:space="preserve">was </w:t>
            </w:r>
            <w:r w:rsidR="0013799E">
              <w:rPr>
                <w:sz w:val="22"/>
                <w:szCs w:val="22"/>
                <w:lang w:val="en-GB"/>
              </w:rPr>
              <w:lastRenderedPageBreak/>
              <w:t>compiled as a chapter of the 9</w:t>
            </w:r>
            <w:r w:rsidR="0013799E" w:rsidRPr="0013799E">
              <w:rPr>
                <w:sz w:val="22"/>
                <w:szCs w:val="22"/>
                <w:vertAlign w:val="superscript"/>
                <w:lang w:val="en-GB"/>
              </w:rPr>
              <w:t>th</w:t>
            </w:r>
            <w:r w:rsidR="0013799E">
              <w:rPr>
                <w:sz w:val="22"/>
                <w:szCs w:val="22"/>
                <w:lang w:val="en-GB"/>
              </w:rPr>
              <w:t xml:space="preserve"> edition of the Conservation Status Report</w:t>
            </w:r>
            <w:r w:rsidRPr="003E21E7">
              <w:rPr>
                <w:sz w:val="22"/>
                <w:szCs w:val="22"/>
                <w:lang w:val="en-GB"/>
              </w:rPr>
              <w:t xml:space="preserve">. </w:t>
            </w:r>
          </w:p>
          <w:p w14:paraId="2B88197F" w14:textId="77777777" w:rsidR="0013799E" w:rsidRDefault="0013799E" w:rsidP="0013799E">
            <w:pPr>
              <w:spacing w:line="276" w:lineRule="auto"/>
              <w:rPr>
                <w:sz w:val="22"/>
                <w:szCs w:val="22"/>
                <w:lang w:val="en-GB"/>
              </w:rPr>
            </w:pPr>
          </w:p>
          <w:p w14:paraId="65EA36E5" w14:textId="7E594BF6" w:rsidR="0013799E" w:rsidRPr="0013799E" w:rsidRDefault="0013799E" w:rsidP="0013799E">
            <w:pPr>
              <w:spacing w:line="276" w:lineRule="auto"/>
              <w:rPr>
                <w:sz w:val="22"/>
                <w:szCs w:val="22"/>
                <w:lang w:val="en-GB"/>
              </w:rPr>
            </w:pPr>
            <w:r>
              <w:rPr>
                <w:sz w:val="22"/>
                <w:szCs w:val="22"/>
                <w:lang w:val="en-GB"/>
              </w:rPr>
              <w:t xml:space="preserve">The other </w:t>
            </w:r>
            <w:r w:rsidR="0010232E">
              <w:rPr>
                <w:sz w:val="22"/>
                <w:szCs w:val="22"/>
                <w:lang w:val="en-GB"/>
              </w:rPr>
              <w:t xml:space="preserve">reviews could not be compiled due to the lack of resources. </w:t>
            </w:r>
          </w:p>
        </w:tc>
        <w:tc>
          <w:tcPr>
            <w:tcW w:w="823" w:type="pct"/>
            <w:tcBorders>
              <w:top w:val="single" w:sz="4" w:space="0" w:color="000000"/>
              <w:left w:val="single" w:sz="4" w:space="0" w:color="000000"/>
              <w:bottom w:val="single" w:sz="4" w:space="0" w:color="000000"/>
              <w:right w:val="single" w:sz="4" w:space="0" w:color="000000"/>
            </w:tcBorders>
          </w:tcPr>
          <w:p w14:paraId="6548CA74" w14:textId="20F75ED5" w:rsidR="00F3020C" w:rsidRPr="00860CD7" w:rsidRDefault="00F3020C" w:rsidP="00F3020C">
            <w:pPr>
              <w:spacing w:line="276" w:lineRule="auto"/>
              <w:rPr>
                <w:sz w:val="22"/>
                <w:szCs w:val="22"/>
                <w:lang w:val="en-GB"/>
              </w:rPr>
            </w:pPr>
            <w:r>
              <w:rPr>
                <w:sz w:val="22"/>
                <w:szCs w:val="22"/>
                <w:lang w:val="en-GB"/>
              </w:rPr>
              <w:lastRenderedPageBreak/>
              <w:t xml:space="preserve">Doc. AEWA/MOP </w:t>
            </w:r>
            <w:r w:rsidR="0013799E">
              <w:rPr>
                <w:sz w:val="22"/>
                <w:szCs w:val="22"/>
                <w:lang w:val="en-GB"/>
              </w:rPr>
              <w:t>9</w:t>
            </w:r>
            <w:r w:rsidRPr="0028191F">
              <w:rPr>
                <w:sz w:val="22"/>
                <w:szCs w:val="22"/>
                <w:lang w:val="en-GB"/>
              </w:rPr>
              <w:t>.</w:t>
            </w:r>
            <w:r>
              <w:rPr>
                <w:sz w:val="22"/>
                <w:szCs w:val="22"/>
                <w:lang w:val="en-GB"/>
              </w:rPr>
              <w:t>13</w:t>
            </w:r>
          </w:p>
        </w:tc>
      </w:tr>
      <w:tr w:rsidR="00F3020C" w:rsidRPr="00860CD7" w14:paraId="386D7D6A"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6C972813" w14:textId="77777777" w:rsidR="00F3020C" w:rsidRPr="004F060C" w:rsidRDefault="00F3020C" w:rsidP="00F3020C">
            <w:pPr>
              <w:spacing w:line="276" w:lineRule="auto"/>
              <w:rPr>
                <w:b/>
                <w:bCs/>
                <w:sz w:val="22"/>
                <w:szCs w:val="22"/>
                <w:lang w:val="en-GB"/>
              </w:rPr>
            </w:pPr>
            <w:r w:rsidRPr="004F060C">
              <w:rPr>
                <w:b/>
                <w:bCs/>
                <w:sz w:val="22"/>
                <w:szCs w:val="22"/>
                <w:lang w:val="en-GB"/>
              </w:rPr>
              <w:t>7.3. Review and reformatting of existing Conservation Guidelines</w:t>
            </w:r>
          </w:p>
          <w:p w14:paraId="7DE95C9B" w14:textId="7EE31C17" w:rsidR="00F3020C" w:rsidRPr="004F060C" w:rsidRDefault="00F3020C" w:rsidP="00F3020C">
            <w:pPr>
              <w:spacing w:line="276" w:lineRule="auto"/>
              <w:rPr>
                <w:sz w:val="22"/>
                <w:szCs w:val="22"/>
                <w:lang w:val="en-GB"/>
              </w:rPr>
            </w:pPr>
            <w:r w:rsidRPr="004F060C">
              <w:rPr>
                <w:sz w:val="22"/>
                <w:szCs w:val="22"/>
                <w:lang w:val="en-GB"/>
              </w:rPr>
              <w:t xml:space="preserve">Review AEWA Conservation Guidelines (CG) </w:t>
            </w:r>
            <w:r>
              <w:rPr>
                <w:sz w:val="22"/>
                <w:szCs w:val="22"/>
                <w:lang w:val="en-GB"/>
              </w:rPr>
              <w:t>N</w:t>
            </w:r>
            <w:r w:rsidRPr="004F060C">
              <w:rPr>
                <w:sz w:val="22"/>
                <w:szCs w:val="22"/>
                <w:lang w:val="en-GB"/>
              </w:rPr>
              <w:t>o. 3, 4, 7 and 8 to ensure they continue to reflect best conservation practice.</w:t>
            </w:r>
          </w:p>
          <w:p w14:paraId="7C92A250" w14:textId="77777777" w:rsidR="00F3020C" w:rsidRPr="004F060C" w:rsidRDefault="00F3020C" w:rsidP="00F3020C">
            <w:pPr>
              <w:spacing w:line="276" w:lineRule="auto"/>
              <w:rPr>
                <w:sz w:val="22"/>
                <w:szCs w:val="22"/>
                <w:lang w:val="en-GB"/>
              </w:rPr>
            </w:pPr>
          </w:p>
          <w:p w14:paraId="2069C895" w14:textId="2BE7AF13" w:rsidR="00F3020C" w:rsidRPr="004F060C" w:rsidRDefault="00F3020C" w:rsidP="00F3020C">
            <w:pPr>
              <w:spacing w:line="276" w:lineRule="auto"/>
              <w:rPr>
                <w:sz w:val="22"/>
                <w:szCs w:val="22"/>
                <w:lang w:val="en-GB"/>
              </w:rPr>
            </w:pPr>
            <w:r w:rsidRPr="004F060C">
              <w:rPr>
                <w:sz w:val="22"/>
                <w:szCs w:val="22"/>
                <w:lang w:val="en-GB"/>
              </w:rPr>
              <w:t xml:space="preserve">Undertake any necessary updates or revision and reformat in the context of any new CG format agreed by Standing Committee 12 (following the current review of CG format). </w:t>
            </w:r>
            <w:r w:rsidR="0010232E">
              <w:t xml:space="preserve"> </w:t>
            </w:r>
            <w:r w:rsidR="0010232E" w:rsidRPr="0010232E">
              <w:rPr>
                <w:sz w:val="22"/>
                <w:szCs w:val="22"/>
                <w:lang w:val="en-GB"/>
              </w:rPr>
              <w:t>Prioritise CG no.7 in particular considering issues of local community benefit in the context of the SDGs and other international targets.</w:t>
            </w:r>
            <w:r w:rsidRPr="004F060C">
              <w:rPr>
                <w:sz w:val="22"/>
                <w:szCs w:val="22"/>
                <w:lang w:val="en-GB"/>
              </w:rPr>
              <w:t xml:space="preserve"> Submit any revised CGs to MOP </w:t>
            </w:r>
            <w:r w:rsidR="0010232E">
              <w:rPr>
                <w:sz w:val="22"/>
                <w:szCs w:val="22"/>
                <w:lang w:val="en-GB"/>
              </w:rPr>
              <w:t>9</w:t>
            </w:r>
            <w:r>
              <w:rPr>
                <w:sz w:val="22"/>
                <w:szCs w:val="22"/>
                <w:lang w:val="en-GB"/>
              </w:rPr>
              <w:t>.</w:t>
            </w:r>
            <w:r w:rsidRPr="004F060C">
              <w:rPr>
                <w:sz w:val="22"/>
                <w:szCs w:val="22"/>
                <w:lang w:val="en-GB"/>
              </w:rPr>
              <w:t xml:space="preserve"> (</w:t>
            </w:r>
            <w:r w:rsidRPr="004F060C">
              <w:rPr>
                <w:i/>
                <w:iCs/>
                <w:sz w:val="22"/>
                <w:szCs w:val="22"/>
                <w:lang w:val="en-GB"/>
              </w:rPr>
              <w:t>Resolution 7.8</w:t>
            </w:r>
            <w:r w:rsidRPr="004F060C">
              <w:rPr>
                <w:sz w:val="22"/>
                <w:szCs w:val="22"/>
                <w:lang w:val="en-GB"/>
              </w:rPr>
              <w:t>)</w:t>
            </w:r>
          </w:p>
          <w:p w14:paraId="1540B6CD" w14:textId="77777777" w:rsidR="00F3020C" w:rsidRPr="004F060C" w:rsidRDefault="00F3020C" w:rsidP="00F3020C">
            <w:pPr>
              <w:spacing w:line="276" w:lineRule="auto"/>
              <w:rPr>
                <w:b/>
                <w:bCs/>
                <w:sz w:val="22"/>
                <w:szCs w:val="22"/>
                <w:lang w:val="en-GB"/>
              </w:rPr>
            </w:pPr>
          </w:p>
          <w:p w14:paraId="6EB19290" w14:textId="77777777" w:rsidR="00F3020C" w:rsidRPr="00860CD7" w:rsidRDefault="00F3020C" w:rsidP="00F3020C">
            <w:pPr>
              <w:spacing w:line="276" w:lineRule="auto"/>
              <w:rPr>
                <w:b/>
                <w:bCs/>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2D509214" w14:textId="77777777" w:rsidR="00F3020C" w:rsidRDefault="00F3020C" w:rsidP="00F3020C">
            <w:pPr>
              <w:spacing w:line="276" w:lineRule="auto"/>
              <w:rPr>
                <w:sz w:val="22"/>
                <w:szCs w:val="22"/>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0700D52C" w14:textId="0F8D5051" w:rsidR="00F3020C" w:rsidRDefault="00F3020C" w:rsidP="00F3020C">
            <w:pPr>
              <w:spacing w:line="276" w:lineRule="auto"/>
              <w:rPr>
                <w:sz w:val="22"/>
                <w:szCs w:val="22"/>
                <w:lang w:val="en-GB"/>
              </w:rPr>
            </w:pPr>
            <w:r w:rsidRPr="0014323A">
              <w:rPr>
                <w:b/>
                <w:bCs/>
                <w:sz w:val="22"/>
                <w:szCs w:val="22"/>
                <w:lang w:val="en-GB"/>
              </w:rPr>
              <w:t>Partially implemented</w:t>
            </w:r>
          </w:p>
        </w:tc>
        <w:tc>
          <w:tcPr>
            <w:tcW w:w="1629" w:type="pct"/>
            <w:tcBorders>
              <w:top w:val="single" w:sz="4" w:space="0" w:color="000000"/>
              <w:left w:val="single" w:sz="4" w:space="0" w:color="000000"/>
              <w:bottom w:val="single" w:sz="4" w:space="0" w:color="000000"/>
              <w:right w:val="single" w:sz="4" w:space="0" w:color="000000"/>
            </w:tcBorders>
          </w:tcPr>
          <w:p w14:paraId="603E7C7E" w14:textId="0810CD70" w:rsidR="00F3020C" w:rsidRPr="003E2B85" w:rsidRDefault="00F3020C" w:rsidP="00F3020C">
            <w:pPr>
              <w:spacing w:line="276" w:lineRule="auto"/>
              <w:rPr>
                <w:sz w:val="22"/>
                <w:szCs w:val="22"/>
                <w:lang w:val="en-GB"/>
              </w:rPr>
            </w:pPr>
            <w:r w:rsidRPr="003E2B85">
              <w:rPr>
                <w:sz w:val="22"/>
                <w:szCs w:val="22"/>
                <w:lang w:val="en-GB"/>
              </w:rPr>
              <w:t xml:space="preserve">The </w:t>
            </w:r>
            <w:r w:rsidR="000F57BC">
              <w:rPr>
                <w:sz w:val="22"/>
                <w:szCs w:val="22"/>
                <w:lang w:val="en-GB"/>
              </w:rPr>
              <w:t xml:space="preserve">Technical Committee </w:t>
            </w:r>
            <w:r w:rsidRPr="003E2B85">
              <w:rPr>
                <w:sz w:val="22"/>
                <w:szCs w:val="22"/>
                <w:lang w:val="en-GB"/>
              </w:rPr>
              <w:t>undertook a revision of Conservation Guidelines No.</w:t>
            </w:r>
            <w:r w:rsidR="000F57BC">
              <w:rPr>
                <w:sz w:val="22"/>
                <w:szCs w:val="22"/>
                <w:lang w:val="en-GB"/>
              </w:rPr>
              <w:t>4</w:t>
            </w:r>
            <w:r w:rsidRPr="003E2B85">
              <w:rPr>
                <w:sz w:val="22"/>
                <w:szCs w:val="22"/>
                <w:lang w:val="en-GB"/>
              </w:rPr>
              <w:t xml:space="preserve"> on the </w:t>
            </w:r>
            <w:r w:rsidR="000F57BC">
              <w:rPr>
                <w:sz w:val="22"/>
                <w:szCs w:val="22"/>
                <w:lang w:val="en-GB"/>
              </w:rPr>
              <w:t xml:space="preserve">Management of Key Sites </w:t>
            </w:r>
            <w:r w:rsidRPr="003E2B85">
              <w:rPr>
                <w:sz w:val="22"/>
                <w:szCs w:val="22"/>
                <w:lang w:val="en-GB"/>
              </w:rPr>
              <w:t>for Migratory Waterbirds</w:t>
            </w:r>
            <w:r w:rsidR="000F57BC">
              <w:rPr>
                <w:sz w:val="22"/>
                <w:szCs w:val="22"/>
                <w:lang w:val="en-GB"/>
              </w:rPr>
              <w:t xml:space="preserve"> and No.7 on the Development of Ecotourism at Wetlands</w:t>
            </w:r>
            <w:r w:rsidRPr="003E2B85">
              <w:rPr>
                <w:sz w:val="22"/>
                <w:szCs w:val="22"/>
                <w:lang w:val="en-GB"/>
              </w:rPr>
              <w:t>. Th</w:t>
            </w:r>
            <w:r w:rsidR="000F57BC">
              <w:rPr>
                <w:sz w:val="22"/>
                <w:szCs w:val="22"/>
                <w:lang w:val="en-GB"/>
              </w:rPr>
              <w:t>e</w:t>
            </w:r>
            <w:r w:rsidRPr="003E2B85">
              <w:rPr>
                <w:sz w:val="22"/>
                <w:szCs w:val="22"/>
                <w:lang w:val="en-GB"/>
              </w:rPr>
              <w:t xml:space="preserve"> </w:t>
            </w:r>
            <w:r w:rsidR="000F57BC">
              <w:rPr>
                <w:sz w:val="22"/>
                <w:szCs w:val="22"/>
                <w:lang w:val="en-GB"/>
              </w:rPr>
              <w:t xml:space="preserve">draft </w:t>
            </w:r>
            <w:r w:rsidRPr="003E2B85">
              <w:rPr>
                <w:sz w:val="22"/>
                <w:szCs w:val="22"/>
                <w:lang w:val="en-GB"/>
              </w:rPr>
              <w:t>revision</w:t>
            </w:r>
            <w:r w:rsidR="000F57BC">
              <w:rPr>
                <w:sz w:val="22"/>
                <w:szCs w:val="22"/>
                <w:lang w:val="en-GB"/>
              </w:rPr>
              <w:t>s</w:t>
            </w:r>
            <w:r w:rsidRPr="003E2B85">
              <w:rPr>
                <w:sz w:val="22"/>
                <w:szCs w:val="22"/>
                <w:lang w:val="en-GB"/>
              </w:rPr>
              <w:t xml:space="preserve"> w</w:t>
            </w:r>
            <w:r w:rsidR="000F57BC">
              <w:rPr>
                <w:sz w:val="22"/>
                <w:szCs w:val="22"/>
                <w:lang w:val="en-GB"/>
              </w:rPr>
              <w:t>ere</w:t>
            </w:r>
            <w:r w:rsidRPr="003E2B85">
              <w:rPr>
                <w:sz w:val="22"/>
                <w:szCs w:val="22"/>
                <w:lang w:val="en-GB"/>
              </w:rPr>
              <w:t xml:space="preserve"> reviewed and agreed by the T</w:t>
            </w:r>
            <w:r w:rsidR="000F57BC">
              <w:rPr>
                <w:sz w:val="22"/>
                <w:szCs w:val="22"/>
                <w:lang w:val="en-GB"/>
              </w:rPr>
              <w:t xml:space="preserve">echnical </w:t>
            </w:r>
            <w:r w:rsidRPr="003E2B85">
              <w:rPr>
                <w:sz w:val="22"/>
                <w:szCs w:val="22"/>
                <w:lang w:val="en-GB"/>
              </w:rPr>
              <w:t>C</w:t>
            </w:r>
            <w:r w:rsidR="000F57BC">
              <w:rPr>
                <w:sz w:val="22"/>
                <w:szCs w:val="22"/>
                <w:lang w:val="en-GB"/>
              </w:rPr>
              <w:t>ommittee</w:t>
            </w:r>
            <w:r w:rsidRPr="003E2B85">
              <w:rPr>
                <w:sz w:val="22"/>
                <w:szCs w:val="22"/>
                <w:lang w:val="en-GB"/>
              </w:rPr>
              <w:t xml:space="preserve"> </w:t>
            </w:r>
            <w:r w:rsidR="000F57BC">
              <w:rPr>
                <w:sz w:val="22"/>
                <w:szCs w:val="22"/>
                <w:lang w:val="en-GB"/>
              </w:rPr>
              <w:t>at its 20</w:t>
            </w:r>
            <w:r w:rsidR="000F57BC" w:rsidRPr="000F57BC">
              <w:rPr>
                <w:sz w:val="22"/>
                <w:szCs w:val="22"/>
                <w:vertAlign w:val="superscript"/>
                <w:lang w:val="en-GB"/>
              </w:rPr>
              <w:t>th</w:t>
            </w:r>
            <w:r w:rsidR="000F57BC">
              <w:rPr>
                <w:sz w:val="22"/>
                <w:szCs w:val="22"/>
                <w:lang w:val="en-GB"/>
              </w:rPr>
              <w:t xml:space="preserve"> meeting in February 2025 </w:t>
            </w:r>
            <w:r w:rsidRPr="003E2B85">
              <w:rPr>
                <w:sz w:val="22"/>
                <w:szCs w:val="22"/>
                <w:lang w:val="en-GB"/>
              </w:rPr>
              <w:t>for submission to MOP</w:t>
            </w:r>
            <w:r w:rsidR="000F57BC">
              <w:rPr>
                <w:sz w:val="22"/>
                <w:szCs w:val="22"/>
                <w:lang w:val="en-GB"/>
              </w:rPr>
              <w:t>9</w:t>
            </w:r>
            <w:r w:rsidRPr="003E2B85">
              <w:rPr>
                <w:sz w:val="22"/>
                <w:szCs w:val="22"/>
                <w:lang w:val="en-GB"/>
              </w:rPr>
              <w:t>.</w:t>
            </w:r>
          </w:p>
          <w:p w14:paraId="62284248" w14:textId="77777777" w:rsidR="00F3020C" w:rsidRPr="003E2B85" w:rsidRDefault="00F3020C" w:rsidP="00F3020C">
            <w:pPr>
              <w:spacing w:line="276" w:lineRule="auto"/>
              <w:rPr>
                <w:sz w:val="22"/>
                <w:szCs w:val="22"/>
                <w:lang w:val="en-GB"/>
              </w:rPr>
            </w:pPr>
          </w:p>
          <w:p w14:paraId="43EF718F" w14:textId="0219A7FA" w:rsidR="00F3020C" w:rsidRPr="003E2B85" w:rsidRDefault="00F3020C" w:rsidP="00F3020C">
            <w:pPr>
              <w:spacing w:line="276" w:lineRule="auto"/>
              <w:rPr>
                <w:sz w:val="22"/>
                <w:szCs w:val="22"/>
                <w:lang w:val="en-GB"/>
              </w:rPr>
            </w:pPr>
            <w:r w:rsidRPr="003E2B85">
              <w:rPr>
                <w:sz w:val="22"/>
                <w:szCs w:val="22"/>
                <w:lang w:val="en-GB"/>
              </w:rPr>
              <w:t>Due to capacity issues, no further guidelines were reviewed or revised</w:t>
            </w:r>
            <w:r w:rsidR="000F57BC">
              <w:rPr>
                <w:sz w:val="22"/>
                <w:szCs w:val="22"/>
                <w:lang w:val="en-GB"/>
              </w:rPr>
              <w:t>.</w:t>
            </w:r>
          </w:p>
          <w:p w14:paraId="7B9DE3A5" w14:textId="77777777" w:rsidR="00F3020C" w:rsidRPr="003E2B85" w:rsidRDefault="00F3020C" w:rsidP="00F3020C">
            <w:pPr>
              <w:spacing w:line="276" w:lineRule="auto"/>
              <w:rPr>
                <w:sz w:val="22"/>
                <w:szCs w:val="22"/>
                <w:lang w:val="en-GB"/>
              </w:rPr>
            </w:pPr>
          </w:p>
          <w:p w14:paraId="45FEAC89" w14:textId="1CE5C2D5" w:rsidR="00F3020C" w:rsidRPr="003E2B85" w:rsidRDefault="00F3020C" w:rsidP="00F3020C">
            <w:pPr>
              <w:spacing w:line="276" w:lineRule="auto"/>
              <w:rPr>
                <w:sz w:val="22"/>
                <w:szCs w:val="22"/>
                <w:lang w:val="en-GB"/>
              </w:rPr>
            </w:pPr>
            <w:r w:rsidRPr="003E2B85">
              <w:rPr>
                <w:sz w:val="22"/>
                <w:szCs w:val="22"/>
                <w:lang w:val="en-GB"/>
              </w:rPr>
              <w:t>In addition, a draft resolution was compiled for submission to MOP</w:t>
            </w:r>
            <w:r w:rsidR="000F57BC">
              <w:rPr>
                <w:sz w:val="22"/>
                <w:szCs w:val="22"/>
                <w:lang w:val="en-GB"/>
              </w:rPr>
              <w:t>9</w:t>
            </w:r>
            <w:r w:rsidRPr="003E2B85">
              <w:rPr>
                <w:sz w:val="22"/>
                <w:szCs w:val="22"/>
                <w:lang w:val="en-GB"/>
              </w:rPr>
              <w:t>.</w:t>
            </w:r>
          </w:p>
        </w:tc>
        <w:tc>
          <w:tcPr>
            <w:tcW w:w="823" w:type="pct"/>
            <w:tcBorders>
              <w:top w:val="single" w:sz="4" w:space="0" w:color="000000"/>
              <w:left w:val="single" w:sz="4" w:space="0" w:color="000000"/>
              <w:bottom w:val="single" w:sz="4" w:space="0" w:color="000000"/>
              <w:right w:val="single" w:sz="4" w:space="0" w:color="000000"/>
            </w:tcBorders>
          </w:tcPr>
          <w:p w14:paraId="1F0B17E0" w14:textId="39C97F7F" w:rsidR="00F3020C" w:rsidRDefault="00F3020C" w:rsidP="00F3020C">
            <w:pPr>
              <w:spacing w:line="276" w:lineRule="auto"/>
              <w:rPr>
                <w:sz w:val="22"/>
                <w:szCs w:val="22"/>
                <w:lang w:val="en-GB"/>
              </w:rPr>
            </w:pPr>
            <w:r>
              <w:rPr>
                <w:sz w:val="22"/>
                <w:szCs w:val="22"/>
                <w:lang w:val="en-GB"/>
              </w:rPr>
              <w:t xml:space="preserve">Doc. AEWA/MOP </w:t>
            </w:r>
            <w:r w:rsidR="0010232E">
              <w:rPr>
                <w:sz w:val="22"/>
                <w:szCs w:val="22"/>
                <w:lang w:val="en-GB"/>
              </w:rPr>
              <w:t>9</w:t>
            </w:r>
            <w:r w:rsidRPr="0028191F">
              <w:rPr>
                <w:sz w:val="22"/>
                <w:szCs w:val="22"/>
                <w:lang w:val="en-GB"/>
              </w:rPr>
              <w:t>.</w:t>
            </w:r>
            <w:r w:rsidR="0010232E">
              <w:rPr>
                <w:sz w:val="22"/>
                <w:szCs w:val="22"/>
                <w:lang w:val="en-GB"/>
              </w:rPr>
              <w:t>26</w:t>
            </w:r>
          </w:p>
          <w:p w14:paraId="2881DAB7" w14:textId="77777777" w:rsidR="00F3020C" w:rsidRDefault="00F3020C" w:rsidP="00F3020C">
            <w:pPr>
              <w:spacing w:line="276" w:lineRule="auto"/>
              <w:rPr>
                <w:sz w:val="22"/>
                <w:szCs w:val="22"/>
                <w:lang w:val="en-GB"/>
              </w:rPr>
            </w:pPr>
            <w:r>
              <w:rPr>
                <w:sz w:val="22"/>
                <w:szCs w:val="22"/>
                <w:lang w:val="en-GB"/>
              </w:rPr>
              <w:t xml:space="preserve">Doc. AEWA/MOP </w:t>
            </w:r>
            <w:r w:rsidR="0010232E">
              <w:rPr>
                <w:sz w:val="22"/>
                <w:szCs w:val="22"/>
                <w:lang w:val="en-GB"/>
              </w:rPr>
              <w:t>9.27</w:t>
            </w:r>
          </w:p>
          <w:p w14:paraId="562DDC69" w14:textId="7CF5156C" w:rsidR="000F57BC" w:rsidRPr="00860CD7" w:rsidRDefault="000F57BC" w:rsidP="00F3020C">
            <w:pPr>
              <w:spacing w:line="276" w:lineRule="auto"/>
              <w:rPr>
                <w:sz w:val="22"/>
                <w:szCs w:val="22"/>
                <w:lang w:val="en-GB"/>
              </w:rPr>
            </w:pPr>
            <w:r>
              <w:rPr>
                <w:sz w:val="22"/>
                <w:szCs w:val="22"/>
                <w:lang w:val="en-GB"/>
              </w:rPr>
              <w:t>Doc. AEWA/MOP9 DR.5</w:t>
            </w:r>
          </w:p>
        </w:tc>
      </w:tr>
      <w:tr w:rsidR="00904CB1" w:rsidRPr="00860CD7" w14:paraId="6438B3B9" w14:textId="77777777" w:rsidTr="00915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trHeight w:val="591"/>
        </w:trPr>
        <w:tc>
          <w:tcPr>
            <w:tcW w:w="1505" w:type="pct"/>
            <w:tcBorders>
              <w:top w:val="single" w:sz="4" w:space="0" w:color="000000"/>
              <w:left w:val="single" w:sz="4" w:space="0" w:color="000000"/>
              <w:bottom w:val="single" w:sz="4" w:space="0" w:color="000000"/>
              <w:right w:val="single" w:sz="4" w:space="0" w:color="000000"/>
            </w:tcBorders>
            <w:hideMark/>
          </w:tcPr>
          <w:p w14:paraId="5B711A1B" w14:textId="77777777" w:rsidR="00904CB1" w:rsidRPr="004F060C" w:rsidRDefault="00904CB1" w:rsidP="00904CB1">
            <w:pPr>
              <w:spacing w:line="276" w:lineRule="auto"/>
              <w:rPr>
                <w:b/>
                <w:sz w:val="22"/>
                <w:szCs w:val="22"/>
                <w:lang w:val="en-GB"/>
              </w:rPr>
            </w:pPr>
            <w:r w:rsidRPr="004F060C">
              <w:rPr>
                <w:b/>
                <w:sz w:val="22"/>
                <w:szCs w:val="22"/>
                <w:lang w:val="en-GB"/>
              </w:rPr>
              <w:t>7.4. Non-native species risk assessment</w:t>
            </w:r>
          </w:p>
          <w:p w14:paraId="0A347FED" w14:textId="445F3085" w:rsidR="00904CB1" w:rsidRPr="00915E52" w:rsidRDefault="00904CB1" w:rsidP="00904CB1">
            <w:pPr>
              <w:spacing w:line="276" w:lineRule="auto"/>
              <w:rPr>
                <w:bCs/>
                <w:sz w:val="22"/>
                <w:szCs w:val="22"/>
                <w:lang w:val="en-GB"/>
              </w:rPr>
            </w:pPr>
            <w:r w:rsidRPr="004F060C">
              <w:rPr>
                <w:bCs/>
                <w:sz w:val="22"/>
                <w:szCs w:val="22"/>
                <w:lang w:val="en-GB"/>
              </w:rPr>
              <w:t xml:space="preserve">Contribute to the development of internationally-agreed standards and guidance for risk assessment with respect to non-native waterbirds in order to facilitate the implementation of the Agreement and </w:t>
            </w:r>
            <w:r w:rsidRPr="004F060C">
              <w:rPr>
                <w:bCs/>
                <w:sz w:val="22"/>
                <w:szCs w:val="22"/>
                <w:lang w:val="en-GB"/>
              </w:rPr>
              <w:lastRenderedPageBreak/>
              <w:t>related legal instruments (carried over from Work Plan 2016-2018). (</w:t>
            </w:r>
            <w:r w:rsidRPr="004F060C">
              <w:rPr>
                <w:bCs/>
                <w:i/>
                <w:iCs/>
                <w:sz w:val="22"/>
                <w:szCs w:val="22"/>
                <w:lang w:val="en-GB"/>
              </w:rPr>
              <w:t>Resolution 6.4</w:t>
            </w:r>
            <w:r w:rsidRPr="004F060C">
              <w:rPr>
                <w:bCs/>
                <w:sz w:val="22"/>
                <w:szCs w:val="22"/>
                <w:lang w:val="en-GB"/>
              </w:rPr>
              <w:t xml:space="preserve">) </w:t>
            </w:r>
          </w:p>
        </w:tc>
        <w:tc>
          <w:tcPr>
            <w:tcW w:w="361" w:type="pct"/>
            <w:tcBorders>
              <w:top w:val="single" w:sz="4" w:space="0" w:color="000000"/>
              <w:left w:val="single" w:sz="4" w:space="0" w:color="000000"/>
              <w:right w:val="single" w:sz="4" w:space="0" w:color="000000"/>
            </w:tcBorders>
          </w:tcPr>
          <w:p w14:paraId="1B1C6A03" w14:textId="2CD64B96" w:rsidR="00904CB1" w:rsidRPr="00860CD7" w:rsidRDefault="00904CB1" w:rsidP="00904CB1">
            <w:pPr>
              <w:spacing w:line="276" w:lineRule="auto"/>
              <w:rPr>
                <w:sz w:val="22"/>
                <w:szCs w:val="22"/>
                <w:lang w:val="en-GB"/>
              </w:rPr>
            </w:pPr>
            <w:r w:rsidRPr="006E2325">
              <w:rPr>
                <w:b/>
                <w:bCs/>
                <w:sz w:val="22"/>
                <w:szCs w:val="22"/>
                <w:lang w:val="en-GB" w:eastAsia="nl-NL"/>
              </w:rPr>
              <w:lastRenderedPageBreak/>
              <w:t>No (immediate) action required</w:t>
            </w:r>
          </w:p>
        </w:tc>
        <w:tc>
          <w:tcPr>
            <w:tcW w:w="682" w:type="pct"/>
            <w:tcBorders>
              <w:top w:val="single" w:sz="4" w:space="0" w:color="000000"/>
              <w:left w:val="single" w:sz="4" w:space="0" w:color="000000"/>
              <w:right w:val="single" w:sz="4" w:space="0" w:color="000000"/>
            </w:tcBorders>
          </w:tcPr>
          <w:p w14:paraId="2C1BB06F" w14:textId="341E96C7" w:rsidR="00904CB1" w:rsidRPr="00860CD7" w:rsidRDefault="00904CB1" w:rsidP="00904CB1">
            <w:pPr>
              <w:spacing w:line="276" w:lineRule="auto"/>
              <w:rPr>
                <w:sz w:val="22"/>
                <w:szCs w:val="22"/>
                <w:lang w:val="en-GB"/>
              </w:rPr>
            </w:pPr>
            <w:r w:rsidRPr="00345A66">
              <w:rPr>
                <w:b/>
                <w:bCs/>
                <w:sz w:val="22"/>
                <w:szCs w:val="22"/>
                <w:lang w:val="en-GB"/>
              </w:rPr>
              <w:t>N/A</w:t>
            </w:r>
          </w:p>
        </w:tc>
        <w:tc>
          <w:tcPr>
            <w:tcW w:w="1629" w:type="pct"/>
            <w:tcBorders>
              <w:top w:val="single" w:sz="4" w:space="0" w:color="000000"/>
              <w:left w:val="single" w:sz="4" w:space="0" w:color="000000"/>
              <w:right w:val="single" w:sz="4" w:space="0" w:color="000000"/>
            </w:tcBorders>
          </w:tcPr>
          <w:p w14:paraId="3D4C66C5" w14:textId="00DB13B0" w:rsidR="00904CB1" w:rsidRPr="00860CD7" w:rsidRDefault="00716845" w:rsidP="00904CB1">
            <w:pPr>
              <w:spacing w:line="276" w:lineRule="auto"/>
              <w:rPr>
                <w:sz w:val="22"/>
                <w:szCs w:val="22"/>
                <w:lang w:val="en-GB"/>
              </w:rPr>
            </w:pPr>
            <w:r>
              <w:rPr>
                <w:sz w:val="22"/>
                <w:szCs w:val="22"/>
                <w:lang w:val="en-GB"/>
              </w:rPr>
              <w:t>The Technical Committee agreed to</w:t>
            </w:r>
            <w:r>
              <w:t xml:space="preserve"> s</w:t>
            </w:r>
            <w:r w:rsidRPr="00716845">
              <w:rPr>
                <w:sz w:val="22"/>
                <w:szCs w:val="22"/>
                <w:lang w:val="en-GB"/>
              </w:rPr>
              <w:t xml:space="preserve">can horizon for any possible relevant new processes emerging and bring these to the </w:t>
            </w:r>
            <w:r>
              <w:rPr>
                <w:sz w:val="22"/>
                <w:szCs w:val="22"/>
                <w:lang w:val="en-GB"/>
              </w:rPr>
              <w:t>Committee</w:t>
            </w:r>
            <w:r w:rsidRPr="00716845">
              <w:rPr>
                <w:sz w:val="22"/>
                <w:szCs w:val="22"/>
                <w:lang w:val="en-GB"/>
              </w:rPr>
              <w:t>’s attention for decision on possible involvement.</w:t>
            </w:r>
          </w:p>
        </w:tc>
        <w:tc>
          <w:tcPr>
            <w:tcW w:w="823" w:type="pct"/>
            <w:tcBorders>
              <w:top w:val="single" w:sz="4" w:space="0" w:color="000000"/>
              <w:left w:val="single" w:sz="4" w:space="0" w:color="000000"/>
              <w:right w:val="single" w:sz="4" w:space="0" w:color="000000"/>
            </w:tcBorders>
          </w:tcPr>
          <w:p w14:paraId="370F623E" w14:textId="322AF1F1" w:rsidR="00904CB1" w:rsidRPr="00860CD7" w:rsidRDefault="00716845" w:rsidP="00904CB1">
            <w:pPr>
              <w:spacing w:line="276" w:lineRule="auto"/>
              <w:rPr>
                <w:sz w:val="22"/>
                <w:szCs w:val="22"/>
                <w:lang w:val="en-GB"/>
              </w:rPr>
            </w:pPr>
            <w:r>
              <w:rPr>
                <w:sz w:val="22"/>
                <w:szCs w:val="22"/>
                <w:lang w:val="en-GB"/>
              </w:rPr>
              <w:t>--</w:t>
            </w:r>
          </w:p>
        </w:tc>
      </w:tr>
      <w:tr w:rsidR="00F3020C" w:rsidRPr="00860CD7" w14:paraId="137E4762"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24BA8BFE" w14:textId="17627905" w:rsidR="00F3020C" w:rsidRPr="00EE5DEF" w:rsidRDefault="00F3020C" w:rsidP="00F3020C">
            <w:pPr>
              <w:spacing w:line="276" w:lineRule="auto"/>
              <w:rPr>
                <w:b/>
                <w:sz w:val="22"/>
                <w:szCs w:val="22"/>
                <w:lang w:val="en-GB"/>
              </w:rPr>
            </w:pPr>
            <w:r w:rsidRPr="00EE5DEF">
              <w:rPr>
                <w:b/>
                <w:sz w:val="22"/>
                <w:szCs w:val="22"/>
                <w:lang w:val="en-GB"/>
              </w:rPr>
              <w:t>7.</w:t>
            </w:r>
            <w:r w:rsidR="00915E52">
              <w:rPr>
                <w:b/>
                <w:sz w:val="22"/>
                <w:szCs w:val="22"/>
                <w:lang w:val="en-GB"/>
              </w:rPr>
              <w:t>5</w:t>
            </w:r>
            <w:r w:rsidRPr="00EE5DEF">
              <w:rPr>
                <w:b/>
                <w:sz w:val="22"/>
                <w:szCs w:val="22"/>
                <w:lang w:val="en-GB"/>
              </w:rPr>
              <w:t>. Revision and update of Conservation Guidelines</w:t>
            </w:r>
          </w:p>
          <w:p w14:paraId="2399429A" w14:textId="799116AA" w:rsidR="00F3020C" w:rsidRPr="00EE5DEF" w:rsidRDefault="00F3020C" w:rsidP="00F3020C">
            <w:pPr>
              <w:spacing w:line="276" w:lineRule="auto"/>
              <w:rPr>
                <w:bCs/>
                <w:sz w:val="22"/>
                <w:szCs w:val="22"/>
                <w:lang w:val="en-GB"/>
              </w:rPr>
            </w:pPr>
            <w:r w:rsidRPr="00EE5DEF">
              <w:rPr>
                <w:bCs/>
                <w:sz w:val="22"/>
                <w:szCs w:val="22"/>
                <w:lang w:val="en-GB"/>
              </w:rPr>
              <w:t>Implement its rolling programme to revise and update existing conservation guidelines and guides to guidance</w:t>
            </w:r>
            <w:r w:rsidR="00915E52">
              <w:rPr>
                <w:bCs/>
                <w:sz w:val="22"/>
                <w:szCs w:val="22"/>
                <w:lang w:val="en-GB"/>
              </w:rPr>
              <w:t xml:space="preserve"> </w:t>
            </w:r>
            <w:r w:rsidR="00915E52" w:rsidRPr="00915E52">
              <w:rPr>
                <w:bCs/>
                <w:sz w:val="22"/>
                <w:szCs w:val="22"/>
                <w:lang w:val="en-GB"/>
              </w:rPr>
              <w:t>(</w:t>
            </w:r>
            <w:r w:rsidR="00915E52" w:rsidRPr="00915E52">
              <w:rPr>
                <w:bCs/>
                <w:i/>
                <w:iCs/>
                <w:sz w:val="22"/>
                <w:szCs w:val="22"/>
                <w:lang w:val="en-GB"/>
              </w:rPr>
              <w:t>carried over from Work Plan 2016-2018</w:t>
            </w:r>
            <w:r w:rsidR="00915E52" w:rsidRPr="00915E52">
              <w:rPr>
                <w:bCs/>
                <w:sz w:val="22"/>
                <w:szCs w:val="22"/>
                <w:lang w:val="en-GB"/>
              </w:rPr>
              <w:t>)</w:t>
            </w:r>
            <w:r>
              <w:rPr>
                <w:bCs/>
                <w:sz w:val="22"/>
                <w:szCs w:val="22"/>
                <w:lang w:val="en-GB"/>
              </w:rPr>
              <w:t>.</w:t>
            </w:r>
            <w:r w:rsidRPr="00EE5DEF">
              <w:rPr>
                <w:bCs/>
                <w:sz w:val="22"/>
                <w:szCs w:val="22"/>
                <w:lang w:val="en-GB"/>
              </w:rPr>
              <w:t xml:space="preserve"> (</w:t>
            </w:r>
            <w:r w:rsidRPr="00EE5DEF">
              <w:rPr>
                <w:bCs/>
                <w:i/>
                <w:iCs/>
                <w:sz w:val="22"/>
                <w:szCs w:val="22"/>
                <w:lang w:val="en-GB"/>
              </w:rPr>
              <w:t>Resolutions 6.5; 7.6 and 7.8</w:t>
            </w:r>
            <w:r w:rsidRPr="00EE5DEF">
              <w:rPr>
                <w:bCs/>
                <w:sz w:val="22"/>
                <w:szCs w:val="22"/>
                <w:lang w:val="en-GB"/>
              </w:rPr>
              <w:t>)</w:t>
            </w:r>
          </w:p>
          <w:p w14:paraId="499CD1AE" w14:textId="77777777" w:rsidR="00F3020C" w:rsidRPr="00EE5DEF" w:rsidRDefault="00F3020C" w:rsidP="00F3020C">
            <w:pPr>
              <w:spacing w:line="276" w:lineRule="auto"/>
              <w:rPr>
                <w:b/>
                <w:sz w:val="22"/>
                <w:szCs w:val="22"/>
                <w:lang w:val="en-GB"/>
              </w:rPr>
            </w:pPr>
          </w:p>
          <w:p w14:paraId="2024E1D8" w14:textId="77777777" w:rsidR="00F3020C" w:rsidRPr="00860CD7" w:rsidRDefault="00F3020C" w:rsidP="00F3020C">
            <w:pPr>
              <w:spacing w:line="276" w:lineRule="auto"/>
              <w:rPr>
                <w:b/>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41F8E8F2" w14:textId="77777777" w:rsidR="00F3020C" w:rsidRPr="00860CD7" w:rsidRDefault="00F3020C" w:rsidP="00F3020C">
            <w:pPr>
              <w:spacing w:line="276" w:lineRule="auto"/>
              <w:rPr>
                <w:sz w:val="22"/>
                <w:szCs w:val="22"/>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050D5EB7" w14:textId="77777777" w:rsidR="00F3020C" w:rsidRPr="00CB2ABB" w:rsidRDefault="00F3020C" w:rsidP="00F3020C">
            <w:pPr>
              <w:spacing w:line="276" w:lineRule="auto"/>
              <w:rPr>
                <w:b/>
                <w:bCs/>
                <w:sz w:val="22"/>
                <w:szCs w:val="22"/>
                <w:lang w:val="en-GB"/>
              </w:rPr>
            </w:pPr>
            <w:r w:rsidRPr="00CB2ABB">
              <w:rPr>
                <w:b/>
                <w:bCs/>
                <w:sz w:val="22"/>
                <w:szCs w:val="22"/>
                <w:shd w:val="clear" w:color="auto" w:fill="FFFF99"/>
                <w:lang w:val="en-GB"/>
              </w:rPr>
              <w:t>Partially implemented</w:t>
            </w:r>
          </w:p>
        </w:tc>
        <w:tc>
          <w:tcPr>
            <w:tcW w:w="1629" w:type="pct"/>
            <w:tcBorders>
              <w:top w:val="single" w:sz="4" w:space="0" w:color="000000"/>
              <w:left w:val="single" w:sz="4" w:space="0" w:color="000000"/>
              <w:bottom w:val="single" w:sz="4" w:space="0" w:color="000000"/>
              <w:right w:val="single" w:sz="4" w:space="0" w:color="000000"/>
            </w:tcBorders>
          </w:tcPr>
          <w:p w14:paraId="1AFC8D63" w14:textId="74FC2945" w:rsidR="00F3020C" w:rsidRPr="00860CD7" w:rsidRDefault="00B679A6" w:rsidP="00F3020C">
            <w:pPr>
              <w:spacing w:line="276" w:lineRule="auto"/>
              <w:rPr>
                <w:sz w:val="22"/>
                <w:szCs w:val="22"/>
                <w:lang w:val="en-GB"/>
              </w:rPr>
            </w:pPr>
            <w:r>
              <w:rPr>
                <w:sz w:val="22"/>
                <w:szCs w:val="22"/>
                <w:lang w:val="en-GB"/>
              </w:rPr>
              <w:t xml:space="preserve">Under this task the Technical Committee reviewed and signed off an overview of AEWA Conservation Guidelines and other MOP-adopted guidance, which was compiled by the Secretariat. This overview is presented as an annex to a MOP9 draft resolution. </w:t>
            </w:r>
          </w:p>
        </w:tc>
        <w:tc>
          <w:tcPr>
            <w:tcW w:w="823" w:type="pct"/>
            <w:tcBorders>
              <w:top w:val="single" w:sz="4" w:space="0" w:color="000000"/>
              <w:left w:val="single" w:sz="4" w:space="0" w:color="000000"/>
              <w:bottom w:val="single" w:sz="4" w:space="0" w:color="000000"/>
              <w:right w:val="single" w:sz="4" w:space="0" w:color="000000"/>
            </w:tcBorders>
          </w:tcPr>
          <w:p w14:paraId="6464BD5D" w14:textId="44377699" w:rsidR="00F3020C" w:rsidRDefault="00B679A6" w:rsidP="00F3020C">
            <w:pPr>
              <w:spacing w:line="276" w:lineRule="auto"/>
              <w:rPr>
                <w:sz w:val="22"/>
                <w:szCs w:val="22"/>
                <w:lang w:val="en-GB"/>
              </w:rPr>
            </w:pPr>
            <w:r>
              <w:rPr>
                <w:sz w:val="22"/>
                <w:szCs w:val="22"/>
                <w:lang w:val="en-GB"/>
              </w:rPr>
              <w:t>Doc. AEWA/MOP9 DR.</w:t>
            </w:r>
            <w:r w:rsidR="00416D27">
              <w:rPr>
                <w:sz w:val="22"/>
                <w:szCs w:val="22"/>
                <w:lang w:val="en-GB"/>
              </w:rPr>
              <w:t>5</w:t>
            </w:r>
          </w:p>
          <w:p w14:paraId="07C189C8" w14:textId="77777777" w:rsidR="00F3020C" w:rsidRDefault="00F3020C" w:rsidP="00F3020C">
            <w:pPr>
              <w:spacing w:line="276" w:lineRule="auto"/>
              <w:rPr>
                <w:sz w:val="22"/>
                <w:szCs w:val="22"/>
                <w:lang w:val="en-GB"/>
              </w:rPr>
            </w:pPr>
          </w:p>
          <w:p w14:paraId="26CF6DD6" w14:textId="77777777" w:rsidR="00F3020C" w:rsidRDefault="00F3020C" w:rsidP="00F3020C">
            <w:pPr>
              <w:spacing w:line="276" w:lineRule="auto"/>
              <w:rPr>
                <w:sz w:val="22"/>
                <w:szCs w:val="22"/>
                <w:lang w:val="en-GB"/>
              </w:rPr>
            </w:pPr>
          </w:p>
          <w:p w14:paraId="7EB57CB6" w14:textId="77777777" w:rsidR="00F3020C" w:rsidRPr="00860CD7" w:rsidRDefault="00F3020C" w:rsidP="00F3020C">
            <w:pPr>
              <w:spacing w:line="276" w:lineRule="auto"/>
              <w:rPr>
                <w:sz w:val="22"/>
                <w:szCs w:val="22"/>
                <w:lang w:val="en-GB"/>
              </w:rPr>
            </w:pPr>
          </w:p>
        </w:tc>
      </w:tr>
      <w:tr w:rsidR="00F3020C" w:rsidRPr="00860CD7" w14:paraId="61B57F1A" w14:textId="77777777" w:rsidTr="00416D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6E85386A" w14:textId="2F7F1E5A" w:rsidR="00F3020C" w:rsidRPr="00EE5DEF" w:rsidRDefault="00F3020C" w:rsidP="00F3020C">
            <w:pPr>
              <w:spacing w:line="276" w:lineRule="auto"/>
              <w:rPr>
                <w:b/>
                <w:sz w:val="22"/>
                <w:szCs w:val="22"/>
                <w:lang w:val="en-GB"/>
              </w:rPr>
            </w:pPr>
            <w:r w:rsidRPr="00EE5DEF">
              <w:rPr>
                <w:b/>
                <w:sz w:val="22"/>
                <w:szCs w:val="22"/>
                <w:lang w:val="en-GB"/>
              </w:rPr>
              <w:t>7.</w:t>
            </w:r>
            <w:r w:rsidR="00416D27">
              <w:rPr>
                <w:b/>
                <w:sz w:val="22"/>
                <w:szCs w:val="22"/>
                <w:lang w:val="en-GB"/>
              </w:rPr>
              <w:t>6</w:t>
            </w:r>
            <w:r w:rsidRPr="00EE5DEF">
              <w:rPr>
                <w:b/>
                <w:sz w:val="22"/>
                <w:szCs w:val="22"/>
                <w:lang w:val="en-GB"/>
              </w:rPr>
              <w:t xml:space="preserve">. Information supplementary to Conservation Guidelines </w:t>
            </w:r>
          </w:p>
          <w:p w14:paraId="264B937E" w14:textId="35E20C20" w:rsidR="00F3020C" w:rsidRPr="00860CD7" w:rsidRDefault="00416D27" w:rsidP="00F3020C">
            <w:pPr>
              <w:spacing w:line="276" w:lineRule="auto"/>
              <w:rPr>
                <w:b/>
                <w:sz w:val="22"/>
                <w:szCs w:val="22"/>
                <w:lang w:val="en-GB"/>
              </w:rPr>
            </w:pPr>
            <w:r w:rsidRPr="00416D27">
              <w:rPr>
                <w:bCs/>
                <w:sz w:val="22"/>
                <w:szCs w:val="22"/>
                <w:lang w:val="en-GB"/>
              </w:rPr>
              <w:t>Proactively research for relevant information supplementary to Conservation Guidelines and disseminate it to the Contracting Parties following the concept approved by the 16</w:t>
            </w:r>
            <w:r w:rsidRPr="00416D27">
              <w:rPr>
                <w:bCs/>
                <w:sz w:val="22"/>
                <w:szCs w:val="22"/>
                <w:vertAlign w:val="superscript"/>
                <w:lang w:val="en-GB"/>
              </w:rPr>
              <w:t>th</w:t>
            </w:r>
            <w:r>
              <w:rPr>
                <w:bCs/>
                <w:sz w:val="22"/>
                <w:szCs w:val="22"/>
                <w:lang w:val="en-GB"/>
              </w:rPr>
              <w:t xml:space="preserve"> </w:t>
            </w:r>
            <w:r w:rsidRPr="00416D27">
              <w:rPr>
                <w:bCs/>
                <w:sz w:val="22"/>
                <w:szCs w:val="22"/>
                <w:lang w:val="en-GB"/>
              </w:rPr>
              <w:t>meeting of the Standing Committee</w:t>
            </w:r>
            <w:r>
              <w:rPr>
                <w:bCs/>
                <w:sz w:val="22"/>
                <w:szCs w:val="22"/>
                <w:lang w:val="en-GB"/>
              </w:rPr>
              <w:t>.</w:t>
            </w:r>
            <w:r w:rsidRPr="00416D27">
              <w:rPr>
                <w:bCs/>
                <w:sz w:val="22"/>
                <w:szCs w:val="22"/>
                <w:lang w:val="en-GB"/>
              </w:rPr>
              <w:t xml:space="preserve"> (</w:t>
            </w:r>
            <w:r w:rsidRPr="00416D27">
              <w:rPr>
                <w:bCs/>
                <w:i/>
                <w:iCs/>
                <w:sz w:val="22"/>
                <w:szCs w:val="22"/>
                <w:lang w:val="en-GB"/>
              </w:rPr>
              <w:t>Resolution 8.8</w:t>
            </w:r>
            <w:r w:rsidRPr="00416D27">
              <w:rPr>
                <w:bCs/>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99CCFF"/>
          </w:tcPr>
          <w:p w14:paraId="3C65FDF9" w14:textId="4B5B5D18" w:rsidR="00F3020C" w:rsidRPr="00860CD7" w:rsidRDefault="00416D27" w:rsidP="00F3020C">
            <w:pPr>
              <w:spacing w:line="276" w:lineRule="auto"/>
              <w:rPr>
                <w:sz w:val="22"/>
                <w:szCs w:val="22"/>
                <w:lang w:val="en-GB"/>
              </w:rPr>
            </w:pPr>
            <w:r>
              <w:rPr>
                <w:b/>
                <w:sz w:val="22"/>
                <w:szCs w:val="22"/>
                <w:shd w:val="clear" w:color="auto" w:fill="99CCFF"/>
                <w:lang w:val="en-GB" w:eastAsia="nl-NL"/>
              </w:rPr>
              <w:t>Other</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69365E9B" w14:textId="1C693BEA" w:rsidR="00F3020C" w:rsidRPr="00416D27" w:rsidRDefault="00416D27" w:rsidP="00416D27">
            <w:pPr>
              <w:spacing w:line="276" w:lineRule="auto"/>
              <w:ind w:left="352" w:hanging="352"/>
              <w:rPr>
                <w:b/>
                <w:bCs/>
                <w:sz w:val="22"/>
                <w:szCs w:val="22"/>
                <w:lang w:val="en-GB"/>
              </w:rPr>
            </w:pPr>
            <w:r w:rsidRPr="00416D27">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65D85D83" w14:textId="7A848F17" w:rsidR="00F3020C" w:rsidRPr="00860CD7" w:rsidRDefault="006C3FD5" w:rsidP="00F3020C">
            <w:pPr>
              <w:spacing w:line="276" w:lineRule="auto"/>
              <w:rPr>
                <w:sz w:val="22"/>
                <w:szCs w:val="22"/>
                <w:lang w:val="en-GB"/>
              </w:rPr>
            </w:pPr>
            <w:r>
              <w:rPr>
                <w:sz w:val="22"/>
                <w:szCs w:val="22"/>
                <w:lang w:val="en-GB"/>
              </w:rPr>
              <w:t>No progress has been made on this task.</w:t>
            </w:r>
          </w:p>
        </w:tc>
        <w:tc>
          <w:tcPr>
            <w:tcW w:w="823" w:type="pct"/>
            <w:tcBorders>
              <w:top w:val="single" w:sz="4" w:space="0" w:color="000000"/>
              <w:left w:val="single" w:sz="4" w:space="0" w:color="000000"/>
              <w:bottom w:val="single" w:sz="4" w:space="0" w:color="000000"/>
              <w:right w:val="single" w:sz="4" w:space="0" w:color="000000"/>
            </w:tcBorders>
          </w:tcPr>
          <w:p w14:paraId="3888586F" w14:textId="36E4B41F" w:rsidR="00F3020C" w:rsidRPr="00860CD7" w:rsidRDefault="00416D27" w:rsidP="00F3020C">
            <w:pPr>
              <w:spacing w:line="276" w:lineRule="auto"/>
              <w:rPr>
                <w:sz w:val="22"/>
                <w:szCs w:val="22"/>
                <w:lang w:val="en-GB"/>
              </w:rPr>
            </w:pPr>
            <w:r>
              <w:rPr>
                <w:sz w:val="22"/>
                <w:szCs w:val="22"/>
                <w:lang w:val="en-GB"/>
              </w:rPr>
              <w:t>--</w:t>
            </w:r>
          </w:p>
        </w:tc>
      </w:tr>
      <w:tr w:rsidR="006C3FD5" w:rsidRPr="00860CD7" w14:paraId="1852216E" w14:textId="77777777" w:rsidTr="006C3F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2D4BABEB" w14:textId="1A788AFE" w:rsidR="006C3FD5" w:rsidRPr="005B063B" w:rsidRDefault="006C3FD5" w:rsidP="006C3FD5">
            <w:pPr>
              <w:spacing w:line="276" w:lineRule="auto"/>
              <w:rPr>
                <w:b/>
                <w:sz w:val="22"/>
                <w:szCs w:val="22"/>
                <w:lang w:val="en-GB"/>
              </w:rPr>
            </w:pPr>
            <w:r w:rsidRPr="005B063B">
              <w:rPr>
                <w:b/>
                <w:sz w:val="22"/>
                <w:szCs w:val="22"/>
                <w:lang w:val="en-GB"/>
              </w:rPr>
              <w:t>7.</w:t>
            </w:r>
            <w:r>
              <w:rPr>
                <w:b/>
                <w:sz w:val="22"/>
                <w:szCs w:val="22"/>
                <w:lang w:val="en-GB"/>
              </w:rPr>
              <w:t>7</w:t>
            </w:r>
            <w:r w:rsidRPr="005B063B">
              <w:rPr>
                <w:b/>
                <w:sz w:val="22"/>
                <w:szCs w:val="22"/>
                <w:lang w:val="en-GB"/>
              </w:rPr>
              <w:t>. Register of conservation interventions</w:t>
            </w:r>
          </w:p>
          <w:p w14:paraId="69887D53" w14:textId="76044848" w:rsidR="006C3FD5" w:rsidRPr="005B063B" w:rsidRDefault="006C3FD5" w:rsidP="006C3FD5">
            <w:pPr>
              <w:spacing w:line="276" w:lineRule="auto"/>
              <w:rPr>
                <w:bCs/>
                <w:sz w:val="22"/>
                <w:szCs w:val="22"/>
                <w:lang w:val="en-GB"/>
              </w:rPr>
            </w:pPr>
            <w:r w:rsidRPr="005B063B">
              <w:rPr>
                <w:bCs/>
                <w:sz w:val="22"/>
                <w:szCs w:val="22"/>
                <w:lang w:val="en-GB"/>
              </w:rPr>
              <w:t>Consider how information in national reports concerning conservation interventions may best be synthesised so as to build over time, a simple searchable register of shared experience which will support actions by Parties and others</w:t>
            </w:r>
            <w:r>
              <w:rPr>
                <w:bCs/>
                <w:sz w:val="22"/>
                <w:szCs w:val="22"/>
                <w:lang w:val="en-GB"/>
              </w:rPr>
              <w:t>.</w:t>
            </w:r>
            <w:r w:rsidRPr="005B063B">
              <w:rPr>
                <w:bCs/>
                <w:sz w:val="22"/>
                <w:szCs w:val="22"/>
                <w:lang w:val="en-GB"/>
              </w:rPr>
              <w:t xml:space="preserve"> (</w:t>
            </w:r>
            <w:r w:rsidRPr="005B063B">
              <w:rPr>
                <w:bCs/>
                <w:i/>
                <w:iCs/>
                <w:sz w:val="22"/>
                <w:szCs w:val="22"/>
                <w:lang w:val="en-GB"/>
              </w:rPr>
              <w:t>Resolutions 8.7</w:t>
            </w:r>
            <w:r w:rsidRPr="005B063B">
              <w:rPr>
                <w:bCs/>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343CCDAB" w14:textId="6991A1C8" w:rsidR="006C3FD5" w:rsidRPr="006C3FD5" w:rsidRDefault="006C3FD5" w:rsidP="006C3FD5">
            <w:pPr>
              <w:spacing w:line="276" w:lineRule="auto"/>
              <w:rPr>
                <w:b/>
                <w:bCs/>
                <w:sz w:val="22"/>
                <w:szCs w:val="22"/>
                <w:shd w:val="clear" w:color="auto" w:fill="99CCFF"/>
                <w:lang w:val="en-GB" w:eastAsia="nl-NL"/>
              </w:rPr>
            </w:pPr>
            <w:r w:rsidRPr="006C3FD5">
              <w:rPr>
                <w:b/>
                <w:bCs/>
                <w:sz w:val="22"/>
                <w:szCs w:val="22"/>
                <w:lang w:val="en-GB"/>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1BAADDE8" w14:textId="31CFB90B" w:rsidR="006C3FD5" w:rsidRPr="00416D27" w:rsidRDefault="006C3FD5" w:rsidP="006C3FD5">
            <w:pPr>
              <w:spacing w:line="276" w:lineRule="auto"/>
              <w:ind w:left="352" w:hanging="352"/>
              <w:rPr>
                <w:b/>
                <w:bCs/>
                <w:sz w:val="22"/>
                <w:szCs w:val="22"/>
                <w:lang w:val="en-GB"/>
              </w:rPr>
            </w:pPr>
            <w:r w:rsidRPr="00416D27">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050FDD62" w14:textId="231C0BBD" w:rsidR="006C3FD5" w:rsidRDefault="006C3FD5" w:rsidP="006C3FD5">
            <w:pPr>
              <w:spacing w:line="276" w:lineRule="auto"/>
              <w:rPr>
                <w:sz w:val="22"/>
                <w:szCs w:val="22"/>
                <w:lang w:val="en-GB"/>
              </w:rPr>
            </w:pPr>
            <w:r>
              <w:rPr>
                <w:sz w:val="22"/>
                <w:szCs w:val="22"/>
                <w:lang w:val="en-GB"/>
              </w:rPr>
              <w:t>No progress has been made on this task.</w:t>
            </w:r>
          </w:p>
        </w:tc>
        <w:tc>
          <w:tcPr>
            <w:tcW w:w="823" w:type="pct"/>
            <w:tcBorders>
              <w:top w:val="single" w:sz="4" w:space="0" w:color="000000"/>
              <w:left w:val="single" w:sz="4" w:space="0" w:color="000000"/>
              <w:bottom w:val="single" w:sz="4" w:space="0" w:color="000000"/>
              <w:right w:val="single" w:sz="4" w:space="0" w:color="000000"/>
            </w:tcBorders>
          </w:tcPr>
          <w:p w14:paraId="4CACB2BF" w14:textId="34C45122" w:rsidR="006C3FD5" w:rsidRDefault="006C3FD5" w:rsidP="006C3FD5">
            <w:pPr>
              <w:spacing w:line="276" w:lineRule="auto"/>
              <w:rPr>
                <w:sz w:val="22"/>
                <w:szCs w:val="22"/>
                <w:lang w:val="en-GB"/>
              </w:rPr>
            </w:pPr>
            <w:r>
              <w:rPr>
                <w:sz w:val="22"/>
                <w:szCs w:val="22"/>
                <w:lang w:val="en-GB"/>
              </w:rPr>
              <w:t>--</w:t>
            </w:r>
          </w:p>
        </w:tc>
      </w:tr>
      <w:tr w:rsidR="006C3FD5" w:rsidRPr="00860CD7" w14:paraId="5A66B946" w14:textId="77777777" w:rsidTr="006C3F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tcPr>
          <w:p w14:paraId="348811BC" w14:textId="53A2753D" w:rsidR="006C3FD5" w:rsidRPr="005B063B" w:rsidRDefault="006C3FD5" w:rsidP="006C3FD5">
            <w:pPr>
              <w:spacing w:line="276" w:lineRule="auto"/>
              <w:rPr>
                <w:b/>
                <w:sz w:val="22"/>
                <w:szCs w:val="22"/>
                <w:lang w:val="en-GB"/>
              </w:rPr>
            </w:pPr>
            <w:r w:rsidRPr="005B063B">
              <w:rPr>
                <w:b/>
                <w:sz w:val="22"/>
                <w:szCs w:val="22"/>
                <w:lang w:val="en-GB"/>
              </w:rPr>
              <w:t>7.</w:t>
            </w:r>
            <w:r>
              <w:rPr>
                <w:b/>
                <w:sz w:val="22"/>
                <w:szCs w:val="22"/>
                <w:lang w:val="en-GB"/>
              </w:rPr>
              <w:t>8</w:t>
            </w:r>
            <w:r w:rsidRPr="005B063B">
              <w:rPr>
                <w:b/>
                <w:sz w:val="22"/>
                <w:szCs w:val="22"/>
                <w:lang w:val="en-GB"/>
              </w:rPr>
              <w:t xml:space="preserve">. </w:t>
            </w:r>
            <w:r w:rsidRPr="006C3FD5">
              <w:rPr>
                <w:b/>
                <w:sz w:val="22"/>
                <w:szCs w:val="22"/>
                <w:lang w:val="en-GB"/>
              </w:rPr>
              <w:t>Approach to AEWA Conservation Guidelines</w:t>
            </w:r>
          </w:p>
          <w:p w14:paraId="43AA7513" w14:textId="687C21CA" w:rsidR="006C3FD5" w:rsidRPr="00EE5DEF" w:rsidRDefault="006C3FD5" w:rsidP="006C3FD5">
            <w:pPr>
              <w:spacing w:line="276" w:lineRule="auto"/>
              <w:rPr>
                <w:b/>
                <w:sz w:val="22"/>
                <w:szCs w:val="22"/>
                <w:lang w:val="en-GB"/>
              </w:rPr>
            </w:pPr>
            <w:r w:rsidRPr="006C3FD5">
              <w:rPr>
                <w:bCs/>
                <w:sz w:val="22"/>
                <w:szCs w:val="22"/>
                <w:lang w:val="en-GB"/>
              </w:rPr>
              <w:t xml:space="preserve">Consider how to approach the provision of conservation guidelines, incl. vis-à-vis the mandate </w:t>
            </w:r>
            <w:r w:rsidRPr="006C3FD5">
              <w:rPr>
                <w:bCs/>
                <w:sz w:val="22"/>
                <w:szCs w:val="22"/>
                <w:lang w:val="en-GB"/>
              </w:rPr>
              <w:lastRenderedPageBreak/>
              <w:t>contained in the Agreement, so that it is fit for purpose (</w:t>
            </w:r>
            <w:r w:rsidRPr="006C3FD5">
              <w:rPr>
                <w:bCs/>
                <w:i/>
                <w:iCs/>
                <w:sz w:val="22"/>
                <w:szCs w:val="22"/>
                <w:lang w:val="en-GB"/>
              </w:rPr>
              <w:t>task added by the TC at its 19</w:t>
            </w:r>
            <w:r w:rsidRPr="006C3FD5">
              <w:rPr>
                <w:bCs/>
                <w:i/>
                <w:iCs/>
                <w:sz w:val="22"/>
                <w:szCs w:val="22"/>
                <w:vertAlign w:val="superscript"/>
                <w:lang w:val="en-GB"/>
              </w:rPr>
              <w:t>th</w:t>
            </w:r>
            <w:r w:rsidRPr="006C3FD5">
              <w:rPr>
                <w:bCs/>
                <w:i/>
                <w:iCs/>
                <w:sz w:val="22"/>
                <w:szCs w:val="22"/>
                <w:lang w:val="en-GB"/>
              </w:rPr>
              <w:t xml:space="preserve"> meeting in March 2024</w:t>
            </w:r>
            <w:r w:rsidRPr="006C3FD5">
              <w:rPr>
                <w:bCs/>
                <w:sz w:val="22"/>
                <w:szCs w:val="22"/>
                <w:lang w:val="en-GB"/>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FF66"/>
          </w:tcPr>
          <w:p w14:paraId="7D5A2AE5" w14:textId="40BF182B" w:rsidR="006C3FD5" w:rsidRPr="006C3FD5" w:rsidRDefault="006C3FD5" w:rsidP="006C3FD5">
            <w:pPr>
              <w:spacing w:line="276" w:lineRule="auto"/>
              <w:rPr>
                <w:b/>
                <w:bCs/>
                <w:sz w:val="22"/>
                <w:szCs w:val="22"/>
                <w:shd w:val="clear" w:color="auto" w:fill="99CCFF"/>
                <w:lang w:val="en-GB" w:eastAsia="nl-NL"/>
              </w:rPr>
            </w:pPr>
            <w:r w:rsidRPr="006C3FD5">
              <w:rPr>
                <w:b/>
                <w:bCs/>
                <w:sz w:val="22"/>
                <w:szCs w:val="22"/>
                <w:lang w:val="en-GB"/>
              </w:rPr>
              <w:lastRenderedPageBreak/>
              <w:t>Medium</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072CA0F6" w14:textId="5F097AC9" w:rsidR="006C3FD5" w:rsidRPr="00416D27" w:rsidRDefault="006C3FD5" w:rsidP="006C3FD5">
            <w:pPr>
              <w:spacing w:line="276" w:lineRule="auto"/>
              <w:ind w:left="352" w:hanging="352"/>
              <w:rPr>
                <w:b/>
                <w:bCs/>
                <w:sz w:val="22"/>
                <w:szCs w:val="22"/>
                <w:lang w:val="en-GB"/>
              </w:rPr>
            </w:pPr>
            <w:r>
              <w:rPr>
                <w:b/>
                <w:bCs/>
                <w:sz w:val="22"/>
                <w:szCs w:val="22"/>
                <w:lang w:val="en-GB"/>
              </w:rPr>
              <w:t>Fully implemented</w:t>
            </w:r>
          </w:p>
        </w:tc>
        <w:tc>
          <w:tcPr>
            <w:tcW w:w="1629" w:type="pct"/>
            <w:tcBorders>
              <w:top w:val="single" w:sz="4" w:space="0" w:color="000000"/>
              <w:left w:val="single" w:sz="4" w:space="0" w:color="000000"/>
              <w:bottom w:val="single" w:sz="4" w:space="0" w:color="000000"/>
              <w:right w:val="single" w:sz="4" w:space="0" w:color="000000"/>
            </w:tcBorders>
          </w:tcPr>
          <w:p w14:paraId="5627A3F4" w14:textId="5A023456" w:rsidR="006C3FD5" w:rsidRDefault="005E47BF" w:rsidP="006C3FD5">
            <w:pPr>
              <w:spacing w:line="276" w:lineRule="auto"/>
              <w:rPr>
                <w:sz w:val="22"/>
                <w:szCs w:val="22"/>
                <w:lang w:val="en-GB"/>
              </w:rPr>
            </w:pPr>
            <w:r>
              <w:rPr>
                <w:sz w:val="22"/>
                <w:szCs w:val="22"/>
                <w:lang w:val="en-GB"/>
              </w:rPr>
              <w:t>At its 20</w:t>
            </w:r>
            <w:r w:rsidRPr="005E47BF">
              <w:rPr>
                <w:sz w:val="22"/>
                <w:szCs w:val="22"/>
                <w:vertAlign w:val="superscript"/>
                <w:lang w:val="en-GB"/>
              </w:rPr>
              <w:t>th</w:t>
            </w:r>
            <w:r>
              <w:rPr>
                <w:sz w:val="22"/>
                <w:szCs w:val="22"/>
                <w:lang w:val="en-GB"/>
              </w:rPr>
              <w:t xml:space="preserve"> meeting in February 2025 the Technical Committee reviewed the approach to compiling conservation guidelines and agreed that the new format used for the revision of Conservation Guidelines Nos. 4 </w:t>
            </w:r>
            <w:r>
              <w:rPr>
                <w:sz w:val="22"/>
                <w:szCs w:val="22"/>
                <w:lang w:val="en-GB"/>
              </w:rPr>
              <w:lastRenderedPageBreak/>
              <w:t xml:space="preserve">and 7 (see task 7.3 above) is to be utilised for future revisions or new guidelines. </w:t>
            </w:r>
          </w:p>
        </w:tc>
        <w:tc>
          <w:tcPr>
            <w:tcW w:w="823" w:type="pct"/>
            <w:tcBorders>
              <w:top w:val="single" w:sz="4" w:space="0" w:color="000000"/>
              <w:left w:val="single" w:sz="4" w:space="0" w:color="000000"/>
              <w:bottom w:val="single" w:sz="4" w:space="0" w:color="000000"/>
              <w:right w:val="single" w:sz="4" w:space="0" w:color="000000"/>
            </w:tcBorders>
          </w:tcPr>
          <w:p w14:paraId="49C9B662" w14:textId="763ED55E" w:rsidR="006C3FD5" w:rsidRDefault="006C3FD5" w:rsidP="006C3FD5">
            <w:pPr>
              <w:spacing w:line="276" w:lineRule="auto"/>
              <w:rPr>
                <w:sz w:val="22"/>
                <w:szCs w:val="22"/>
                <w:lang w:val="en-GB"/>
              </w:rPr>
            </w:pPr>
            <w:r>
              <w:rPr>
                <w:sz w:val="22"/>
                <w:szCs w:val="22"/>
                <w:lang w:val="en-GB"/>
              </w:rPr>
              <w:lastRenderedPageBreak/>
              <w:t>--</w:t>
            </w:r>
          </w:p>
        </w:tc>
      </w:tr>
      <w:tr w:rsidR="006C3FD5" w:rsidRPr="00860CD7" w14:paraId="658E27E3" w14:textId="77777777" w:rsidTr="008E1311">
        <w:trPr>
          <w:trHeight w:val="570"/>
        </w:trPr>
        <w:tc>
          <w:tcPr>
            <w:tcW w:w="5000" w:type="pct"/>
            <w:gridSpan w:val="5"/>
            <w:vAlign w:val="center"/>
          </w:tcPr>
          <w:p w14:paraId="0AD9EE0D" w14:textId="77777777" w:rsidR="006C3FD5" w:rsidRPr="000A7EC8" w:rsidRDefault="006C3FD5" w:rsidP="006C3FD5">
            <w:pPr>
              <w:keepNext/>
              <w:spacing w:line="276" w:lineRule="auto"/>
              <w:rPr>
                <w:b/>
                <w:color w:val="2F5496" w:themeColor="accent1" w:themeShade="BF"/>
                <w:lang w:val="en-GB"/>
              </w:rPr>
            </w:pPr>
          </w:p>
        </w:tc>
      </w:tr>
      <w:tr w:rsidR="006C3FD5" w:rsidRPr="00860CD7" w14:paraId="392FDEDC" w14:textId="77777777" w:rsidTr="00B2330D">
        <w:trPr>
          <w:trHeight w:val="570"/>
        </w:trPr>
        <w:tc>
          <w:tcPr>
            <w:tcW w:w="5000" w:type="pct"/>
            <w:gridSpan w:val="5"/>
            <w:shd w:val="clear" w:color="auto" w:fill="FFF2CC" w:themeFill="accent4" w:themeFillTint="33"/>
            <w:vAlign w:val="center"/>
            <w:hideMark/>
          </w:tcPr>
          <w:p w14:paraId="199D0E07" w14:textId="77777777" w:rsidR="006C3FD5" w:rsidRPr="00860CD7" w:rsidRDefault="006C3FD5" w:rsidP="006C3FD5">
            <w:pPr>
              <w:keepNext/>
              <w:spacing w:line="276" w:lineRule="auto"/>
              <w:rPr>
                <w:b/>
                <w:color w:val="000000"/>
                <w:sz w:val="22"/>
                <w:szCs w:val="22"/>
                <w:lang w:val="en-GB"/>
              </w:rPr>
            </w:pPr>
            <w:r w:rsidRPr="000A7EC8">
              <w:rPr>
                <w:b/>
                <w:color w:val="2F5496" w:themeColor="accent1" w:themeShade="BF"/>
                <w:lang w:val="en-GB"/>
              </w:rPr>
              <w:t>Strategic, reporting, emerging and other issues (Working Group 8)</w:t>
            </w:r>
          </w:p>
        </w:tc>
      </w:tr>
      <w:tr w:rsidR="006C3FD5" w:rsidRPr="00860CD7" w14:paraId="0ADEA0E8"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rHeight w:val="590"/>
          <w:tblHeader/>
        </w:trPr>
        <w:tc>
          <w:tcPr>
            <w:tcW w:w="1505" w:type="pct"/>
            <w:tcBorders>
              <w:top w:val="single" w:sz="4" w:space="0" w:color="000000"/>
              <w:left w:val="single" w:sz="4" w:space="0" w:color="000000"/>
              <w:bottom w:val="single" w:sz="4" w:space="0" w:color="000000"/>
              <w:right w:val="single" w:sz="4" w:space="0" w:color="000000"/>
            </w:tcBorders>
            <w:shd w:val="clear" w:color="auto" w:fill="F2F2F2"/>
            <w:hideMark/>
          </w:tcPr>
          <w:p w14:paraId="7C858039" w14:textId="77777777" w:rsidR="006C3FD5" w:rsidRPr="00860CD7" w:rsidRDefault="006C3FD5" w:rsidP="006C3FD5">
            <w:pPr>
              <w:keepNext/>
              <w:spacing w:line="276" w:lineRule="auto"/>
              <w:rPr>
                <w:b/>
                <w:sz w:val="22"/>
                <w:szCs w:val="22"/>
                <w:lang w:val="en-GB"/>
              </w:rPr>
            </w:pPr>
            <w:r w:rsidRPr="00860CD7">
              <w:rPr>
                <w:b/>
                <w:sz w:val="22"/>
                <w:szCs w:val="22"/>
                <w:lang w:val="en-GB"/>
              </w:rPr>
              <w:t>Task</w:t>
            </w:r>
          </w:p>
        </w:tc>
        <w:tc>
          <w:tcPr>
            <w:tcW w:w="3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9516E6" w14:textId="5BEF4F31" w:rsidR="006C3FD5" w:rsidRPr="004C6510" w:rsidRDefault="006C3FD5" w:rsidP="006C3FD5">
            <w:pPr>
              <w:keepNext/>
              <w:spacing w:line="276" w:lineRule="auto"/>
              <w:rPr>
                <w:b/>
                <w:sz w:val="22"/>
                <w:szCs w:val="22"/>
                <w:lang w:val="en-GB"/>
              </w:rPr>
            </w:pPr>
            <w:r>
              <w:rPr>
                <w:b/>
                <w:bCs/>
                <w:sz w:val="22"/>
                <w:szCs w:val="22"/>
                <w:lang w:val="en-GB"/>
              </w:rPr>
              <w:t>Priority</w:t>
            </w:r>
          </w:p>
        </w:tc>
        <w:tc>
          <w:tcPr>
            <w:tcW w:w="68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9C49B2" w14:textId="06BDEBD6" w:rsidR="006C3FD5" w:rsidRPr="004C6510" w:rsidRDefault="006C3FD5" w:rsidP="006C3FD5">
            <w:pPr>
              <w:keepNext/>
              <w:spacing w:line="276" w:lineRule="auto"/>
              <w:rPr>
                <w:b/>
                <w:sz w:val="22"/>
                <w:szCs w:val="22"/>
                <w:lang w:val="en-GB"/>
              </w:rPr>
            </w:pPr>
            <w:r w:rsidRPr="006E2325">
              <w:rPr>
                <w:b/>
                <w:bCs/>
                <w:sz w:val="22"/>
                <w:szCs w:val="22"/>
                <w:lang w:val="en-GB"/>
              </w:rPr>
              <w:t>Status of</w:t>
            </w:r>
            <w:r>
              <w:rPr>
                <w:b/>
                <w:bCs/>
                <w:sz w:val="22"/>
                <w:szCs w:val="22"/>
                <w:lang w:val="en-GB"/>
              </w:rPr>
              <w:t xml:space="preserve"> </w:t>
            </w:r>
            <w:r w:rsidRPr="006E2325">
              <w:rPr>
                <w:b/>
                <w:bCs/>
                <w:sz w:val="22"/>
                <w:szCs w:val="22"/>
                <w:lang w:val="en-GB"/>
              </w:rPr>
              <w:t>implementation</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43131" w14:textId="3F0D2CD6" w:rsidR="006C3FD5" w:rsidRPr="004C6510" w:rsidRDefault="006C3FD5" w:rsidP="006C3FD5">
            <w:pPr>
              <w:keepNext/>
              <w:spacing w:line="276" w:lineRule="auto"/>
              <w:rPr>
                <w:b/>
                <w:sz w:val="22"/>
                <w:szCs w:val="22"/>
                <w:lang w:val="en-GB"/>
              </w:rPr>
            </w:pPr>
            <w:r w:rsidRPr="002C2F9E">
              <w:rPr>
                <w:b/>
                <w:sz w:val="22"/>
                <w:szCs w:val="22"/>
                <w:lang w:val="en-GB"/>
              </w:rPr>
              <w:t>Actions undertaken by the TC</w:t>
            </w:r>
          </w:p>
        </w:tc>
        <w:tc>
          <w:tcPr>
            <w:tcW w:w="823" w:type="pct"/>
            <w:tcBorders>
              <w:top w:val="single" w:sz="4" w:space="0" w:color="000000"/>
              <w:left w:val="single" w:sz="4" w:space="0" w:color="000000"/>
              <w:bottom w:val="single" w:sz="4" w:space="0" w:color="000000"/>
              <w:right w:val="single" w:sz="4" w:space="0" w:color="000000"/>
            </w:tcBorders>
            <w:shd w:val="clear" w:color="auto" w:fill="F2F2F2"/>
            <w:hideMark/>
          </w:tcPr>
          <w:p w14:paraId="79A004A2" w14:textId="7BC5CCBA" w:rsidR="006C3FD5" w:rsidRPr="004C6510" w:rsidRDefault="006C3FD5" w:rsidP="006C3FD5">
            <w:pPr>
              <w:keepNext/>
              <w:spacing w:line="276" w:lineRule="auto"/>
              <w:rPr>
                <w:b/>
                <w:sz w:val="22"/>
                <w:szCs w:val="22"/>
                <w:lang w:val="en-GB"/>
              </w:rPr>
            </w:pPr>
            <w:r w:rsidRPr="004C6510">
              <w:rPr>
                <w:b/>
                <w:sz w:val="22"/>
                <w:szCs w:val="22"/>
                <w:lang w:val="en-GB"/>
              </w:rPr>
              <w:t>Relevant MOP</w:t>
            </w:r>
            <w:r w:rsidR="00A6175A">
              <w:rPr>
                <w:b/>
                <w:sz w:val="22"/>
                <w:szCs w:val="22"/>
                <w:lang w:val="en-GB"/>
              </w:rPr>
              <w:t>9</w:t>
            </w:r>
            <w:r w:rsidRPr="004C6510">
              <w:rPr>
                <w:b/>
                <w:sz w:val="22"/>
                <w:szCs w:val="22"/>
                <w:lang w:val="en-GB"/>
              </w:rPr>
              <w:t xml:space="preserve"> documents </w:t>
            </w:r>
          </w:p>
        </w:tc>
      </w:tr>
      <w:tr w:rsidR="006C3FD5" w:rsidRPr="00860CD7" w14:paraId="7ABC94DA"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rPr>
        <w:tc>
          <w:tcPr>
            <w:tcW w:w="1505" w:type="pct"/>
            <w:tcBorders>
              <w:top w:val="single" w:sz="4" w:space="0" w:color="000000"/>
              <w:left w:val="single" w:sz="4" w:space="0" w:color="000000"/>
              <w:bottom w:val="single" w:sz="4" w:space="0" w:color="000000"/>
              <w:right w:val="single" w:sz="4" w:space="0" w:color="000000"/>
            </w:tcBorders>
            <w:hideMark/>
          </w:tcPr>
          <w:p w14:paraId="19CFA70C" w14:textId="77777777" w:rsidR="006C3FD5" w:rsidRPr="004E225D" w:rsidRDefault="006C3FD5" w:rsidP="006C3FD5">
            <w:pPr>
              <w:spacing w:line="276" w:lineRule="auto"/>
              <w:rPr>
                <w:b/>
                <w:sz w:val="22"/>
                <w:szCs w:val="22"/>
                <w:lang w:val="en-GB"/>
              </w:rPr>
            </w:pPr>
            <w:r w:rsidRPr="004E225D">
              <w:rPr>
                <w:b/>
                <w:sz w:val="22"/>
                <w:szCs w:val="22"/>
                <w:lang w:val="en-GB"/>
              </w:rPr>
              <w:t>8.1. National Reports</w:t>
            </w:r>
          </w:p>
          <w:p w14:paraId="40B74FE4" w14:textId="1A44CC48" w:rsidR="006C3FD5" w:rsidRDefault="00A6175A" w:rsidP="006C3FD5">
            <w:pPr>
              <w:spacing w:line="276" w:lineRule="auto"/>
              <w:rPr>
                <w:bCs/>
                <w:sz w:val="22"/>
                <w:szCs w:val="22"/>
                <w:lang w:val="en-GB"/>
              </w:rPr>
            </w:pPr>
            <w:r w:rsidRPr="00A6175A">
              <w:rPr>
                <w:bCs/>
                <w:sz w:val="22"/>
                <w:szCs w:val="22"/>
                <w:lang w:val="en-GB"/>
              </w:rPr>
              <w:t>Revise,  amend  and  enhance the national report format for 2021-2024 and make the necessary adjustments following MOP8 and particularly to review the reporting templates and frequency of reporting on the site network in line with the framework for the monitoring of the AEWA site network as well as with respect to addressing identified international priorities for capacity gaps and capacity needs (incl. national level assessments, qualitative self-assessment of level of knowledge and capacity, etc.)</w:t>
            </w:r>
            <w:r>
              <w:rPr>
                <w:bCs/>
                <w:sz w:val="22"/>
                <w:szCs w:val="22"/>
                <w:lang w:val="en-GB"/>
              </w:rPr>
              <w:t>.</w:t>
            </w:r>
            <w:r w:rsidRPr="00A6175A">
              <w:rPr>
                <w:bCs/>
                <w:sz w:val="22"/>
                <w:szCs w:val="22"/>
                <w:lang w:val="en-GB"/>
              </w:rPr>
              <w:t xml:space="preserve"> (</w:t>
            </w:r>
            <w:r w:rsidRPr="00A6175A">
              <w:rPr>
                <w:bCs/>
                <w:i/>
                <w:iCs/>
                <w:sz w:val="22"/>
                <w:szCs w:val="22"/>
                <w:lang w:val="en-GB"/>
              </w:rPr>
              <w:t>Resolutions 7.1, 8.3 and 8.6</w:t>
            </w:r>
            <w:r w:rsidRPr="00A6175A">
              <w:rPr>
                <w:bCs/>
                <w:sz w:val="22"/>
                <w:szCs w:val="22"/>
                <w:lang w:val="en-GB"/>
              </w:rPr>
              <w:t>)</w:t>
            </w:r>
          </w:p>
          <w:p w14:paraId="0EC1A32E" w14:textId="77777777" w:rsidR="00A6175A" w:rsidRDefault="00A6175A" w:rsidP="006C3FD5">
            <w:pPr>
              <w:spacing w:line="276" w:lineRule="auto"/>
              <w:rPr>
                <w:b/>
                <w:sz w:val="22"/>
                <w:szCs w:val="22"/>
                <w:lang w:val="en-GB"/>
              </w:rPr>
            </w:pPr>
          </w:p>
          <w:p w14:paraId="0466DBFD" w14:textId="760E1A34" w:rsidR="00A6175A" w:rsidRPr="00A6175A" w:rsidRDefault="00A6175A" w:rsidP="006C3FD5">
            <w:pPr>
              <w:spacing w:line="276" w:lineRule="auto"/>
              <w:rPr>
                <w:bCs/>
                <w:sz w:val="22"/>
                <w:szCs w:val="22"/>
                <w:lang w:val="en-GB"/>
              </w:rPr>
            </w:pPr>
            <w:r w:rsidRPr="00A6175A">
              <w:rPr>
                <w:bCs/>
                <w:sz w:val="22"/>
                <w:szCs w:val="22"/>
                <w:lang w:val="en-GB"/>
              </w:rPr>
              <w:t>Prepare the draft national report format for MOP10 (2025-2027) to be submitted for consideration by MOP9</w:t>
            </w:r>
            <w:r>
              <w:rPr>
                <w:bCs/>
                <w:sz w:val="22"/>
                <w:szCs w:val="22"/>
                <w:lang w:val="en-GB"/>
              </w:rPr>
              <w:t>.</w:t>
            </w:r>
            <w:r w:rsidRPr="00A6175A">
              <w:rPr>
                <w:bCs/>
                <w:sz w:val="22"/>
                <w:szCs w:val="22"/>
                <w:lang w:val="en-GB"/>
              </w:rPr>
              <w:t xml:space="preserve"> (</w:t>
            </w:r>
            <w:r w:rsidRPr="00A6175A">
              <w:rPr>
                <w:bCs/>
                <w:i/>
                <w:iCs/>
                <w:sz w:val="22"/>
                <w:szCs w:val="22"/>
                <w:lang w:val="en-GB"/>
              </w:rPr>
              <w:t>Resolution 8.3</w:t>
            </w:r>
            <w:r w:rsidRPr="00A6175A">
              <w:rPr>
                <w:bCs/>
                <w:sz w:val="22"/>
                <w:szCs w:val="22"/>
                <w:lang w:val="en-GB"/>
              </w:rPr>
              <w:t>)</w:t>
            </w:r>
          </w:p>
          <w:p w14:paraId="5380ABC1" w14:textId="77777777" w:rsidR="006C3FD5" w:rsidRPr="00860CD7" w:rsidRDefault="006C3FD5" w:rsidP="006C3FD5">
            <w:pPr>
              <w:spacing w:line="276" w:lineRule="auto"/>
              <w:rPr>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0A49E15C" w14:textId="77777777" w:rsidR="006C3FD5" w:rsidRPr="00860CD7" w:rsidRDefault="006C3FD5" w:rsidP="006C3FD5">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4F573C85" w14:textId="77777777" w:rsidR="006C3FD5" w:rsidRPr="004F060C" w:rsidRDefault="006C3FD5" w:rsidP="006C3FD5">
            <w:pPr>
              <w:spacing w:line="276" w:lineRule="auto"/>
              <w:ind w:left="352" w:hanging="352"/>
              <w:rPr>
                <w:sz w:val="22"/>
                <w:szCs w:val="22"/>
                <w:highlight w:val="yellow"/>
                <w:lang w:val="en-GB"/>
              </w:rPr>
            </w:pPr>
            <w:r w:rsidRPr="00092BFA">
              <w:rPr>
                <w:b/>
                <w:bCs/>
                <w:sz w:val="22"/>
                <w:szCs w:val="22"/>
                <w:shd w:val="clear" w:color="auto" w:fill="92D050"/>
                <w:lang w:val="en-GB"/>
              </w:rPr>
              <w:t>Fully implemented</w:t>
            </w:r>
          </w:p>
          <w:p w14:paraId="60B999B3" w14:textId="77777777" w:rsidR="006C3FD5" w:rsidRPr="00860CD7" w:rsidRDefault="006C3FD5" w:rsidP="006C3FD5">
            <w:pPr>
              <w:spacing w:line="276" w:lineRule="auto"/>
              <w:rPr>
                <w:sz w:val="22"/>
                <w:szCs w:val="22"/>
                <w:lang w:val="en-GB"/>
              </w:rPr>
            </w:pPr>
          </w:p>
        </w:tc>
        <w:tc>
          <w:tcPr>
            <w:tcW w:w="1629" w:type="pct"/>
            <w:tcBorders>
              <w:top w:val="single" w:sz="4" w:space="0" w:color="000000"/>
              <w:left w:val="single" w:sz="4" w:space="0" w:color="000000"/>
              <w:bottom w:val="single" w:sz="4" w:space="0" w:color="000000"/>
              <w:right w:val="single" w:sz="4" w:space="0" w:color="000000"/>
            </w:tcBorders>
          </w:tcPr>
          <w:p w14:paraId="4B4A4AA2" w14:textId="0B8F0DE1" w:rsidR="006C3FD5" w:rsidRDefault="006C3FD5" w:rsidP="006C3FD5">
            <w:pPr>
              <w:spacing w:line="276" w:lineRule="auto"/>
              <w:rPr>
                <w:sz w:val="22"/>
                <w:szCs w:val="22"/>
                <w:lang w:val="en-GB"/>
              </w:rPr>
            </w:pPr>
            <w:r>
              <w:rPr>
                <w:sz w:val="22"/>
                <w:szCs w:val="22"/>
                <w:lang w:val="en-GB"/>
              </w:rPr>
              <w:t xml:space="preserve">The </w:t>
            </w:r>
            <w:r w:rsidR="000266F0">
              <w:rPr>
                <w:sz w:val="22"/>
                <w:szCs w:val="22"/>
                <w:lang w:val="en-GB"/>
              </w:rPr>
              <w:t xml:space="preserve">Technical </w:t>
            </w:r>
            <w:r>
              <w:rPr>
                <w:sz w:val="22"/>
                <w:szCs w:val="22"/>
                <w:lang w:val="en-GB"/>
              </w:rPr>
              <w:t>C</w:t>
            </w:r>
            <w:r w:rsidR="000266F0">
              <w:rPr>
                <w:sz w:val="22"/>
                <w:szCs w:val="22"/>
                <w:lang w:val="en-GB"/>
              </w:rPr>
              <w:t>ommittee</w:t>
            </w:r>
            <w:r>
              <w:rPr>
                <w:sz w:val="22"/>
                <w:szCs w:val="22"/>
                <w:lang w:val="en-GB"/>
              </w:rPr>
              <w:t xml:space="preserve"> </w:t>
            </w:r>
            <w:r w:rsidR="000266F0">
              <w:rPr>
                <w:sz w:val="22"/>
                <w:szCs w:val="22"/>
                <w:lang w:val="en-GB"/>
              </w:rPr>
              <w:t xml:space="preserve">reviewed and approved </w:t>
            </w:r>
            <w:r w:rsidR="00F37063">
              <w:rPr>
                <w:sz w:val="22"/>
                <w:szCs w:val="22"/>
                <w:lang w:val="en-GB"/>
              </w:rPr>
              <w:t>at its 18</w:t>
            </w:r>
            <w:r w:rsidR="00F37063" w:rsidRPr="00F37063">
              <w:rPr>
                <w:sz w:val="22"/>
                <w:szCs w:val="22"/>
                <w:vertAlign w:val="superscript"/>
                <w:lang w:val="en-GB"/>
              </w:rPr>
              <w:t>th</w:t>
            </w:r>
            <w:r w:rsidR="00F37063">
              <w:rPr>
                <w:sz w:val="22"/>
                <w:szCs w:val="22"/>
                <w:lang w:val="en-GB"/>
              </w:rPr>
              <w:t xml:space="preserve"> </w:t>
            </w:r>
            <w:r w:rsidR="00D95D63">
              <w:rPr>
                <w:sz w:val="22"/>
                <w:szCs w:val="22"/>
                <w:lang w:val="en-GB"/>
              </w:rPr>
              <w:t>and 19</w:t>
            </w:r>
            <w:r w:rsidR="00D95D63" w:rsidRPr="00D95D63">
              <w:rPr>
                <w:sz w:val="22"/>
                <w:szCs w:val="22"/>
                <w:vertAlign w:val="superscript"/>
                <w:lang w:val="en-GB"/>
              </w:rPr>
              <w:t>th</w:t>
            </w:r>
            <w:r w:rsidR="00D95D63">
              <w:rPr>
                <w:sz w:val="22"/>
                <w:szCs w:val="22"/>
                <w:lang w:val="en-GB"/>
              </w:rPr>
              <w:t xml:space="preserve"> meetings </w:t>
            </w:r>
            <w:r w:rsidR="00F37063">
              <w:rPr>
                <w:sz w:val="22"/>
                <w:szCs w:val="22"/>
                <w:lang w:val="en-GB"/>
              </w:rPr>
              <w:t>(March 2023</w:t>
            </w:r>
            <w:r w:rsidR="00D95D63">
              <w:rPr>
                <w:sz w:val="22"/>
                <w:szCs w:val="22"/>
                <w:lang w:val="en-GB"/>
              </w:rPr>
              <w:t xml:space="preserve"> and March 2024</w:t>
            </w:r>
            <w:r w:rsidR="00F37063">
              <w:rPr>
                <w:sz w:val="22"/>
                <w:szCs w:val="22"/>
                <w:lang w:val="en-GB"/>
              </w:rPr>
              <w:t xml:space="preserve">) </w:t>
            </w:r>
            <w:r w:rsidR="00D95D63">
              <w:rPr>
                <w:sz w:val="22"/>
                <w:szCs w:val="22"/>
                <w:lang w:val="en-GB"/>
              </w:rPr>
              <w:t xml:space="preserve">two iterations of </w:t>
            </w:r>
            <w:r w:rsidR="000266F0">
              <w:rPr>
                <w:sz w:val="22"/>
                <w:szCs w:val="22"/>
                <w:lang w:val="en-GB"/>
              </w:rPr>
              <w:t xml:space="preserve">the </w:t>
            </w:r>
            <w:r>
              <w:rPr>
                <w:sz w:val="22"/>
                <w:szCs w:val="22"/>
                <w:lang w:val="en-GB"/>
              </w:rPr>
              <w:t>revis</w:t>
            </w:r>
            <w:r w:rsidR="000266F0">
              <w:rPr>
                <w:sz w:val="22"/>
                <w:szCs w:val="22"/>
                <w:lang w:val="en-GB"/>
              </w:rPr>
              <w:t>ion compiled by the Secretariat of</w:t>
            </w:r>
            <w:r>
              <w:rPr>
                <w:sz w:val="22"/>
                <w:szCs w:val="22"/>
                <w:lang w:val="en-GB"/>
              </w:rPr>
              <w:t xml:space="preserve"> the national report format for the period 20</w:t>
            </w:r>
            <w:r w:rsidR="000266F0">
              <w:rPr>
                <w:sz w:val="22"/>
                <w:szCs w:val="22"/>
                <w:lang w:val="en-GB"/>
              </w:rPr>
              <w:t>2</w:t>
            </w:r>
            <w:r>
              <w:rPr>
                <w:sz w:val="22"/>
                <w:szCs w:val="22"/>
                <w:lang w:val="en-GB"/>
              </w:rPr>
              <w:t>1-202</w:t>
            </w:r>
            <w:r w:rsidR="000266F0">
              <w:rPr>
                <w:sz w:val="22"/>
                <w:szCs w:val="22"/>
                <w:lang w:val="en-GB"/>
              </w:rPr>
              <w:t>4</w:t>
            </w:r>
            <w:r>
              <w:rPr>
                <w:sz w:val="22"/>
                <w:szCs w:val="22"/>
                <w:lang w:val="en-GB"/>
              </w:rPr>
              <w:t xml:space="preserve"> </w:t>
            </w:r>
            <w:r w:rsidR="000266F0">
              <w:rPr>
                <w:sz w:val="22"/>
                <w:szCs w:val="22"/>
                <w:lang w:val="en-GB"/>
              </w:rPr>
              <w:t>adopted</w:t>
            </w:r>
            <w:r>
              <w:rPr>
                <w:sz w:val="22"/>
                <w:szCs w:val="22"/>
                <w:lang w:val="en-GB"/>
              </w:rPr>
              <w:t xml:space="preserve"> by MOP</w:t>
            </w:r>
            <w:r w:rsidR="000266F0">
              <w:rPr>
                <w:sz w:val="22"/>
                <w:szCs w:val="22"/>
                <w:lang w:val="en-GB"/>
              </w:rPr>
              <w:t>8</w:t>
            </w:r>
            <w:r>
              <w:rPr>
                <w:sz w:val="22"/>
                <w:szCs w:val="22"/>
                <w:lang w:val="en-GB"/>
              </w:rPr>
              <w:t xml:space="preserve"> to accommodate the latest decisions by the MOP requiring reporting. </w:t>
            </w:r>
            <w:r w:rsidR="00E95560">
              <w:rPr>
                <w:sz w:val="22"/>
                <w:szCs w:val="22"/>
                <w:lang w:val="en-GB"/>
              </w:rPr>
              <w:t>The t</w:t>
            </w:r>
            <w:r w:rsidR="000266F0">
              <w:rPr>
                <w:sz w:val="22"/>
                <w:szCs w:val="22"/>
                <w:lang w:val="en-GB"/>
              </w:rPr>
              <w:t>wo iterations of the</w:t>
            </w:r>
            <w:r>
              <w:rPr>
                <w:sz w:val="22"/>
                <w:szCs w:val="22"/>
                <w:lang w:val="en-GB"/>
              </w:rPr>
              <w:t xml:space="preserve"> </w:t>
            </w:r>
            <w:r w:rsidR="000266F0">
              <w:rPr>
                <w:sz w:val="22"/>
                <w:szCs w:val="22"/>
                <w:lang w:val="en-GB"/>
              </w:rPr>
              <w:t xml:space="preserve">draft </w:t>
            </w:r>
            <w:r>
              <w:rPr>
                <w:sz w:val="22"/>
                <w:szCs w:val="22"/>
                <w:lang w:val="en-GB"/>
              </w:rPr>
              <w:t>revised format w</w:t>
            </w:r>
            <w:r w:rsidR="000266F0">
              <w:rPr>
                <w:sz w:val="22"/>
                <w:szCs w:val="22"/>
                <w:lang w:val="en-GB"/>
              </w:rPr>
              <w:t>ere</w:t>
            </w:r>
            <w:r>
              <w:rPr>
                <w:sz w:val="22"/>
                <w:szCs w:val="22"/>
                <w:lang w:val="en-GB"/>
              </w:rPr>
              <w:t xml:space="preserve"> approved by the Standing Committee at its </w:t>
            </w:r>
            <w:r w:rsidR="000266F0">
              <w:rPr>
                <w:sz w:val="22"/>
                <w:szCs w:val="22"/>
                <w:lang w:val="en-GB"/>
              </w:rPr>
              <w:t>23</w:t>
            </w:r>
            <w:r w:rsidR="000266F0" w:rsidRPr="000266F0">
              <w:rPr>
                <w:sz w:val="22"/>
                <w:szCs w:val="22"/>
                <w:vertAlign w:val="superscript"/>
                <w:lang w:val="en-GB"/>
              </w:rPr>
              <w:t>rd</w:t>
            </w:r>
            <w:r w:rsidR="000266F0">
              <w:rPr>
                <w:sz w:val="22"/>
                <w:szCs w:val="22"/>
                <w:lang w:val="en-GB"/>
              </w:rPr>
              <w:t xml:space="preserve"> and 24</w:t>
            </w:r>
            <w:r w:rsidRPr="00047222">
              <w:rPr>
                <w:sz w:val="22"/>
                <w:szCs w:val="22"/>
                <w:vertAlign w:val="superscript"/>
                <w:lang w:val="en-GB"/>
              </w:rPr>
              <w:t>th</w:t>
            </w:r>
            <w:r>
              <w:rPr>
                <w:sz w:val="22"/>
                <w:szCs w:val="22"/>
                <w:lang w:val="en-GB"/>
              </w:rPr>
              <w:t xml:space="preserve"> meeting</w:t>
            </w:r>
            <w:r w:rsidR="000266F0">
              <w:rPr>
                <w:sz w:val="22"/>
                <w:szCs w:val="22"/>
                <w:lang w:val="en-GB"/>
              </w:rPr>
              <w:t>s</w:t>
            </w:r>
            <w:r>
              <w:rPr>
                <w:sz w:val="22"/>
                <w:szCs w:val="22"/>
                <w:lang w:val="en-GB"/>
              </w:rPr>
              <w:t xml:space="preserve"> in </w:t>
            </w:r>
            <w:r w:rsidR="000266F0">
              <w:rPr>
                <w:sz w:val="22"/>
                <w:szCs w:val="22"/>
                <w:lang w:val="en-GB"/>
              </w:rPr>
              <w:t xml:space="preserve">June </w:t>
            </w:r>
            <w:r>
              <w:rPr>
                <w:sz w:val="22"/>
                <w:szCs w:val="22"/>
                <w:lang w:val="en-GB"/>
              </w:rPr>
              <w:t>20</w:t>
            </w:r>
            <w:r w:rsidR="000266F0">
              <w:rPr>
                <w:sz w:val="22"/>
                <w:szCs w:val="22"/>
                <w:lang w:val="en-GB"/>
              </w:rPr>
              <w:t>23</w:t>
            </w:r>
            <w:r>
              <w:rPr>
                <w:sz w:val="22"/>
                <w:szCs w:val="22"/>
                <w:lang w:val="en-GB"/>
              </w:rPr>
              <w:t xml:space="preserve"> and </w:t>
            </w:r>
            <w:r w:rsidR="000266F0">
              <w:rPr>
                <w:sz w:val="22"/>
                <w:szCs w:val="22"/>
                <w:lang w:val="en-GB"/>
              </w:rPr>
              <w:t>July 2024, and were administered by the Secretariat as two modules with submission deadlines on 31 December 2024 (Waterbird Harvest Data reporting module) and 13 May 2025 (Main National Report module)</w:t>
            </w:r>
            <w:r>
              <w:rPr>
                <w:sz w:val="22"/>
                <w:szCs w:val="22"/>
                <w:lang w:val="en-GB"/>
              </w:rPr>
              <w:t>.</w:t>
            </w:r>
          </w:p>
          <w:p w14:paraId="7C1E0430" w14:textId="77777777" w:rsidR="006C3FD5" w:rsidRDefault="006C3FD5" w:rsidP="006C3FD5">
            <w:pPr>
              <w:spacing w:line="276" w:lineRule="auto"/>
              <w:rPr>
                <w:sz w:val="22"/>
                <w:szCs w:val="22"/>
                <w:lang w:val="en-GB"/>
              </w:rPr>
            </w:pPr>
          </w:p>
          <w:p w14:paraId="26938F63" w14:textId="50A61762" w:rsidR="006C3FD5" w:rsidRPr="00860CD7" w:rsidRDefault="006C3FD5" w:rsidP="006C3FD5">
            <w:pPr>
              <w:spacing w:line="276" w:lineRule="auto"/>
              <w:rPr>
                <w:sz w:val="22"/>
                <w:szCs w:val="22"/>
                <w:lang w:val="en-GB"/>
              </w:rPr>
            </w:pPr>
            <w:r>
              <w:rPr>
                <w:sz w:val="22"/>
                <w:szCs w:val="22"/>
                <w:lang w:val="en-GB"/>
              </w:rPr>
              <w:t xml:space="preserve">The </w:t>
            </w:r>
            <w:r w:rsidR="000266F0">
              <w:rPr>
                <w:sz w:val="22"/>
                <w:szCs w:val="22"/>
                <w:lang w:val="en-GB"/>
              </w:rPr>
              <w:t xml:space="preserve">Secretariat also </w:t>
            </w:r>
            <w:r>
              <w:rPr>
                <w:sz w:val="22"/>
                <w:szCs w:val="22"/>
                <w:lang w:val="en-GB"/>
              </w:rPr>
              <w:t>prepared a draft national report format for the period 202</w:t>
            </w:r>
            <w:r w:rsidR="00DF5A80">
              <w:rPr>
                <w:sz w:val="22"/>
                <w:szCs w:val="22"/>
                <w:lang w:val="en-GB"/>
              </w:rPr>
              <w:t>5</w:t>
            </w:r>
            <w:r>
              <w:rPr>
                <w:sz w:val="22"/>
                <w:szCs w:val="22"/>
                <w:lang w:val="en-GB"/>
              </w:rPr>
              <w:t>-202</w:t>
            </w:r>
            <w:r w:rsidR="00DF5A80">
              <w:rPr>
                <w:sz w:val="22"/>
                <w:szCs w:val="22"/>
                <w:lang w:val="en-GB"/>
              </w:rPr>
              <w:t>7</w:t>
            </w:r>
            <w:r>
              <w:rPr>
                <w:sz w:val="22"/>
                <w:szCs w:val="22"/>
                <w:lang w:val="en-GB"/>
              </w:rPr>
              <w:t xml:space="preserve"> </w:t>
            </w:r>
            <w:r w:rsidR="000266F0">
              <w:rPr>
                <w:sz w:val="22"/>
                <w:szCs w:val="22"/>
                <w:lang w:val="en-GB"/>
              </w:rPr>
              <w:t>(Main National Report module) and for the period 2019-202</w:t>
            </w:r>
            <w:r w:rsidR="00DF5A80">
              <w:rPr>
                <w:sz w:val="22"/>
                <w:szCs w:val="22"/>
                <w:lang w:val="en-GB"/>
              </w:rPr>
              <w:t>4 (Population Status reporting module)</w:t>
            </w:r>
            <w:r w:rsidR="000266F0">
              <w:rPr>
                <w:sz w:val="22"/>
                <w:szCs w:val="22"/>
                <w:lang w:val="en-GB"/>
              </w:rPr>
              <w:t xml:space="preserve"> </w:t>
            </w:r>
            <w:r>
              <w:rPr>
                <w:sz w:val="22"/>
                <w:szCs w:val="22"/>
                <w:lang w:val="en-GB"/>
              </w:rPr>
              <w:t>for reporting to MOP</w:t>
            </w:r>
            <w:r w:rsidR="000266F0">
              <w:rPr>
                <w:sz w:val="22"/>
                <w:szCs w:val="22"/>
                <w:lang w:val="en-GB"/>
              </w:rPr>
              <w:t>10</w:t>
            </w:r>
            <w:r w:rsidR="003F36A3">
              <w:rPr>
                <w:sz w:val="22"/>
                <w:szCs w:val="22"/>
                <w:lang w:val="en-GB"/>
              </w:rPr>
              <w:t xml:space="preserve">, which were reviewed and </w:t>
            </w:r>
            <w:r w:rsidR="00DF5A80">
              <w:rPr>
                <w:sz w:val="22"/>
                <w:szCs w:val="22"/>
                <w:lang w:val="en-GB"/>
              </w:rPr>
              <w:t xml:space="preserve">approved </w:t>
            </w:r>
            <w:r w:rsidR="003F36A3">
              <w:rPr>
                <w:sz w:val="22"/>
                <w:szCs w:val="22"/>
                <w:lang w:val="en-GB"/>
              </w:rPr>
              <w:t xml:space="preserve">by the Technical </w:t>
            </w:r>
            <w:r w:rsidR="003F36A3">
              <w:rPr>
                <w:sz w:val="22"/>
                <w:szCs w:val="22"/>
                <w:lang w:val="en-GB"/>
              </w:rPr>
              <w:lastRenderedPageBreak/>
              <w:t>Committee</w:t>
            </w:r>
            <w:r w:rsidR="00D95D63">
              <w:rPr>
                <w:sz w:val="22"/>
                <w:szCs w:val="22"/>
                <w:lang w:val="en-GB"/>
              </w:rPr>
              <w:t xml:space="preserve"> at its 20</w:t>
            </w:r>
            <w:r w:rsidR="00D95D63" w:rsidRPr="00D95D63">
              <w:rPr>
                <w:sz w:val="22"/>
                <w:szCs w:val="22"/>
                <w:vertAlign w:val="superscript"/>
                <w:lang w:val="en-GB"/>
              </w:rPr>
              <w:t>th</w:t>
            </w:r>
            <w:r w:rsidR="00D95D63">
              <w:rPr>
                <w:sz w:val="22"/>
                <w:szCs w:val="22"/>
                <w:lang w:val="en-GB"/>
              </w:rPr>
              <w:t xml:space="preserve"> meeting (February 2025)</w:t>
            </w:r>
            <w:r w:rsidR="003F36A3">
              <w:rPr>
                <w:sz w:val="22"/>
                <w:szCs w:val="22"/>
                <w:lang w:val="en-GB"/>
              </w:rPr>
              <w:t xml:space="preserve"> </w:t>
            </w:r>
            <w:r w:rsidR="00DF5A80">
              <w:rPr>
                <w:sz w:val="22"/>
                <w:szCs w:val="22"/>
                <w:lang w:val="en-GB"/>
              </w:rPr>
              <w:t xml:space="preserve">for </w:t>
            </w:r>
            <w:r>
              <w:rPr>
                <w:sz w:val="22"/>
                <w:szCs w:val="22"/>
                <w:lang w:val="en-GB"/>
              </w:rPr>
              <w:t>submission to MOP</w:t>
            </w:r>
            <w:r w:rsidR="00DF5A80">
              <w:rPr>
                <w:sz w:val="22"/>
                <w:szCs w:val="22"/>
                <w:lang w:val="en-GB"/>
              </w:rPr>
              <w:t>9 for consideration and adoption</w:t>
            </w:r>
            <w:r>
              <w:rPr>
                <w:sz w:val="22"/>
                <w:szCs w:val="22"/>
                <w:lang w:val="en-GB"/>
              </w:rPr>
              <w:t>.</w:t>
            </w:r>
          </w:p>
        </w:tc>
        <w:tc>
          <w:tcPr>
            <w:tcW w:w="823" w:type="pct"/>
            <w:tcBorders>
              <w:top w:val="single" w:sz="4" w:space="0" w:color="000000"/>
              <w:left w:val="single" w:sz="4" w:space="0" w:color="000000"/>
              <w:bottom w:val="single" w:sz="4" w:space="0" w:color="000000"/>
              <w:right w:val="single" w:sz="4" w:space="0" w:color="000000"/>
            </w:tcBorders>
          </w:tcPr>
          <w:p w14:paraId="767F072C" w14:textId="77777777" w:rsidR="006C3FD5" w:rsidRDefault="006C3FD5" w:rsidP="006C3FD5">
            <w:pPr>
              <w:spacing w:line="276" w:lineRule="auto"/>
              <w:rPr>
                <w:sz w:val="22"/>
                <w:szCs w:val="22"/>
              </w:rPr>
            </w:pPr>
            <w:r w:rsidRPr="00AC51D3">
              <w:rPr>
                <w:sz w:val="22"/>
                <w:szCs w:val="22"/>
              </w:rPr>
              <w:lastRenderedPageBreak/>
              <w:t xml:space="preserve">Doc. </w:t>
            </w:r>
            <w:r w:rsidR="000266F0" w:rsidRPr="000266F0">
              <w:rPr>
                <w:sz w:val="22"/>
                <w:szCs w:val="22"/>
              </w:rPr>
              <w:t>AEWA/MOP 9.17</w:t>
            </w:r>
          </w:p>
          <w:p w14:paraId="05F09CD0" w14:textId="4D3A78DC" w:rsidR="000266F0" w:rsidRPr="00462234" w:rsidRDefault="000266F0" w:rsidP="006C3FD5">
            <w:pPr>
              <w:spacing w:line="276" w:lineRule="auto"/>
              <w:rPr>
                <w:sz w:val="22"/>
                <w:szCs w:val="22"/>
                <w:lang w:val="en-GB"/>
              </w:rPr>
            </w:pPr>
            <w:r w:rsidRPr="00AC51D3">
              <w:rPr>
                <w:sz w:val="22"/>
                <w:szCs w:val="22"/>
              </w:rPr>
              <w:t xml:space="preserve">Doc. </w:t>
            </w:r>
            <w:r w:rsidRPr="000266F0">
              <w:rPr>
                <w:sz w:val="22"/>
                <w:szCs w:val="22"/>
              </w:rPr>
              <w:t>AEWA/MOP 9.1</w:t>
            </w:r>
            <w:r>
              <w:rPr>
                <w:sz w:val="22"/>
                <w:szCs w:val="22"/>
              </w:rPr>
              <w:t>8</w:t>
            </w:r>
          </w:p>
        </w:tc>
      </w:tr>
      <w:tr w:rsidR="006C3FD5" w:rsidRPr="00860CD7" w14:paraId="1F510FFE"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trHeight w:val="640"/>
        </w:trPr>
        <w:tc>
          <w:tcPr>
            <w:tcW w:w="1505" w:type="pct"/>
            <w:tcBorders>
              <w:top w:val="single" w:sz="4" w:space="0" w:color="000000"/>
              <w:left w:val="single" w:sz="4" w:space="0" w:color="000000"/>
              <w:bottom w:val="single" w:sz="4" w:space="0" w:color="000000"/>
              <w:right w:val="single" w:sz="4" w:space="0" w:color="000000"/>
            </w:tcBorders>
            <w:hideMark/>
          </w:tcPr>
          <w:p w14:paraId="2FA75F5D" w14:textId="02C6357C" w:rsidR="006C3FD5" w:rsidRPr="004E225D" w:rsidRDefault="006C3FD5" w:rsidP="006C3FD5">
            <w:pPr>
              <w:spacing w:line="276" w:lineRule="auto"/>
              <w:rPr>
                <w:b/>
                <w:bCs/>
                <w:sz w:val="22"/>
                <w:szCs w:val="22"/>
                <w:lang w:val="en-GB"/>
              </w:rPr>
            </w:pPr>
            <w:r w:rsidRPr="004E225D">
              <w:rPr>
                <w:b/>
                <w:bCs/>
                <w:sz w:val="22"/>
                <w:szCs w:val="22"/>
                <w:lang w:val="en-GB"/>
              </w:rPr>
              <w:t xml:space="preserve">8.2. </w:t>
            </w:r>
            <w:r w:rsidR="003F36A3" w:rsidRPr="003F36A3">
              <w:rPr>
                <w:b/>
                <w:bCs/>
                <w:sz w:val="22"/>
                <w:szCs w:val="22"/>
                <w:lang w:val="en-GB"/>
              </w:rPr>
              <w:t>Plan of Action for Africa module for national reports</w:t>
            </w:r>
          </w:p>
          <w:p w14:paraId="49C9AD3A" w14:textId="42CFEAF5" w:rsidR="006C3FD5" w:rsidRPr="004E225D" w:rsidRDefault="003F36A3" w:rsidP="006C3FD5">
            <w:pPr>
              <w:spacing w:line="276" w:lineRule="auto"/>
              <w:rPr>
                <w:b/>
                <w:bCs/>
                <w:sz w:val="22"/>
                <w:szCs w:val="22"/>
                <w:lang w:val="en-GB"/>
              </w:rPr>
            </w:pPr>
            <w:r w:rsidRPr="003F36A3">
              <w:rPr>
                <w:sz w:val="22"/>
                <w:szCs w:val="22"/>
                <w:lang w:val="en-GB"/>
              </w:rPr>
              <w:t>Prepare the draft module on the Plan of Action for Africa for MOP10 (2025-2027) national reports to be submitted for consideration by MOP9</w:t>
            </w:r>
            <w:r>
              <w:rPr>
                <w:sz w:val="22"/>
                <w:szCs w:val="22"/>
                <w:lang w:val="en-GB"/>
              </w:rPr>
              <w:t>.</w:t>
            </w:r>
            <w:r w:rsidRPr="003F36A3">
              <w:rPr>
                <w:sz w:val="22"/>
                <w:szCs w:val="22"/>
                <w:lang w:val="en-GB"/>
              </w:rPr>
              <w:t xml:space="preserve"> (</w:t>
            </w:r>
            <w:r w:rsidRPr="003F36A3">
              <w:rPr>
                <w:i/>
                <w:iCs/>
                <w:sz w:val="22"/>
                <w:szCs w:val="22"/>
                <w:lang w:val="en-GB"/>
              </w:rPr>
              <w:t>Resolution 8.3</w:t>
            </w:r>
            <w:r w:rsidRPr="003F36A3">
              <w:rPr>
                <w:sz w:val="22"/>
                <w:szCs w:val="22"/>
                <w:lang w:val="en-GB"/>
              </w:rPr>
              <w:t>)</w:t>
            </w:r>
          </w:p>
          <w:p w14:paraId="59077717" w14:textId="77777777" w:rsidR="006C3FD5" w:rsidRPr="00860CD7" w:rsidRDefault="006C3FD5" w:rsidP="006C3FD5">
            <w:pPr>
              <w:spacing w:line="276" w:lineRule="auto"/>
              <w:rPr>
                <w:bCs/>
                <w:sz w:val="22"/>
                <w:szCs w:val="22"/>
                <w:lang w:val="en-GB"/>
              </w:rPr>
            </w:pPr>
          </w:p>
        </w:tc>
        <w:tc>
          <w:tcPr>
            <w:tcW w:w="361" w:type="pct"/>
            <w:tcBorders>
              <w:top w:val="single" w:sz="4" w:space="0" w:color="000000"/>
              <w:left w:val="single" w:sz="4" w:space="0" w:color="000000"/>
              <w:right w:val="single" w:sz="4" w:space="0" w:color="000000"/>
            </w:tcBorders>
            <w:shd w:val="clear" w:color="auto" w:fill="FF9999"/>
          </w:tcPr>
          <w:p w14:paraId="0E709236" w14:textId="77777777" w:rsidR="006C3FD5" w:rsidRPr="00860CD7" w:rsidRDefault="006C3FD5" w:rsidP="006C3FD5">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right w:val="single" w:sz="4" w:space="0" w:color="000000"/>
            </w:tcBorders>
            <w:shd w:val="clear" w:color="auto" w:fill="92D050"/>
          </w:tcPr>
          <w:p w14:paraId="0FA5E7D4" w14:textId="77777777" w:rsidR="006C3FD5" w:rsidRPr="004F060C" w:rsidRDefault="006C3FD5" w:rsidP="006C3FD5">
            <w:pPr>
              <w:spacing w:line="276" w:lineRule="auto"/>
              <w:ind w:left="352" w:hanging="352"/>
              <w:rPr>
                <w:sz w:val="22"/>
                <w:szCs w:val="22"/>
                <w:highlight w:val="yellow"/>
                <w:lang w:val="en-GB"/>
              </w:rPr>
            </w:pPr>
            <w:r w:rsidRPr="00092BFA">
              <w:rPr>
                <w:b/>
                <w:bCs/>
                <w:sz w:val="22"/>
                <w:szCs w:val="22"/>
                <w:shd w:val="clear" w:color="auto" w:fill="92D050"/>
                <w:lang w:val="en-GB"/>
              </w:rPr>
              <w:t>Fully implemented</w:t>
            </w:r>
          </w:p>
          <w:p w14:paraId="6ABB6B0F" w14:textId="77777777" w:rsidR="006C3FD5" w:rsidRPr="00860CD7" w:rsidRDefault="006C3FD5" w:rsidP="006C3FD5">
            <w:pPr>
              <w:spacing w:line="276" w:lineRule="auto"/>
              <w:rPr>
                <w:sz w:val="22"/>
                <w:szCs w:val="22"/>
                <w:lang w:val="en-GB"/>
              </w:rPr>
            </w:pPr>
          </w:p>
        </w:tc>
        <w:tc>
          <w:tcPr>
            <w:tcW w:w="1629" w:type="pct"/>
            <w:tcBorders>
              <w:top w:val="single" w:sz="4" w:space="0" w:color="000000"/>
              <w:left w:val="single" w:sz="4" w:space="0" w:color="000000"/>
              <w:right w:val="single" w:sz="4" w:space="0" w:color="000000"/>
            </w:tcBorders>
          </w:tcPr>
          <w:p w14:paraId="77E3FE33" w14:textId="127512DF" w:rsidR="006C3FD5" w:rsidRPr="00860CD7" w:rsidRDefault="001E235D" w:rsidP="006C3FD5">
            <w:pPr>
              <w:spacing w:line="276" w:lineRule="auto"/>
              <w:rPr>
                <w:sz w:val="22"/>
                <w:szCs w:val="22"/>
                <w:lang w:val="en-GB"/>
              </w:rPr>
            </w:pPr>
            <w:r>
              <w:rPr>
                <w:sz w:val="22"/>
                <w:szCs w:val="22"/>
                <w:lang w:val="en-GB"/>
              </w:rPr>
              <w:t xml:space="preserve">The Secretariat compiled a draft </w:t>
            </w:r>
            <w:r w:rsidR="006C3FD5">
              <w:rPr>
                <w:sz w:val="22"/>
                <w:szCs w:val="22"/>
                <w:lang w:val="en-GB"/>
              </w:rPr>
              <w:t>revised format for the PoAA reporting to be used for MOP</w:t>
            </w:r>
            <w:r>
              <w:rPr>
                <w:sz w:val="22"/>
                <w:szCs w:val="22"/>
                <w:lang w:val="en-GB"/>
              </w:rPr>
              <w:t>10</w:t>
            </w:r>
            <w:r w:rsidR="006C3FD5">
              <w:rPr>
                <w:sz w:val="22"/>
                <w:szCs w:val="22"/>
                <w:lang w:val="en-GB"/>
              </w:rPr>
              <w:t xml:space="preserve"> (period 202</w:t>
            </w:r>
            <w:r>
              <w:rPr>
                <w:sz w:val="22"/>
                <w:szCs w:val="22"/>
                <w:lang w:val="en-GB"/>
              </w:rPr>
              <w:t>5</w:t>
            </w:r>
            <w:r w:rsidR="006C3FD5">
              <w:rPr>
                <w:sz w:val="22"/>
                <w:szCs w:val="22"/>
                <w:lang w:val="en-GB"/>
              </w:rPr>
              <w:t>-202</w:t>
            </w:r>
            <w:r>
              <w:rPr>
                <w:sz w:val="22"/>
                <w:szCs w:val="22"/>
                <w:lang w:val="en-GB"/>
              </w:rPr>
              <w:t>7</w:t>
            </w:r>
            <w:r w:rsidR="006C3FD5">
              <w:rPr>
                <w:sz w:val="22"/>
                <w:szCs w:val="22"/>
                <w:lang w:val="en-GB"/>
              </w:rPr>
              <w:t>)</w:t>
            </w:r>
            <w:r>
              <w:rPr>
                <w:sz w:val="22"/>
                <w:szCs w:val="22"/>
                <w:lang w:val="en-GB"/>
              </w:rPr>
              <w:t xml:space="preserve">, which was reviewed and approved by the Technical Committee </w:t>
            </w:r>
            <w:r w:rsidR="00F37063">
              <w:rPr>
                <w:sz w:val="22"/>
                <w:szCs w:val="22"/>
                <w:lang w:val="en-GB"/>
              </w:rPr>
              <w:t>at its 20</w:t>
            </w:r>
            <w:r w:rsidR="00F37063" w:rsidRPr="00F37063">
              <w:rPr>
                <w:sz w:val="22"/>
                <w:szCs w:val="22"/>
                <w:vertAlign w:val="superscript"/>
                <w:lang w:val="en-GB"/>
              </w:rPr>
              <w:t>th</w:t>
            </w:r>
            <w:r w:rsidR="00F37063">
              <w:rPr>
                <w:sz w:val="22"/>
                <w:szCs w:val="22"/>
                <w:lang w:val="en-GB"/>
              </w:rPr>
              <w:t xml:space="preserve"> meeting in February 2025 </w:t>
            </w:r>
            <w:r>
              <w:rPr>
                <w:sz w:val="22"/>
                <w:szCs w:val="22"/>
                <w:lang w:val="en-GB"/>
              </w:rPr>
              <w:t xml:space="preserve">for </w:t>
            </w:r>
            <w:r w:rsidR="006C3FD5">
              <w:rPr>
                <w:sz w:val="22"/>
                <w:szCs w:val="22"/>
                <w:lang w:val="en-GB"/>
              </w:rPr>
              <w:t>submission to MOP</w:t>
            </w:r>
            <w:r>
              <w:rPr>
                <w:sz w:val="22"/>
                <w:szCs w:val="22"/>
                <w:lang w:val="en-GB"/>
              </w:rPr>
              <w:t>9 for consideration and adoption</w:t>
            </w:r>
            <w:r w:rsidR="006C3FD5">
              <w:rPr>
                <w:sz w:val="22"/>
                <w:szCs w:val="22"/>
                <w:lang w:val="en-GB"/>
              </w:rPr>
              <w:t xml:space="preserve">. </w:t>
            </w:r>
          </w:p>
        </w:tc>
        <w:tc>
          <w:tcPr>
            <w:tcW w:w="823" w:type="pct"/>
            <w:tcBorders>
              <w:top w:val="single" w:sz="4" w:space="0" w:color="000000"/>
              <w:left w:val="single" w:sz="4" w:space="0" w:color="000000"/>
              <w:right w:val="single" w:sz="4" w:space="0" w:color="000000"/>
            </w:tcBorders>
          </w:tcPr>
          <w:p w14:paraId="009BEF28" w14:textId="375C6C24" w:rsidR="006C3FD5" w:rsidRPr="00AC51D3" w:rsidRDefault="006C3FD5" w:rsidP="006C3FD5">
            <w:pPr>
              <w:spacing w:line="276" w:lineRule="auto"/>
              <w:rPr>
                <w:sz w:val="22"/>
                <w:szCs w:val="22"/>
              </w:rPr>
            </w:pPr>
            <w:r w:rsidRPr="00AC51D3">
              <w:rPr>
                <w:sz w:val="22"/>
                <w:szCs w:val="22"/>
              </w:rPr>
              <w:t xml:space="preserve">Doc. AEWA/MOP </w:t>
            </w:r>
            <w:r w:rsidR="001E235D">
              <w:rPr>
                <w:sz w:val="22"/>
                <w:szCs w:val="22"/>
              </w:rPr>
              <w:t>9</w:t>
            </w:r>
            <w:r w:rsidRPr="00AC51D3">
              <w:rPr>
                <w:sz w:val="22"/>
                <w:szCs w:val="22"/>
              </w:rPr>
              <w:t>.</w:t>
            </w:r>
            <w:r>
              <w:rPr>
                <w:sz w:val="22"/>
                <w:szCs w:val="22"/>
              </w:rPr>
              <w:t>1</w:t>
            </w:r>
            <w:r w:rsidR="001E235D">
              <w:rPr>
                <w:sz w:val="22"/>
                <w:szCs w:val="22"/>
              </w:rPr>
              <w:t>9</w:t>
            </w:r>
          </w:p>
          <w:p w14:paraId="7932721F" w14:textId="77777777" w:rsidR="006C3FD5" w:rsidRPr="00462234" w:rsidRDefault="006C3FD5" w:rsidP="006C3FD5">
            <w:pPr>
              <w:spacing w:line="276" w:lineRule="auto"/>
              <w:rPr>
                <w:sz w:val="22"/>
                <w:szCs w:val="22"/>
                <w:lang w:val="en-GB"/>
              </w:rPr>
            </w:pPr>
          </w:p>
        </w:tc>
      </w:tr>
      <w:tr w:rsidR="006C3FD5" w:rsidRPr="00860CD7" w14:paraId="7F235DF9" w14:textId="77777777" w:rsidTr="00DC1F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03DF448A" w14:textId="2F8E57AC" w:rsidR="006C3FD5" w:rsidRPr="009C1100" w:rsidRDefault="006C3FD5" w:rsidP="006C3FD5">
            <w:pPr>
              <w:spacing w:line="276" w:lineRule="auto"/>
              <w:rPr>
                <w:b/>
                <w:sz w:val="22"/>
                <w:szCs w:val="22"/>
                <w:lang w:val="en-GB"/>
              </w:rPr>
            </w:pPr>
            <w:r w:rsidRPr="009C1100">
              <w:rPr>
                <w:b/>
                <w:sz w:val="22"/>
                <w:szCs w:val="22"/>
                <w:lang w:val="en-GB"/>
              </w:rPr>
              <w:t xml:space="preserve">8.3. </w:t>
            </w:r>
            <w:r w:rsidR="00DC1FCE" w:rsidRPr="00DC1FCE">
              <w:rPr>
                <w:b/>
                <w:sz w:val="22"/>
                <w:szCs w:val="22"/>
                <w:lang w:val="en-GB"/>
              </w:rPr>
              <w:t>Monitoring of implementation of the Strategic Plan and the PoAA (2019-2027)</w:t>
            </w:r>
          </w:p>
          <w:p w14:paraId="075E6582" w14:textId="5979FC7E" w:rsidR="006C3FD5" w:rsidRPr="009C1100" w:rsidRDefault="00DC1FCE" w:rsidP="006C3FD5">
            <w:pPr>
              <w:spacing w:line="276" w:lineRule="auto"/>
              <w:rPr>
                <w:b/>
                <w:sz w:val="22"/>
                <w:szCs w:val="22"/>
                <w:lang w:val="en-GB"/>
              </w:rPr>
            </w:pPr>
            <w:r w:rsidRPr="00DC1FCE">
              <w:rPr>
                <w:bCs/>
                <w:sz w:val="22"/>
                <w:szCs w:val="22"/>
                <w:lang w:val="en-GB"/>
              </w:rPr>
              <w:t>Develop as a priority indicators for measuring implementation of the PoAA (</w:t>
            </w:r>
            <w:r w:rsidRPr="00DC1FCE">
              <w:rPr>
                <w:bCs/>
                <w:i/>
                <w:iCs/>
                <w:sz w:val="22"/>
                <w:szCs w:val="22"/>
                <w:lang w:val="en-GB"/>
              </w:rPr>
              <w:t>Resolution 8.3</w:t>
            </w:r>
            <w:r w:rsidRPr="00DC1FCE">
              <w:rPr>
                <w:bCs/>
                <w:sz w:val="22"/>
                <w:szCs w:val="22"/>
                <w:lang w:val="en-GB"/>
              </w:rPr>
              <w:t>); further develop the concept for the monitoring of the implementation of the SP and the PoAA with respect to assessing trend in implementation rate (</w:t>
            </w:r>
            <w:r w:rsidRPr="00DC1FCE">
              <w:rPr>
                <w:bCs/>
                <w:i/>
                <w:iCs/>
                <w:sz w:val="22"/>
                <w:szCs w:val="22"/>
                <w:lang w:val="en-GB"/>
              </w:rPr>
              <w:t>Resolution 7.1</w:t>
            </w:r>
            <w:r w:rsidRPr="00DC1FCE">
              <w:rPr>
                <w:bCs/>
                <w:sz w:val="22"/>
                <w:szCs w:val="22"/>
                <w:lang w:val="en-GB"/>
              </w:rPr>
              <w:t>) and undertake work to improve the assessment of the SP (plan for the assessment of the 22 postponed target-level indicators and the other target-levels indicators where need of additional or improved data has been identified, as well as purpose-level indicator P4)</w:t>
            </w:r>
            <w:r>
              <w:rPr>
                <w:bCs/>
                <w:sz w:val="22"/>
                <w:szCs w:val="22"/>
                <w:lang w:val="en-GB"/>
              </w:rPr>
              <w:t>.</w:t>
            </w:r>
            <w:r w:rsidRPr="00DC1FCE">
              <w:rPr>
                <w:bCs/>
                <w:sz w:val="22"/>
                <w:szCs w:val="22"/>
                <w:lang w:val="en-GB"/>
              </w:rPr>
              <w:t xml:space="preserve"> (</w:t>
            </w:r>
            <w:r w:rsidRPr="00DC1FCE">
              <w:rPr>
                <w:bCs/>
                <w:i/>
                <w:iCs/>
                <w:sz w:val="22"/>
                <w:szCs w:val="22"/>
                <w:lang w:val="en-GB"/>
              </w:rPr>
              <w:t>Resolution 8.3</w:t>
            </w:r>
            <w:r w:rsidRPr="00DC1FCE">
              <w:rPr>
                <w:bCs/>
                <w:sz w:val="22"/>
                <w:szCs w:val="22"/>
                <w:lang w:val="en-GB"/>
              </w:rPr>
              <w:t>)</w:t>
            </w:r>
          </w:p>
          <w:p w14:paraId="4B68F2A9" w14:textId="77777777" w:rsidR="006C3FD5" w:rsidRPr="00860CD7" w:rsidRDefault="006C3FD5" w:rsidP="006C3FD5">
            <w:pPr>
              <w:spacing w:line="276" w:lineRule="auto"/>
              <w:rPr>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14320D59" w14:textId="77777777" w:rsidR="006C3FD5" w:rsidRPr="00860CD7" w:rsidRDefault="006C3FD5" w:rsidP="006C3FD5">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5F36BB8A" w14:textId="1C2D9ED1" w:rsidR="006C3FD5" w:rsidRPr="0014323A" w:rsidRDefault="00DC1FCE" w:rsidP="006C3FD5">
            <w:pPr>
              <w:spacing w:line="276" w:lineRule="auto"/>
              <w:rPr>
                <w:b/>
                <w:bCs/>
                <w:sz w:val="22"/>
                <w:szCs w:val="22"/>
                <w:highlight w:val="yellow"/>
                <w:lang w:val="en-GB"/>
              </w:rPr>
            </w:pPr>
            <w:r>
              <w:rPr>
                <w:b/>
                <w:bCs/>
                <w:sz w:val="22"/>
                <w:szCs w:val="22"/>
                <w:lang w:val="en-GB"/>
              </w:rPr>
              <w:t xml:space="preserve">Fully </w:t>
            </w:r>
            <w:r w:rsidR="006C3FD5" w:rsidRPr="0014323A">
              <w:rPr>
                <w:b/>
                <w:bCs/>
                <w:sz w:val="22"/>
                <w:szCs w:val="22"/>
                <w:lang w:val="en-GB"/>
              </w:rPr>
              <w:t>implemented</w:t>
            </w:r>
          </w:p>
        </w:tc>
        <w:tc>
          <w:tcPr>
            <w:tcW w:w="1629" w:type="pct"/>
            <w:tcBorders>
              <w:top w:val="single" w:sz="4" w:space="0" w:color="000000"/>
              <w:left w:val="single" w:sz="4" w:space="0" w:color="000000"/>
              <w:bottom w:val="single" w:sz="4" w:space="0" w:color="000000"/>
              <w:right w:val="single" w:sz="4" w:space="0" w:color="000000"/>
            </w:tcBorders>
          </w:tcPr>
          <w:p w14:paraId="6C71B1F8" w14:textId="76AFA635" w:rsidR="006C3FD5" w:rsidRPr="003E2B85" w:rsidRDefault="006C3FD5" w:rsidP="006C3FD5">
            <w:pPr>
              <w:spacing w:line="276" w:lineRule="auto"/>
              <w:rPr>
                <w:sz w:val="22"/>
                <w:szCs w:val="22"/>
                <w:lang w:val="en-GB"/>
              </w:rPr>
            </w:pPr>
            <w:r w:rsidRPr="003E2B85">
              <w:rPr>
                <w:sz w:val="22"/>
                <w:szCs w:val="22"/>
                <w:lang w:val="en-GB"/>
              </w:rPr>
              <w:t xml:space="preserve">The Secretariat </w:t>
            </w:r>
            <w:r w:rsidR="00F37063">
              <w:rPr>
                <w:sz w:val="22"/>
                <w:szCs w:val="22"/>
                <w:lang w:val="en-GB"/>
              </w:rPr>
              <w:t xml:space="preserve">outsourced the </w:t>
            </w:r>
            <w:r w:rsidRPr="003E2B85">
              <w:rPr>
                <w:sz w:val="22"/>
                <w:szCs w:val="22"/>
                <w:lang w:val="en-GB"/>
              </w:rPr>
              <w:t>develop</w:t>
            </w:r>
            <w:r w:rsidR="00F37063">
              <w:rPr>
                <w:sz w:val="22"/>
                <w:szCs w:val="22"/>
                <w:lang w:val="en-GB"/>
              </w:rPr>
              <w:t>ment of</w:t>
            </w:r>
            <w:r w:rsidR="00F37063" w:rsidRPr="00DC1FCE">
              <w:rPr>
                <w:bCs/>
                <w:sz w:val="22"/>
                <w:szCs w:val="22"/>
                <w:lang w:val="en-GB"/>
              </w:rPr>
              <w:t xml:space="preserve"> indicators for measuring implementation of the PoAA</w:t>
            </w:r>
            <w:r w:rsidR="00F37063">
              <w:rPr>
                <w:bCs/>
                <w:sz w:val="22"/>
                <w:szCs w:val="22"/>
                <w:lang w:val="en-GB"/>
              </w:rPr>
              <w:t>, which were reviewed and approved by the Technical Committee</w:t>
            </w:r>
            <w:r w:rsidR="00E95560">
              <w:rPr>
                <w:bCs/>
                <w:sz w:val="22"/>
                <w:szCs w:val="22"/>
                <w:lang w:val="en-GB"/>
              </w:rPr>
              <w:t xml:space="preserve"> at its 20</w:t>
            </w:r>
            <w:r w:rsidR="00E95560" w:rsidRPr="00E95560">
              <w:rPr>
                <w:bCs/>
                <w:sz w:val="22"/>
                <w:szCs w:val="22"/>
                <w:vertAlign w:val="superscript"/>
                <w:lang w:val="en-GB"/>
              </w:rPr>
              <w:t>th</w:t>
            </w:r>
            <w:r w:rsidR="00E95560">
              <w:rPr>
                <w:bCs/>
                <w:sz w:val="22"/>
                <w:szCs w:val="22"/>
                <w:lang w:val="en-GB"/>
              </w:rPr>
              <w:t xml:space="preserve"> meeting (February 2025)</w:t>
            </w:r>
            <w:r w:rsidR="00F37063">
              <w:rPr>
                <w:bCs/>
                <w:sz w:val="22"/>
                <w:szCs w:val="22"/>
                <w:lang w:val="en-GB"/>
              </w:rPr>
              <w:t>.</w:t>
            </w:r>
            <w:r w:rsidRPr="003E2B85">
              <w:rPr>
                <w:sz w:val="22"/>
                <w:szCs w:val="22"/>
                <w:lang w:val="en-GB"/>
              </w:rPr>
              <w:t xml:space="preserve"> </w:t>
            </w:r>
          </w:p>
          <w:p w14:paraId="0DC446E1" w14:textId="77777777" w:rsidR="006C3FD5" w:rsidRDefault="006C3FD5" w:rsidP="006C3FD5">
            <w:pPr>
              <w:spacing w:line="276" w:lineRule="auto"/>
              <w:rPr>
                <w:sz w:val="22"/>
                <w:szCs w:val="22"/>
                <w:lang w:val="en-GB"/>
              </w:rPr>
            </w:pPr>
          </w:p>
          <w:p w14:paraId="3792E262" w14:textId="0475748B" w:rsidR="00487699" w:rsidRDefault="00487699" w:rsidP="006C3FD5">
            <w:pPr>
              <w:spacing w:line="276" w:lineRule="auto"/>
              <w:rPr>
                <w:sz w:val="22"/>
                <w:szCs w:val="22"/>
                <w:lang w:val="en-GB"/>
              </w:rPr>
            </w:pPr>
            <w:r>
              <w:rPr>
                <w:sz w:val="22"/>
                <w:szCs w:val="22"/>
                <w:lang w:val="en-GB"/>
              </w:rPr>
              <w:t xml:space="preserve">The Technical Committee considered the mandate for </w:t>
            </w:r>
            <w:r>
              <w:t xml:space="preserve"> </w:t>
            </w:r>
            <w:r w:rsidRPr="00487699">
              <w:rPr>
                <w:sz w:val="22"/>
                <w:szCs w:val="22"/>
                <w:lang w:val="en-GB"/>
              </w:rPr>
              <w:t>develop</w:t>
            </w:r>
            <w:r>
              <w:rPr>
                <w:sz w:val="22"/>
                <w:szCs w:val="22"/>
                <w:lang w:val="en-GB"/>
              </w:rPr>
              <w:t>ing</w:t>
            </w:r>
            <w:r w:rsidRPr="00487699">
              <w:rPr>
                <w:sz w:val="22"/>
                <w:szCs w:val="22"/>
                <w:lang w:val="en-GB"/>
              </w:rPr>
              <w:t xml:space="preserve"> </w:t>
            </w:r>
            <w:r>
              <w:rPr>
                <w:sz w:val="22"/>
                <w:szCs w:val="22"/>
                <w:lang w:val="en-GB"/>
              </w:rPr>
              <w:t xml:space="preserve">a </w:t>
            </w:r>
            <w:r w:rsidRPr="00487699">
              <w:rPr>
                <w:sz w:val="22"/>
                <w:szCs w:val="22"/>
                <w:lang w:val="en-GB"/>
              </w:rPr>
              <w:t>concept for the monitoring of the implementation of the SP and the PoAA with respect to assessing trend in implementation rate</w:t>
            </w:r>
            <w:r>
              <w:rPr>
                <w:sz w:val="22"/>
                <w:szCs w:val="22"/>
                <w:lang w:val="en-GB"/>
              </w:rPr>
              <w:t xml:space="preserve"> and agreed that the current assessment approach provides sufficient options for demonstrating trend in implementation rate. </w:t>
            </w:r>
          </w:p>
          <w:p w14:paraId="3493B221" w14:textId="77777777" w:rsidR="00487699" w:rsidRPr="003E2B85" w:rsidRDefault="00487699" w:rsidP="006C3FD5">
            <w:pPr>
              <w:spacing w:line="276" w:lineRule="auto"/>
              <w:rPr>
                <w:sz w:val="22"/>
                <w:szCs w:val="22"/>
                <w:lang w:val="en-GB"/>
              </w:rPr>
            </w:pPr>
          </w:p>
          <w:p w14:paraId="51C57D6A" w14:textId="63232203" w:rsidR="006C3FD5" w:rsidRPr="003E2B85" w:rsidRDefault="00487699" w:rsidP="006C3FD5">
            <w:pPr>
              <w:spacing w:line="276" w:lineRule="auto"/>
              <w:rPr>
                <w:sz w:val="22"/>
                <w:szCs w:val="22"/>
                <w:lang w:val="en-GB"/>
              </w:rPr>
            </w:pPr>
            <w:r>
              <w:rPr>
                <w:sz w:val="22"/>
                <w:szCs w:val="22"/>
                <w:lang w:val="en-GB"/>
              </w:rPr>
              <w:t xml:space="preserve">The proposed approach to </w:t>
            </w:r>
            <w:r w:rsidRPr="00487699">
              <w:rPr>
                <w:sz w:val="22"/>
                <w:szCs w:val="22"/>
                <w:lang w:val="en-GB"/>
              </w:rPr>
              <w:t>assess</w:t>
            </w:r>
            <w:r>
              <w:rPr>
                <w:sz w:val="22"/>
                <w:szCs w:val="22"/>
                <w:lang w:val="en-GB"/>
              </w:rPr>
              <w:t>ing</w:t>
            </w:r>
            <w:r w:rsidRPr="00487699">
              <w:rPr>
                <w:sz w:val="22"/>
                <w:szCs w:val="22"/>
                <w:lang w:val="en-GB"/>
              </w:rPr>
              <w:t xml:space="preserve"> the 22 postponed target-level indicators </w:t>
            </w:r>
            <w:r>
              <w:rPr>
                <w:sz w:val="22"/>
                <w:szCs w:val="22"/>
                <w:lang w:val="en-GB"/>
              </w:rPr>
              <w:t xml:space="preserve">of the SP </w:t>
            </w:r>
            <w:r w:rsidRPr="00487699">
              <w:rPr>
                <w:sz w:val="22"/>
                <w:szCs w:val="22"/>
                <w:lang w:val="en-GB"/>
              </w:rPr>
              <w:t>and the other target-levels indicators where need of additional or improved data has been identified, as well as purpose-level indicator P4</w:t>
            </w:r>
            <w:r>
              <w:rPr>
                <w:sz w:val="22"/>
                <w:szCs w:val="22"/>
                <w:lang w:val="en-GB"/>
              </w:rPr>
              <w:t>, was reviewed and approved by the Technical Committee at its 20</w:t>
            </w:r>
            <w:r w:rsidRPr="00487699">
              <w:rPr>
                <w:sz w:val="22"/>
                <w:szCs w:val="22"/>
                <w:vertAlign w:val="superscript"/>
                <w:lang w:val="en-GB"/>
              </w:rPr>
              <w:t>th</w:t>
            </w:r>
            <w:r>
              <w:rPr>
                <w:sz w:val="22"/>
                <w:szCs w:val="22"/>
                <w:lang w:val="en-GB"/>
              </w:rPr>
              <w:t xml:space="preserve"> meeting in February 2025.</w:t>
            </w:r>
          </w:p>
        </w:tc>
        <w:tc>
          <w:tcPr>
            <w:tcW w:w="823" w:type="pct"/>
            <w:tcBorders>
              <w:top w:val="single" w:sz="4" w:space="0" w:color="000000"/>
              <w:left w:val="single" w:sz="4" w:space="0" w:color="000000"/>
              <w:bottom w:val="single" w:sz="4" w:space="0" w:color="000000"/>
              <w:right w:val="single" w:sz="4" w:space="0" w:color="000000"/>
            </w:tcBorders>
          </w:tcPr>
          <w:p w14:paraId="20693502" w14:textId="39C4F501" w:rsidR="006C3FD5" w:rsidRPr="00462234" w:rsidRDefault="00DC1FCE" w:rsidP="006C3FD5">
            <w:pPr>
              <w:spacing w:line="276" w:lineRule="auto"/>
              <w:rPr>
                <w:sz w:val="22"/>
                <w:szCs w:val="22"/>
                <w:lang w:val="en-GB"/>
              </w:rPr>
            </w:pPr>
            <w:r>
              <w:rPr>
                <w:sz w:val="22"/>
                <w:szCs w:val="22"/>
                <w:lang w:val="en-GB"/>
              </w:rPr>
              <w:t>--</w:t>
            </w:r>
          </w:p>
        </w:tc>
      </w:tr>
      <w:tr w:rsidR="006C3FD5" w:rsidRPr="00860CD7" w14:paraId="2202F607"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trHeight w:val="1250"/>
        </w:trPr>
        <w:tc>
          <w:tcPr>
            <w:tcW w:w="1505" w:type="pct"/>
            <w:tcBorders>
              <w:top w:val="single" w:sz="4" w:space="0" w:color="000000"/>
              <w:left w:val="single" w:sz="4" w:space="0" w:color="000000"/>
              <w:bottom w:val="single" w:sz="4" w:space="0" w:color="000000"/>
              <w:right w:val="single" w:sz="4" w:space="0" w:color="000000"/>
            </w:tcBorders>
            <w:hideMark/>
          </w:tcPr>
          <w:p w14:paraId="0AD907E8" w14:textId="77777777" w:rsidR="006C3FD5" w:rsidRPr="009C1100" w:rsidRDefault="006C3FD5" w:rsidP="006C3FD5">
            <w:pPr>
              <w:spacing w:line="276" w:lineRule="auto"/>
              <w:rPr>
                <w:b/>
                <w:bCs/>
                <w:sz w:val="22"/>
                <w:szCs w:val="22"/>
                <w:lang w:val="en-GB"/>
              </w:rPr>
            </w:pPr>
            <w:r w:rsidRPr="009C1100">
              <w:rPr>
                <w:b/>
                <w:bCs/>
                <w:sz w:val="22"/>
                <w:szCs w:val="22"/>
                <w:lang w:val="en-GB"/>
              </w:rPr>
              <w:lastRenderedPageBreak/>
              <w:t>8.4. Harmonisation of reporting</w:t>
            </w:r>
          </w:p>
          <w:p w14:paraId="4310F8DE" w14:textId="3ADB77CF" w:rsidR="006C3FD5" w:rsidRPr="009C1100" w:rsidRDefault="006C3FD5" w:rsidP="006C3FD5">
            <w:pPr>
              <w:spacing w:line="276" w:lineRule="auto"/>
              <w:rPr>
                <w:sz w:val="22"/>
                <w:szCs w:val="22"/>
                <w:lang w:val="en-GB"/>
              </w:rPr>
            </w:pPr>
            <w:r w:rsidRPr="009C1100">
              <w:rPr>
                <w:sz w:val="22"/>
                <w:szCs w:val="22"/>
                <w:lang w:val="en-GB"/>
              </w:rPr>
              <w:t>Continue to promote synchronised timing and other synergies with the reporting cycles of CMS, Ramsar, EU Birds Directive (Article 12) and others as opportunities permit, in particular with respect to reporting on the status of species/populations and contribute to the StC report to MOP8 on this matter (carried over from Work Plan 2016-2018</w:t>
            </w:r>
            <w:r>
              <w:rPr>
                <w:sz w:val="22"/>
                <w:szCs w:val="22"/>
                <w:lang w:val="en-GB"/>
              </w:rPr>
              <w:t>).</w:t>
            </w:r>
            <w:r w:rsidRPr="009C1100">
              <w:rPr>
                <w:sz w:val="22"/>
                <w:szCs w:val="22"/>
                <w:lang w:val="en-GB"/>
              </w:rPr>
              <w:t xml:space="preserve"> </w:t>
            </w:r>
            <w:r>
              <w:rPr>
                <w:sz w:val="22"/>
                <w:szCs w:val="22"/>
                <w:lang w:val="en-GB"/>
              </w:rPr>
              <w:t>(</w:t>
            </w:r>
            <w:r w:rsidRPr="009C1100">
              <w:rPr>
                <w:i/>
                <w:iCs/>
                <w:sz w:val="22"/>
                <w:szCs w:val="22"/>
                <w:lang w:val="en-GB"/>
              </w:rPr>
              <w:t>Resolution 7.1</w:t>
            </w:r>
            <w:r w:rsidRPr="009C1100">
              <w:rPr>
                <w:sz w:val="22"/>
                <w:szCs w:val="22"/>
                <w:lang w:val="en-GB"/>
              </w:rPr>
              <w:t>)</w:t>
            </w:r>
          </w:p>
          <w:p w14:paraId="7D282F37" w14:textId="77777777" w:rsidR="006C3FD5" w:rsidRPr="00860CD7" w:rsidRDefault="006C3FD5" w:rsidP="006C3FD5">
            <w:pPr>
              <w:spacing w:line="276" w:lineRule="auto"/>
              <w:rPr>
                <w:bCs/>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09A857A1" w14:textId="77777777" w:rsidR="006C3FD5" w:rsidRPr="00860CD7" w:rsidRDefault="006C3FD5" w:rsidP="006C3FD5">
            <w:pPr>
              <w:spacing w:line="276" w:lineRule="auto"/>
              <w:rPr>
                <w:sz w:val="22"/>
                <w:szCs w:val="22"/>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1A367EB4" w14:textId="77777777" w:rsidR="006C3FD5" w:rsidRPr="00CB2ABB" w:rsidRDefault="006C3FD5" w:rsidP="006C3FD5">
            <w:pPr>
              <w:spacing w:line="276" w:lineRule="auto"/>
              <w:rPr>
                <w:b/>
                <w:bCs/>
                <w:sz w:val="22"/>
                <w:szCs w:val="22"/>
                <w:lang w:val="en-GB"/>
              </w:rPr>
            </w:pPr>
            <w:r w:rsidRPr="00CB2ABB">
              <w:rPr>
                <w:b/>
                <w:bCs/>
                <w:sz w:val="22"/>
                <w:szCs w:val="22"/>
                <w:shd w:val="clear" w:color="auto" w:fill="FFFF99"/>
                <w:lang w:val="en-GB"/>
              </w:rPr>
              <w:t>Partially implemented</w:t>
            </w:r>
          </w:p>
        </w:tc>
        <w:tc>
          <w:tcPr>
            <w:tcW w:w="1629" w:type="pct"/>
            <w:tcBorders>
              <w:top w:val="single" w:sz="4" w:space="0" w:color="000000"/>
              <w:left w:val="single" w:sz="4" w:space="0" w:color="000000"/>
              <w:bottom w:val="single" w:sz="4" w:space="0" w:color="000000"/>
              <w:right w:val="single" w:sz="4" w:space="0" w:color="000000"/>
            </w:tcBorders>
          </w:tcPr>
          <w:p w14:paraId="37A7703F" w14:textId="229E81A9" w:rsidR="006C3FD5" w:rsidRDefault="006C3FD5" w:rsidP="006C3FD5">
            <w:pPr>
              <w:spacing w:line="276" w:lineRule="auto"/>
              <w:rPr>
                <w:sz w:val="22"/>
                <w:szCs w:val="22"/>
                <w:lang w:val="en-GB"/>
              </w:rPr>
            </w:pPr>
            <w:r>
              <w:rPr>
                <w:sz w:val="22"/>
                <w:szCs w:val="22"/>
                <w:lang w:val="en-GB"/>
              </w:rPr>
              <w:t>In the current triennium the T</w:t>
            </w:r>
            <w:r w:rsidR="00E45C7D">
              <w:rPr>
                <w:sz w:val="22"/>
                <w:szCs w:val="22"/>
                <w:lang w:val="en-GB"/>
              </w:rPr>
              <w:t xml:space="preserve">echnical </w:t>
            </w:r>
            <w:r>
              <w:rPr>
                <w:sz w:val="22"/>
                <w:szCs w:val="22"/>
                <w:lang w:val="en-GB"/>
              </w:rPr>
              <w:t>C</w:t>
            </w:r>
            <w:r w:rsidR="00E45C7D">
              <w:rPr>
                <w:sz w:val="22"/>
                <w:szCs w:val="22"/>
                <w:lang w:val="en-GB"/>
              </w:rPr>
              <w:t>ommittee</w:t>
            </w:r>
            <w:r>
              <w:rPr>
                <w:sz w:val="22"/>
                <w:szCs w:val="22"/>
                <w:lang w:val="en-GB"/>
              </w:rPr>
              <w:t xml:space="preserve"> advanced the harmonisation of reporting by aligning the AEWA reporting on population status with the one </w:t>
            </w:r>
            <w:r w:rsidRPr="002D5A7F">
              <w:rPr>
                <w:sz w:val="22"/>
                <w:szCs w:val="22"/>
                <w:lang w:val="en-GB"/>
              </w:rPr>
              <w:t>under Article 12 of the Birds Directive of the European Union</w:t>
            </w:r>
            <w:r>
              <w:rPr>
                <w:sz w:val="22"/>
                <w:szCs w:val="22"/>
                <w:lang w:val="en-GB"/>
              </w:rPr>
              <w:t>. This involved a close align</w:t>
            </w:r>
            <w:r w:rsidR="002E2066">
              <w:rPr>
                <w:sz w:val="22"/>
                <w:szCs w:val="22"/>
                <w:lang w:val="en-GB"/>
              </w:rPr>
              <w:t>ment of the</w:t>
            </w:r>
            <w:r>
              <w:rPr>
                <w:sz w:val="22"/>
                <w:szCs w:val="22"/>
                <w:lang w:val="en-GB"/>
              </w:rPr>
              <w:t xml:space="preserve"> reporting template and synchronisation of the reporting period and the frequency of reporting. </w:t>
            </w:r>
          </w:p>
          <w:p w14:paraId="2D89E4D9" w14:textId="77777777" w:rsidR="006C3FD5" w:rsidRDefault="006C3FD5" w:rsidP="006C3FD5">
            <w:pPr>
              <w:spacing w:line="276" w:lineRule="auto"/>
              <w:rPr>
                <w:sz w:val="22"/>
                <w:szCs w:val="22"/>
                <w:lang w:val="en-GB"/>
              </w:rPr>
            </w:pPr>
          </w:p>
          <w:p w14:paraId="1E1D2902" w14:textId="77777777" w:rsidR="006C3FD5" w:rsidRPr="00860CD7" w:rsidRDefault="006C3FD5" w:rsidP="006C3FD5">
            <w:pPr>
              <w:spacing w:line="276" w:lineRule="auto"/>
              <w:rPr>
                <w:sz w:val="22"/>
                <w:szCs w:val="22"/>
                <w:lang w:val="en-GB"/>
              </w:rPr>
            </w:pPr>
            <w:r>
              <w:rPr>
                <w:sz w:val="22"/>
                <w:szCs w:val="22"/>
                <w:lang w:val="en-GB"/>
              </w:rPr>
              <w:t xml:space="preserve">This task will be carried over to the next triennium and further opportunities for harmonisation of reporting with other legal frameworks will be sought. </w:t>
            </w:r>
          </w:p>
        </w:tc>
        <w:tc>
          <w:tcPr>
            <w:tcW w:w="823" w:type="pct"/>
            <w:tcBorders>
              <w:top w:val="single" w:sz="4" w:space="0" w:color="000000"/>
              <w:left w:val="single" w:sz="4" w:space="0" w:color="000000"/>
              <w:bottom w:val="single" w:sz="4" w:space="0" w:color="000000"/>
              <w:right w:val="single" w:sz="4" w:space="0" w:color="000000"/>
            </w:tcBorders>
          </w:tcPr>
          <w:p w14:paraId="5FBAF2D6" w14:textId="3E51A8D0" w:rsidR="006C3FD5" w:rsidRPr="00462234" w:rsidRDefault="00E45C7D" w:rsidP="006C3FD5">
            <w:pPr>
              <w:spacing w:line="276" w:lineRule="auto"/>
              <w:rPr>
                <w:sz w:val="22"/>
                <w:szCs w:val="22"/>
                <w:lang w:val="en-GB"/>
              </w:rPr>
            </w:pPr>
            <w:r w:rsidRPr="00E45C7D">
              <w:rPr>
                <w:sz w:val="22"/>
                <w:szCs w:val="22"/>
              </w:rPr>
              <w:t>Doc. AEWA/MOP 9.18</w:t>
            </w:r>
          </w:p>
        </w:tc>
      </w:tr>
      <w:tr w:rsidR="006C3FD5" w:rsidRPr="00860CD7" w14:paraId="64C13B43" w14:textId="77777777" w:rsidTr="00862D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66A52ECD" w14:textId="4D5BE4A6" w:rsidR="006C3FD5" w:rsidRPr="009C1100" w:rsidRDefault="006C3FD5" w:rsidP="006C3FD5">
            <w:pPr>
              <w:spacing w:line="276" w:lineRule="auto"/>
              <w:rPr>
                <w:b/>
                <w:bCs/>
                <w:sz w:val="22"/>
                <w:szCs w:val="22"/>
                <w:lang w:val="en-GB"/>
              </w:rPr>
            </w:pPr>
            <w:r w:rsidRPr="009C1100">
              <w:rPr>
                <w:b/>
                <w:bCs/>
                <w:sz w:val="22"/>
                <w:szCs w:val="22"/>
                <w:lang w:val="en-GB"/>
              </w:rPr>
              <w:t xml:space="preserve">8.5. </w:t>
            </w:r>
            <w:r w:rsidR="00862D79" w:rsidRPr="00862D79">
              <w:rPr>
                <w:b/>
                <w:bCs/>
                <w:sz w:val="22"/>
                <w:szCs w:val="22"/>
                <w:lang w:val="en-GB"/>
              </w:rPr>
              <w:t>AEWA’s contribution to relevant global frameworks</w:t>
            </w:r>
          </w:p>
          <w:p w14:paraId="6412466F" w14:textId="1AA53E1F" w:rsidR="006C3FD5" w:rsidRPr="009C1100" w:rsidRDefault="003171D3" w:rsidP="006C3FD5">
            <w:pPr>
              <w:spacing w:line="276" w:lineRule="auto"/>
              <w:rPr>
                <w:b/>
                <w:bCs/>
                <w:sz w:val="22"/>
                <w:szCs w:val="22"/>
                <w:lang w:val="en-GB"/>
              </w:rPr>
            </w:pPr>
            <w:r w:rsidRPr="003171D3">
              <w:rPr>
                <w:sz w:val="22"/>
                <w:szCs w:val="22"/>
                <w:lang w:val="en-GB"/>
              </w:rPr>
              <w:t>Finalise document AEWA/MOP 8.36 once the Post-2020 Global Biodiversity Framework has been adopted by CBD COP15 and subsequently prepare a mid-term assessment of AEWA’s contribution for MOP10. Compile concise triennial summaries of AEWA’s contributions to the relevant global frameworks, i.e. SDGs, Strategic Plan for Migratory Species, etc, that can be used by Parties, StC and TC members, and the Secretariat to highlight at national and international levels the role of AEWA, particularly with the view of promoting the relevance of AEWA amongst development and aid agencies</w:t>
            </w:r>
            <w:r>
              <w:rPr>
                <w:sz w:val="22"/>
                <w:szCs w:val="22"/>
                <w:lang w:val="en-GB"/>
              </w:rPr>
              <w:t xml:space="preserve"> </w:t>
            </w:r>
            <w:r w:rsidRPr="003171D3">
              <w:rPr>
                <w:sz w:val="22"/>
                <w:szCs w:val="22"/>
                <w:lang w:val="en-GB"/>
              </w:rPr>
              <w:t>(</w:t>
            </w:r>
            <w:r w:rsidRPr="003171D3">
              <w:rPr>
                <w:i/>
                <w:iCs/>
                <w:sz w:val="22"/>
                <w:szCs w:val="22"/>
                <w:lang w:val="en-GB"/>
              </w:rPr>
              <w:t>carried over from Work Plan 2019-2021/2022</w:t>
            </w:r>
            <w:r w:rsidRPr="003171D3">
              <w:rPr>
                <w:sz w:val="22"/>
                <w:szCs w:val="22"/>
                <w:lang w:val="en-GB"/>
              </w:rPr>
              <w:t>)</w:t>
            </w:r>
            <w:r>
              <w:rPr>
                <w:sz w:val="22"/>
                <w:szCs w:val="22"/>
                <w:lang w:val="en-GB"/>
              </w:rPr>
              <w:t>.</w:t>
            </w:r>
            <w:r w:rsidRPr="003171D3">
              <w:rPr>
                <w:sz w:val="22"/>
                <w:szCs w:val="22"/>
                <w:lang w:val="en-GB"/>
              </w:rPr>
              <w:t xml:space="preserve"> (</w:t>
            </w:r>
            <w:r w:rsidRPr="003171D3">
              <w:rPr>
                <w:i/>
                <w:iCs/>
                <w:sz w:val="22"/>
                <w:szCs w:val="22"/>
                <w:lang w:val="en-GB"/>
              </w:rPr>
              <w:t>Strategic Plan 2019-2027; Resolution 8.9</w:t>
            </w:r>
            <w:r w:rsidRPr="003171D3">
              <w:rPr>
                <w:sz w:val="22"/>
                <w:szCs w:val="22"/>
                <w:lang w:val="en-GB"/>
              </w:rPr>
              <w:t xml:space="preserve">) </w:t>
            </w:r>
          </w:p>
          <w:p w14:paraId="2C24F6AE" w14:textId="77777777" w:rsidR="006C3FD5" w:rsidRPr="00860CD7" w:rsidRDefault="006C3FD5" w:rsidP="006C3FD5">
            <w:pPr>
              <w:spacing w:line="276" w:lineRule="auto"/>
              <w:rPr>
                <w:b/>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FF9999"/>
          </w:tcPr>
          <w:p w14:paraId="21182956" w14:textId="77777777" w:rsidR="006C3FD5" w:rsidRPr="00860CD7" w:rsidRDefault="006C3FD5" w:rsidP="006C3FD5">
            <w:pPr>
              <w:spacing w:line="276" w:lineRule="auto"/>
              <w:rPr>
                <w:sz w:val="22"/>
                <w:szCs w:val="22"/>
                <w:lang w:val="en-GB"/>
              </w:rPr>
            </w:pPr>
            <w:r w:rsidRPr="00AC70CB">
              <w:rPr>
                <w:b/>
                <w:bCs/>
                <w:sz w:val="22"/>
                <w:szCs w:val="22"/>
                <w:shd w:val="clear" w:color="auto" w:fill="FF9999"/>
              </w:rPr>
              <w:t>Essential</w:t>
            </w:r>
          </w:p>
        </w:tc>
        <w:tc>
          <w:tcPr>
            <w:tcW w:w="682" w:type="pct"/>
            <w:tcBorders>
              <w:top w:val="single" w:sz="4" w:space="0" w:color="000000"/>
              <w:left w:val="single" w:sz="4" w:space="0" w:color="000000"/>
              <w:bottom w:val="single" w:sz="4" w:space="0" w:color="000000"/>
              <w:right w:val="single" w:sz="4" w:space="0" w:color="000000"/>
            </w:tcBorders>
            <w:shd w:val="clear" w:color="auto" w:fill="FFFF99"/>
          </w:tcPr>
          <w:p w14:paraId="36F67D98" w14:textId="1314BC01" w:rsidR="006C3FD5" w:rsidRPr="0014323A" w:rsidRDefault="00862D79" w:rsidP="006C3FD5">
            <w:pPr>
              <w:spacing w:line="276" w:lineRule="auto"/>
              <w:rPr>
                <w:b/>
                <w:bCs/>
                <w:sz w:val="22"/>
                <w:szCs w:val="22"/>
                <w:lang w:val="en-GB"/>
              </w:rPr>
            </w:pPr>
            <w:r w:rsidRPr="00862D79">
              <w:rPr>
                <w:b/>
                <w:bCs/>
                <w:sz w:val="22"/>
                <w:szCs w:val="22"/>
                <w:lang w:val="en-GB"/>
              </w:rPr>
              <w:t>Partially implemented</w:t>
            </w:r>
          </w:p>
        </w:tc>
        <w:tc>
          <w:tcPr>
            <w:tcW w:w="1629" w:type="pct"/>
            <w:tcBorders>
              <w:top w:val="single" w:sz="4" w:space="0" w:color="000000"/>
              <w:left w:val="single" w:sz="4" w:space="0" w:color="000000"/>
              <w:bottom w:val="single" w:sz="4" w:space="0" w:color="000000"/>
              <w:right w:val="single" w:sz="4" w:space="0" w:color="000000"/>
            </w:tcBorders>
          </w:tcPr>
          <w:p w14:paraId="17F74AE4" w14:textId="77777777" w:rsidR="006C3FD5" w:rsidRDefault="0098650C" w:rsidP="006C3FD5">
            <w:pPr>
              <w:spacing w:line="276" w:lineRule="auto"/>
              <w:rPr>
                <w:sz w:val="22"/>
                <w:szCs w:val="22"/>
                <w:lang w:val="en-GB"/>
              </w:rPr>
            </w:pPr>
            <w:r>
              <w:rPr>
                <w:sz w:val="22"/>
                <w:szCs w:val="22"/>
                <w:lang w:val="en-GB"/>
              </w:rPr>
              <w:t>At its 18</w:t>
            </w:r>
            <w:r w:rsidRPr="0098650C">
              <w:rPr>
                <w:sz w:val="22"/>
                <w:szCs w:val="22"/>
                <w:vertAlign w:val="superscript"/>
                <w:lang w:val="en-GB"/>
              </w:rPr>
              <w:t>th</w:t>
            </w:r>
            <w:r>
              <w:rPr>
                <w:sz w:val="22"/>
                <w:szCs w:val="22"/>
                <w:lang w:val="en-GB"/>
              </w:rPr>
              <w:t xml:space="preserve"> meeting in March 2023 the Technical Committee finalised document AEWA/MOP 8.36 for submission to the Standing Committee. The StC adopted the final version of the document at its 23</w:t>
            </w:r>
            <w:r w:rsidRPr="0098650C">
              <w:rPr>
                <w:sz w:val="22"/>
                <w:szCs w:val="22"/>
                <w:vertAlign w:val="superscript"/>
                <w:lang w:val="en-GB"/>
              </w:rPr>
              <w:t>rd</w:t>
            </w:r>
            <w:r>
              <w:rPr>
                <w:sz w:val="22"/>
                <w:szCs w:val="22"/>
                <w:lang w:val="en-GB"/>
              </w:rPr>
              <w:t xml:space="preserve"> meeting in June 2023.</w:t>
            </w:r>
          </w:p>
          <w:p w14:paraId="0B006970" w14:textId="77777777" w:rsidR="0098650C" w:rsidRDefault="0098650C" w:rsidP="006C3FD5">
            <w:pPr>
              <w:spacing w:line="276" w:lineRule="auto"/>
              <w:rPr>
                <w:sz w:val="22"/>
                <w:szCs w:val="22"/>
                <w:lang w:val="en-GB"/>
              </w:rPr>
            </w:pPr>
          </w:p>
          <w:p w14:paraId="293CF049" w14:textId="08DAA0BA" w:rsidR="0098650C" w:rsidRPr="003E2B85" w:rsidRDefault="00727716" w:rsidP="006C3FD5">
            <w:pPr>
              <w:spacing w:line="276" w:lineRule="auto"/>
              <w:rPr>
                <w:sz w:val="22"/>
                <w:szCs w:val="22"/>
                <w:lang w:val="en-GB"/>
              </w:rPr>
            </w:pPr>
            <w:r>
              <w:rPr>
                <w:sz w:val="22"/>
                <w:szCs w:val="22"/>
                <w:lang w:val="en-GB"/>
              </w:rPr>
              <w:t>Due to capacity constraint, the</w:t>
            </w:r>
            <w:r>
              <w:t xml:space="preserve"> </w:t>
            </w:r>
            <w:r w:rsidRPr="00727716">
              <w:rPr>
                <w:sz w:val="22"/>
                <w:szCs w:val="22"/>
                <w:lang w:val="en-GB"/>
              </w:rPr>
              <w:t>triennial summar</w:t>
            </w:r>
            <w:r>
              <w:rPr>
                <w:sz w:val="22"/>
                <w:szCs w:val="22"/>
                <w:lang w:val="en-GB"/>
              </w:rPr>
              <w:t>y</w:t>
            </w:r>
            <w:r w:rsidRPr="00727716">
              <w:rPr>
                <w:sz w:val="22"/>
                <w:szCs w:val="22"/>
                <w:lang w:val="en-GB"/>
              </w:rPr>
              <w:t xml:space="preserve"> of AEWA’s contributions to the relevant global frameworks</w:t>
            </w:r>
            <w:r>
              <w:rPr>
                <w:sz w:val="22"/>
                <w:szCs w:val="22"/>
                <w:lang w:val="en-GB"/>
              </w:rPr>
              <w:t xml:space="preserve"> could not be compiled. </w:t>
            </w:r>
          </w:p>
        </w:tc>
        <w:tc>
          <w:tcPr>
            <w:tcW w:w="823" w:type="pct"/>
            <w:tcBorders>
              <w:top w:val="single" w:sz="4" w:space="0" w:color="000000"/>
              <w:left w:val="single" w:sz="4" w:space="0" w:color="000000"/>
              <w:bottom w:val="single" w:sz="4" w:space="0" w:color="000000"/>
              <w:right w:val="single" w:sz="4" w:space="0" w:color="000000"/>
            </w:tcBorders>
          </w:tcPr>
          <w:p w14:paraId="21DADF9C" w14:textId="2D857064" w:rsidR="006C3FD5" w:rsidRPr="00860CD7" w:rsidRDefault="00862D79" w:rsidP="006C3FD5">
            <w:pPr>
              <w:spacing w:line="276" w:lineRule="auto"/>
              <w:rPr>
                <w:sz w:val="22"/>
                <w:szCs w:val="22"/>
                <w:lang w:val="en-GB"/>
              </w:rPr>
            </w:pPr>
            <w:r>
              <w:rPr>
                <w:sz w:val="22"/>
                <w:szCs w:val="22"/>
                <w:lang w:val="en-GB"/>
              </w:rPr>
              <w:t>--</w:t>
            </w:r>
          </w:p>
        </w:tc>
      </w:tr>
      <w:tr w:rsidR="006C3FD5" w:rsidRPr="00860CD7" w14:paraId="6ED8D92B"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640B6024" w14:textId="77777777" w:rsidR="006C3FD5" w:rsidRPr="009C1100" w:rsidRDefault="006C3FD5" w:rsidP="006C3FD5">
            <w:pPr>
              <w:spacing w:line="276" w:lineRule="auto"/>
              <w:rPr>
                <w:b/>
                <w:sz w:val="22"/>
                <w:szCs w:val="22"/>
                <w:lang w:val="en-GB"/>
              </w:rPr>
            </w:pPr>
            <w:r w:rsidRPr="009C1100">
              <w:rPr>
                <w:b/>
                <w:sz w:val="22"/>
                <w:szCs w:val="22"/>
                <w:lang w:val="en-GB"/>
              </w:rPr>
              <w:lastRenderedPageBreak/>
              <w:t>8.6. Emerging diseases</w:t>
            </w:r>
          </w:p>
          <w:p w14:paraId="23742703" w14:textId="77777777" w:rsidR="006C3FD5" w:rsidRPr="009C1100" w:rsidRDefault="006C3FD5" w:rsidP="006C3FD5">
            <w:pPr>
              <w:spacing w:line="276" w:lineRule="auto"/>
              <w:rPr>
                <w:bCs/>
                <w:sz w:val="22"/>
                <w:szCs w:val="22"/>
                <w:lang w:val="en-GB"/>
              </w:rPr>
            </w:pPr>
            <w:r w:rsidRPr="009C1100">
              <w:rPr>
                <w:bCs/>
                <w:sz w:val="22"/>
                <w:szCs w:val="22"/>
                <w:lang w:val="en-GB"/>
              </w:rPr>
              <w:t xml:space="preserve">Continue to participate in the CMS Scientific Council Working Group on </w:t>
            </w:r>
            <w:r>
              <w:rPr>
                <w:bCs/>
                <w:sz w:val="22"/>
                <w:szCs w:val="22"/>
                <w:lang w:val="en-GB"/>
              </w:rPr>
              <w:t>W</w:t>
            </w:r>
            <w:r w:rsidRPr="009C1100">
              <w:rPr>
                <w:bCs/>
                <w:sz w:val="22"/>
                <w:szCs w:val="22"/>
                <w:lang w:val="en-GB"/>
              </w:rPr>
              <w:t xml:space="preserve">ildlife </w:t>
            </w:r>
            <w:r>
              <w:rPr>
                <w:bCs/>
                <w:sz w:val="22"/>
                <w:szCs w:val="22"/>
                <w:lang w:val="en-GB"/>
              </w:rPr>
              <w:t>D</w:t>
            </w:r>
            <w:r w:rsidRPr="009C1100">
              <w:rPr>
                <w:bCs/>
                <w:sz w:val="22"/>
                <w:szCs w:val="22"/>
                <w:lang w:val="en-GB"/>
              </w:rPr>
              <w:t>iseases (</w:t>
            </w:r>
            <w:r w:rsidRPr="00EE33FB">
              <w:rPr>
                <w:bCs/>
                <w:i/>
                <w:iCs/>
                <w:sz w:val="22"/>
                <w:szCs w:val="22"/>
                <w:lang w:val="en-GB"/>
              </w:rPr>
              <w:t>carried over from Work Plan 2016-2018</w:t>
            </w:r>
            <w:r w:rsidRPr="009C1100">
              <w:rPr>
                <w:bCs/>
                <w:sz w:val="22"/>
                <w:szCs w:val="22"/>
                <w:lang w:val="en-GB"/>
              </w:rPr>
              <w:t>).</w:t>
            </w:r>
          </w:p>
          <w:p w14:paraId="3A096114" w14:textId="77777777" w:rsidR="006C3FD5" w:rsidRPr="009C1100" w:rsidRDefault="006C3FD5" w:rsidP="006C3FD5">
            <w:pPr>
              <w:spacing w:line="276" w:lineRule="auto"/>
              <w:rPr>
                <w:b/>
                <w:sz w:val="22"/>
                <w:szCs w:val="22"/>
                <w:lang w:val="en-GB"/>
              </w:rPr>
            </w:pPr>
          </w:p>
          <w:p w14:paraId="14DDFE95" w14:textId="77777777" w:rsidR="006C3FD5" w:rsidRPr="00860CD7" w:rsidRDefault="006C3FD5" w:rsidP="006C3FD5">
            <w:pPr>
              <w:spacing w:line="276" w:lineRule="auto"/>
              <w:rPr>
                <w:b/>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tcPr>
          <w:p w14:paraId="237C4417" w14:textId="1FBFACF7" w:rsidR="006C3FD5" w:rsidRPr="00931E7E" w:rsidRDefault="006C3FD5" w:rsidP="006C3FD5">
            <w:pPr>
              <w:spacing w:line="276" w:lineRule="auto"/>
              <w:rPr>
                <w:sz w:val="22"/>
                <w:szCs w:val="22"/>
                <w:lang w:val="en-GB"/>
              </w:rPr>
            </w:pPr>
            <w:r w:rsidRPr="00931E7E">
              <w:rPr>
                <w:b/>
                <w:bCs/>
                <w:sz w:val="22"/>
                <w:szCs w:val="22"/>
                <w:lang w:val="en-GB" w:eastAsia="nl-NL"/>
              </w:rPr>
              <w:t xml:space="preserve">No (immediate) action required </w:t>
            </w:r>
          </w:p>
        </w:tc>
        <w:tc>
          <w:tcPr>
            <w:tcW w:w="682" w:type="pct"/>
            <w:tcBorders>
              <w:top w:val="single" w:sz="4" w:space="0" w:color="000000"/>
              <w:left w:val="single" w:sz="4" w:space="0" w:color="000000"/>
              <w:bottom w:val="single" w:sz="4" w:space="0" w:color="000000"/>
              <w:right w:val="single" w:sz="4" w:space="0" w:color="000000"/>
            </w:tcBorders>
          </w:tcPr>
          <w:p w14:paraId="714CF567" w14:textId="77777777" w:rsidR="006C3FD5" w:rsidRPr="00931E7E" w:rsidRDefault="006C3FD5" w:rsidP="006C3FD5">
            <w:pPr>
              <w:spacing w:line="276" w:lineRule="auto"/>
              <w:rPr>
                <w:sz w:val="22"/>
                <w:szCs w:val="22"/>
                <w:lang w:val="en-GB"/>
              </w:rPr>
            </w:pPr>
            <w:r w:rsidRPr="00931E7E">
              <w:rPr>
                <w:b/>
                <w:bCs/>
                <w:sz w:val="22"/>
                <w:szCs w:val="22"/>
                <w:lang w:val="en-GB"/>
              </w:rPr>
              <w:t>N/A</w:t>
            </w:r>
          </w:p>
        </w:tc>
        <w:tc>
          <w:tcPr>
            <w:tcW w:w="1629" w:type="pct"/>
            <w:tcBorders>
              <w:top w:val="single" w:sz="4" w:space="0" w:color="000000"/>
              <w:left w:val="single" w:sz="4" w:space="0" w:color="000000"/>
              <w:bottom w:val="single" w:sz="4" w:space="0" w:color="000000"/>
              <w:right w:val="single" w:sz="4" w:space="0" w:color="000000"/>
            </w:tcBorders>
          </w:tcPr>
          <w:p w14:paraId="73306258" w14:textId="4D4E30EB" w:rsidR="006C3FD5" w:rsidRDefault="00EE33FB" w:rsidP="006C3FD5">
            <w:pPr>
              <w:spacing w:line="276" w:lineRule="auto"/>
              <w:rPr>
                <w:sz w:val="22"/>
                <w:szCs w:val="22"/>
                <w:lang w:val="en-GB"/>
              </w:rPr>
            </w:pPr>
            <w:r w:rsidRPr="00EE33FB">
              <w:rPr>
                <w:sz w:val="22"/>
                <w:szCs w:val="22"/>
                <w:lang w:val="en-GB"/>
              </w:rPr>
              <w:t xml:space="preserve">Zurab Javakhishvili (regional representative of Eastern Europe) and Ruth Cromie (invited expert) were </w:t>
            </w:r>
            <w:r>
              <w:rPr>
                <w:sz w:val="22"/>
                <w:szCs w:val="22"/>
                <w:lang w:val="en-GB"/>
              </w:rPr>
              <w:t xml:space="preserve">assigned to </w:t>
            </w:r>
            <w:r w:rsidRPr="00EE33FB">
              <w:rPr>
                <w:sz w:val="22"/>
                <w:szCs w:val="22"/>
                <w:lang w:val="en-GB"/>
              </w:rPr>
              <w:t>represent the Technical Committee in CMS Scientific Council Working Group on Wildlife Diseases.</w:t>
            </w:r>
          </w:p>
          <w:p w14:paraId="1E80C68F" w14:textId="77777777" w:rsidR="00EE33FB" w:rsidRDefault="00EE33FB" w:rsidP="006C3FD5">
            <w:pPr>
              <w:spacing w:line="276" w:lineRule="auto"/>
              <w:rPr>
                <w:sz w:val="22"/>
                <w:szCs w:val="22"/>
                <w:lang w:val="en-GB"/>
              </w:rPr>
            </w:pPr>
          </w:p>
          <w:p w14:paraId="5B23EF1E" w14:textId="607161F8" w:rsidR="00EE33FB" w:rsidRPr="00931E7E" w:rsidRDefault="00EE33FB" w:rsidP="006C3FD5">
            <w:pPr>
              <w:spacing w:line="276" w:lineRule="auto"/>
              <w:rPr>
                <w:sz w:val="22"/>
                <w:szCs w:val="22"/>
                <w:lang w:val="en-GB"/>
              </w:rPr>
            </w:pPr>
            <w:r>
              <w:rPr>
                <w:sz w:val="22"/>
                <w:szCs w:val="22"/>
                <w:lang w:val="en-GB"/>
              </w:rPr>
              <w:t>Ruth Cromie compiled a</w:t>
            </w:r>
            <w:r>
              <w:t xml:space="preserve"> </w:t>
            </w:r>
            <w:r w:rsidRPr="00EE33FB">
              <w:rPr>
                <w:sz w:val="22"/>
                <w:szCs w:val="22"/>
                <w:lang w:val="en-GB"/>
              </w:rPr>
              <w:t xml:space="preserve">note to </w:t>
            </w:r>
            <w:r>
              <w:rPr>
                <w:sz w:val="22"/>
                <w:szCs w:val="22"/>
                <w:lang w:val="en-GB"/>
              </w:rPr>
              <w:t xml:space="preserve">the </w:t>
            </w:r>
            <w:r w:rsidRPr="00EE33FB">
              <w:rPr>
                <w:sz w:val="22"/>
                <w:szCs w:val="22"/>
                <w:lang w:val="en-GB"/>
              </w:rPr>
              <w:t>AEWA C</w:t>
            </w:r>
            <w:r>
              <w:rPr>
                <w:sz w:val="22"/>
                <w:szCs w:val="22"/>
                <w:lang w:val="en-GB"/>
              </w:rPr>
              <w:t xml:space="preserve">ontracting </w:t>
            </w:r>
            <w:r w:rsidRPr="00EE33FB">
              <w:rPr>
                <w:sz w:val="22"/>
                <w:szCs w:val="22"/>
                <w:lang w:val="en-GB"/>
              </w:rPr>
              <w:t>P</w:t>
            </w:r>
            <w:r>
              <w:rPr>
                <w:sz w:val="22"/>
                <w:szCs w:val="22"/>
                <w:lang w:val="en-GB"/>
              </w:rPr>
              <w:t>arties</w:t>
            </w:r>
            <w:r w:rsidRPr="00EE33FB">
              <w:rPr>
                <w:sz w:val="22"/>
                <w:szCs w:val="22"/>
                <w:lang w:val="en-GB"/>
              </w:rPr>
              <w:t xml:space="preserve"> on H</w:t>
            </w:r>
            <w:r>
              <w:rPr>
                <w:sz w:val="22"/>
                <w:szCs w:val="22"/>
                <w:lang w:val="en-GB"/>
              </w:rPr>
              <w:t xml:space="preserve">ighly </w:t>
            </w:r>
            <w:r w:rsidRPr="00EE33FB">
              <w:rPr>
                <w:sz w:val="22"/>
                <w:szCs w:val="22"/>
                <w:lang w:val="en-GB"/>
              </w:rPr>
              <w:t>P</w:t>
            </w:r>
            <w:r>
              <w:rPr>
                <w:sz w:val="22"/>
                <w:szCs w:val="22"/>
                <w:lang w:val="en-GB"/>
              </w:rPr>
              <w:t xml:space="preserve">athogenic </w:t>
            </w:r>
            <w:r w:rsidRPr="00EE33FB">
              <w:rPr>
                <w:sz w:val="22"/>
                <w:szCs w:val="22"/>
                <w:lang w:val="en-GB"/>
              </w:rPr>
              <w:t>A</w:t>
            </w:r>
            <w:r>
              <w:rPr>
                <w:sz w:val="22"/>
                <w:szCs w:val="22"/>
                <w:lang w:val="en-GB"/>
              </w:rPr>
              <w:t xml:space="preserve">vian </w:t>
            </w:r>
            <w:r w:rsidRPr="00EE33FB">
              <w:rPr>
                <w:sz w:val="22"/>
                <w:szCs w:val="22"/>
                <w:lang w:val="en-GB"/>
              </w:rPr>
              <w:t>I</w:t>
            </w:r>
            <w:r>
              <w:rPr>
                <w:sz w:val="22"/>
                <w:szCs w:val="22"/>
                <w:lang w:val="en-GB"/>
              </w:rPr>
              <w:t>nfluenza</w:t>
            </w:r>
            <w:r w:rsidRPr="00EE33FB">
              <w:rPr>
                <w:sz w:val="22"/>
                <w:szCs w:val="22"/>
                <w:lang w:val="en-GB"/>
              </w:rPr>
              <w:t xml:space="preserve"> and other outcomes on wildlife health coming out of CMS COP14</w:t>
            </w:r>
            <w:r w:rsidR="00A64FCC">
              <w:rPr>
                <w:sz w:val="22"/>
                <w:szCs w:val="22"/>
                <w:lang w:val="en-GB"/>
              </w:rPr>
              <w:t>, which the Secretariat disseminated to the Parties.</w:t>
            </w:r>
          </w:p>
        </w:tc>
        <w:tc>
          <w:tcPr>
            <w:tcW w:w="823" w:type="pct"/>
            <w:tcBorders>
              <w:top w:val="single" w:sz="4" w:space="0" w:color="000000"/>
              <w:left w:val="single" w:sz="4" w:space="0" w:color="000000"/>
              <w:bottom w:val="single" w:sz="4" w:space="0" w:color="000000"/>
              <w:right w:val="single" w:sz="4" w:space="0" w:color="000000"/>
            </w:tcBorders>
          </w:tcPr>
          <w:p w14:paraId="0C99442B" w14:textId="1D879FB5" w:rsidR="006C3FD5" w:rsidRPr="00F5387A" w:rsidRDefault="00EE33FB" w:rsidP="006C3FD5">
            <w:pPr>
              <w:spacing w:line="276" w:lineRule="auto"/>
              <w:rPr>
                <w:sz w:val="22"/>
                <w:szCs w:val="22"/>
                <w:lang w:val="en-GB"/>
              </w:rPr>
            </w:pPr>
            <w:r>
              <w:rPr>
                <w:sz w:val="22"/>
                <w:szCs w:val="22"/>
                <w:lang w:val="en-GB"/>
              </w:rPr>
              <w:t>--</w:t>
            </w:r>
          </w:p>
        </w:tc>
      </w:tr>
      <w:tr w:rsidR="006C3FD5" w:rsidRPr="00860CD7" w14:paraId="7BB8B016" w14:textId="77777777" w:rsidTr="008E1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c>
          <w:tcPr>
            <w:tcW w:w="1505" w:type="pct"/>
            <w:tcBorders>
              <w:top w:val="single" w:sz="4" w:space="0" w:color="000000"/>
              <w:left w:val="single" w:sz="4" w:space="0" w:color="000000"/>
              <w:bottom w:val="single" w:sz="4" w:space="0" w:color="000000"/>
              <w:right w:val="single" w:sz="4" w:space="0" w:color="000000"/>
            </w:tcBorders>
            <w:hideMark/>
          </w:tcPr>
          <w:p w14:paraId="101045A1" w14:textId="77777777" w:rsidR="006C3FD5" w:rsidRPr="009C1100" w:rsidRDefault="006C3FD5" w:rsidP="006C3FD5">
            <w:pPr>
              <w:spacing w:line="276" w:lineRule="auto"/>
              <w:rPr>
                <w:b/>
                <w:bCs/>
                <w:sz w:val="22"/>
                <w:szCs w:val="22"/>
                <w:lang w:val="en-GB"/>
              </w:rPr>
            </w:pPr>
            <w:r w:rsidRPr="009C1100">
              <w:rPr>
                <w:b/>
                <w:bCs/>
                <w:sz w:val="22"/>
                <w:szCs w:val="22"/>
                <w:lang w:val="en-GB"/>
              </w:rPr>
              <w:t>8.7. Implementation</w:t>
            </w:r>
          </w:p>
          <w:p w14:paraId="5B4BE078" w14:textId="77777777" w:rsidR="006C3FD5" w:rsidRPr="009C1100" w:rsidRDefault="006C3FD5" w:rsidP="006C3FD5">
            <w:pPr>
              <w:spacing w:line="276" w:lineRule="auto"/>
              <w:rPr>
                <w:sz w:val="22"/>
                <w:szCs w:val="22"/>
                <w:lang w:val="en-GB"/>
              </w:rPr>
            </w:pPr>
            <w:r w:rsidRPr="009C1100">
              <w:rPr>
                <w:sz w:val="22"/>
                <w:szCs w:val="22"/>
                <w:lang w:val="en-GB"/>
              </w:rPr>
              <w:t>On request, assist Parties with implementation of the Agreement including review of possible Implementation Review Process (IRP) cases and possible participation in IRP missions, as well as other advisory services, as needed (</w:t>
            </w:r>
            <w:r w:rsidRPr="00E70A88">
              <w:rPr>
                <w:i/>
                <w:iCs/>
                <w:sz w:val="22"/>
                <w:szCs w:val="22"/>
                <w:lang w:val="en-GB"/>
              </w:rPr>
              <w:t>carried over from Work Plan 2016-2018</w:t>
            </w:r>
            <w:r w:rsidRPr="009C1100">
              <w:rPr>
                <w:sz w:val="22"/>
                <w:szCs w:val="22"/>
                <w:lang w:val="en-GB"/>
              </w:rPr>
              <w:t>). (</w:t>
            </w:r>
            <w:r w:rsidRPr="009C1100">
              <w:rPr>
                <w:i/>
                <w:iCs/>
                <w:sz w:val="22"/>
                <w:szCs w:val="22"/>
                <w:lang w:val="en-GB"/>
              </w:rPr>
              <w:t xml:space="preserve">Strategic Plan 2019-2027; </w:t>
            </w:r>
            <w:r w:rsidRPr="00107C91">
              <w:rPr>
                <w:i/>
                <w:iCs/>
                <w:sz w:val="22"/>
                <w:szCs w:val="22"/>
                <w:lang w:val="en-GB"/>
              </w:rPr>
              <w:t>CMS Flyways Programme of Work, Resolution 12.11, Annex 1</w:t>
            </w:r>
            <w:r w:rsidRPr="009C1100">
              <w:rPr>
                <w:sz w:val="22"/>
                <w:szCs w:val="22"/>
                <w:lang w:val="en-GB"/>
              </w:rPr>
              <w:t xml:space="preserve">) </w:t>
            </w:r>
          </w:p>
          <w:p w14:paraId="08EF312A" w14:textId="77777777" w:rsidR="006C3FD5" w:rsidRPr="009C1100" w:rsidRDefault="006C3FD5" w:rsidP="006C3FD5">
            <w:pPr>
              <w:spacing w:line="276" w:lineRule="auto"/>
              <w:rPr>
                <w:b/>
                <w:bCs/>
                <w:sz w:val="22"/>
                <w:szCs w:val="22"/>
                <w:lang w:val="en-GB"/>
              </w:rPr>
            </w:pPr>
          </w:p>
          <w:p w14:paraId="5B3DDC5E" w14:textId="77777777" w:rsidR="006C3FD5" w:rsidRPr="00860CD7" w:rsidRDefault="006C3FD5" w:rsidP="006C3FD5">
            <w:pPr>
              <w:spacing w:line="276" w:lineRule="auto"/>
              <w:rPr>
                <w:bCs/>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FFC000"/>
          </w:tcPr>
          <w:p w14:paraId="6F3BE041" w14:textId="77777777" w:rsidR="006C3FD5" w:rsidRPr="00860CD7" w:rsidRDefault="006C3FD5" w:rsidP="006C3FD5">
            <w:pPr>
              <w:spacing w:line="276" w:lineRule="auto"/>
              <w:rPr>
                <w:sz w:val="22"/>
                <w:szCs w:val="22"/>
                <w:lang w:val="en-GB"/>
              </w:rPr>
            </w:pPr>
            <w:r w:rsidRPr="00AC70CB">
              <w:rPr>
                <w:b/>
                <w:bCs/>
                <w:sz w:val="22"/>
                <w:szCs w:val="22"/>
                <w:shd w:val="clear" w:color="auto" w:fill="FFC000"/>
                <w:lang w:val="en-GB"/>
              </w:rPr>
              <w:t>High</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Pr>
          <w:p w14:paraId="67172335" w14:textId="77777777" w:rsidR="006C3FD5" w:rsidRPr="004F060C" w:rsidRDefault="006C3FD5" w:rsidP="006C3FD5">
            <w:pPr>
              <w:spacing w:line="276" w:lineRule="auto"/>
              <w:ind w:left="352" w:hanging="352"/>
              <w:rPr>
                <w:sz w:val="22"/>
                <w:szCs w:val="22"/>
                <w:highlight w:val="yellow"/>
                <w:lang w:val="en-GB"/>
              </w:rPr>
            </w:pPr>
            <w:r w:rsidRPr="00092BFA">
              <w:rPr>
                <w:b/>
                <w:bCs/>
                <w:sz w:val="22"/>
                <w:szCs w:val="22"/>
                <w:shd w:val="clear" w:color="auto" w:fill="92D050"/>
                <w:lang w:val="en-GB"/>
              </w:rPr>
              <w:t>Fully implemented</w:t>
            </w:r>
          </w:p>
          <w:p w14:paraId="7DAEA35C" w14:textId="77777777" w:rsidR="006C3FD5" w:rsidRPr="00860CD7" w:rsidRDefault="006C3FD5" w:rsidP="006C3FD5">
            <w:pPr>
              <w:spacing w:line="276" w:lineRule="auto"/>
              <w:rPr>
                <w:sz w:val="22"/>
                <w:szCs w:val="22"/>
                <w:lang w:val="en-GB"/>
              </w:rPr>
            </w:pPr>
          </w:p>
        </w:tc>
        <w:tc>
          <w:tcPr>
            <w:tcW w:w="1629" w:type="pct"/>
            <w:tcBorders>
              <w:top w:val="single" w:sz="4" w:space="0" w:color="000000"/>
              <w:left w:val="single" w:sz="4" w:space="0" w:color="000000"/>
              <w:bottom w:val="single" w:sz="4" w:space="0" w:color="000000"/>
              <w:right w:val="single" w:sz="4" w:space="0" w:color="000000"/>
            </w:tcBorders>
          </w:tcPr>
          <w:p w14:paraId="2FBDEAF9" w14:textId="4D0CD21A" w:rsidR="006C3FD5" w:rsidRDefault="006C3FD5" w:rsidP="006C3FD5">
            <w:pPr>
              <w:spacing w:line="276" w:lineRule="auto"/>
              <w:rPr>
                <w:sz w:val="22"/>
                <w:szCs w:val="22"/>
                <w:lang w:val="en-GB"/>
              </w:rPr>
            </w:pPr>
            <w:r>
              <w:rPr>
                <w:sz w:val="22"/>
                <w:szCs w:val="22"/>
                <w:lang w:val="en-GB"/>
              </w:rPr>
              <w:t>In this triennium the T</w:t>
            </w:r>
            <w:r w:rsidR="00E70A88">
              <w:rPr>
                <w:sz w:val="22"/>
                <w:szCs w:val="22"/>
                <w:lang w:val="en-GB"/>
              </w:rPr>
              <w:t xml:space="preserve">echnical </w:t>
            </w:r>
            <w:r>
              <w:rPr>
                <w:sz w:val="22"/>
                <w:szCs w:val="22"/>
                <w:lang w:val="en-GB"/>
              </w:rPr>
              <w:t>C</w:t>
            </w:r>
            <w:r w:rsidR="00E70A88">
              <w:rPr>
                <w:sz w:val="22"/>
                <w:szCs w:val="22"/>
                <w:lang w:val="en-GB"/>
              </w:rPr>
              <w:t>ommittee</w:t>
            </w:r>
            <w:r>
              <w:rPr>
                <w:sz w:val="22"/>
                <w:szCs w:val="22"/>
                <w:lang w:val="en-GB"/>
              </w:rPr>
              <w:t xml:space="preserve"> reviewed </w:t>
            </w:r>
            <w:r w:rsidR="00E70A88">
              <w:rPr>
                <w:sz w:val="22"/>
                <w:szCs w:val="22"/>
                <w:lang w:val="en-GB"/>
              </w:rPr>
              <w:t xml:space="preserve">a </w:t>
            </w:r>
            <w:r>
              <w:rPr>
                <w:sz w:val="22"/>
                <w:szCs w:val="22"/>
                <w:lang w:val="en-GB"/>
              </w:rPr>
              <w:t xml:space="preserve">submission for </w:t>
            </w:r>
            <w:r w:rsidR="00E70A88">
              <w:rPr>
                <w:sz w:val="22"/>
                <w:szCs w:val="22"/>
                <w:lang w:val="en-GB"/>
              </w:rPr>
              <w:t xml:space="preserve">one </w:t>
            </w:r>
            <w:r>
              <w:rPr>
                <w:sz w:val="22"/>
                <w:szCs w:val="22"/>
                <w:lang w:val="en-GB"/>
              </w:rPr>
              <w:t xml:space="preserve">potential IRP case file and provided advice to the Standing Committee. </w:t>
            </w:r>
          </w:p>
          <w:p w14:paraId="23EC1153" w14:textId="77777777" w:rsidR="006C3FD5" w:rsidRDefault="006C3FD5" w:rsidP="006C3FD5">
            <w:pPr>
              <w:spacing w:line="276" w:lineRule="auto"/>
              <w:rPr>
                <w:sz w:val="22"/>
                <w:szCs w:val="22"/>
                <w:lang w:val="en-GB"/>
              </w:rPr>
            </w:pPr>
          </w:p>
          <w:p w14:paraId="32615FD7" w14:textId="77777777" w:rsidR="006C3FD5" w:rsidRPr="00860CD7" w:rsidRDefault="006C3FD5" w:rsidP="006C3FD5">
            <w:pPr>
              <w:spacing w:line="276" w:lineRule="auto"/>
              <w:rPr>
                <w:sz w:val="22"/>
                <w:szCs w:val="22"/>
                <w:lang w:val="en-GB"/>
              </w:rPr>
            </w:pPr>
            <w:r>
              <w:rPr>
                <w:sz w:val="22"/>
                <w:szCs w:val="22"/>
                <w:lang w:val="en-GB"/>
              </w:rPr>
              <w:t xml:space="preserve">No other requests for advice have been received. </w:t>
            </w:r>
          </w:p>
        </w:tc>
        <w:tc>
          <w:tcPr>
            <w:tcW w:w="823" w:type="pct"/>
            <w:tcBorders>
              <w:top w:val="single" w:sz="4" w:space="0" w:color="000000"/>
              <w:left w:val="single" w:sz="4" w:space="0" w:color="000000"/>
              <w:bottom w:val="single" w:sz="4" w:space="0" w:color="000000"/>
              <w:right w:val="single" w:sz="4" w:space="0" w:color="000000"/>
            </w:tcBorders>
          </w:tcPr>
          <w:p w14:paraId="5CA687E8" w14:textId="1EC38EA3" w:rsidR="006C3FD5" w:rsidRPr="00860CD7" w:rsidRDefault="00E70A88" w:rsidP="006C3FD5">
            <w:pPr>
              <w:spacing w:line="276" w:lineRule="auto"/>
              <w:rPr>
                <w:sz w:val="22"/>
                <w:szCs w:val="22"/>
                <w:lang w:val="en-GB"/>
              </w:rPr>
            </w:pPr>
            <w:r>
              <w:rPr>
                <w:sz w:val="22"/>
                <w:szCs w:val="22"/>
                <w:lang w:val="en-GB"/>
              </w:rPr>
              <w:t>--</w:t>
            </w:r>
          </w:p>
        </w:tc>
      </w:tr>
      <w:tr w:rsidR="006C3FD5" w:rsidRPr="00860CD7" w14:paraId="019322FE" w14:textId="77777777" w:rsidTr="00E70A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PrEx>
        <w:trPr>
          <w:cantSplit/>
        </w:trPr>
        <w:tc>
          <w:tcPr>
            <w:tcW w:w="1505" w:type="pct"/>
            <w:tcBorders>
              <w:top w:val="single" w:sz="4" w:space="0" w:color="000000"/>
              <w:left w:val="single" w:sz="4" w:space="0" w:color="000000"/>
              <w:bottom w:val="single" w:sz="4" w:space="0" w:color="000000"/>
              <w:right w:val="single" w:sz="4" w:space="0" w:color="000000"/>
            </w:tcBorders>
            <w:hideMark/>
          </w:tcPr>
          <w:p w14:paraId="77482FE7" w14:textId="495B83BD" w:rsidR="006C3FD5" w:rsidRPr="009C1100" w:rsidRDefault="006C3FD5" w:rsidP="006C3FD5">
            <w:pPr>
              <w:spacing w:line="276" w:lineRule="auto"/>
              <w:rPr>
                <w:b/>
                <w:bCs/>
                <w:sz w:val="22"/>
                <w:szCs w:val="22"/>
                <w:lang w:val="en-GB"/>
              </w:rPr>
            </w:pPr>
            <w:r w:rsidRPr="009C1100">
              <w:rPr>
                <w:b/>
                <w:bCs/>
                <w:sz w:val="22"/>
                <w:szCs w:val="22"/>
                <w:lang w:val="en-GB"/>
              </w:rPr>
              <w:t xml:space="preserve">8.8. </w:t>
            </w:r>
            <w:r w:rsidR="00E70A88">
              <w:t xml:space="preserve"> </w:t>
            </w:r>
            <w:r w:rsidR="00E70A88" w:rsidRPr="00E70A88">
              <w:rPr>
                <w:b/>
                <w:bCs/>
                <w:sz w:val="22"/>
                <w:szCs w:val="22"/>
                <w:lang w:val="en-GB"/>
              </w:rPr>
              <w:t>Other international guidance relevant to AEWA</w:t>
            </w:r>
          </w:p>
          <w:p w14:paraId="572F0286" w14:textId="77777777" w:rsidR="00E70A88" w:rsidRPr="00E70A88" w:rsidRDefault="00E70A88" w:rsidP="00E70A88">
            <w:pPr>
              <w:spacing w:line="276" w:lineRule="auto"/>
              <w:rPr>
                <w:sz w:val="22"/>
                <w:szCs w:val="22"/>
                <w:lang w:val="en-GB"/>
              </w:rPr>
            </w:pPr>
            <w:r w:rsidRPr="00E70A88">
              <w:rPr>
                <w:sz w:val="22"/>
                <w:szCs w:val="22"/>
                <w:lang w:val="en-GB"/>
              </w:rPr>
              <w:t>Review, contribute to (as appropriate) and disseminate to Parties and others, relevant guidance from other multilateral fora on the following issues:</w:t>
            </w:r>
          </w:p>
          <w:p w14:paraId="4180C1EB" w14:textId="62C3E81E" w:rsidR="00E70A88" w:rsidRPr="00E70A88" w:rsidRDefault="00E70A88" w:rsidP="00E70A88">
            <w:pPr>
              <w:spacing w:line="276" w:lineRule="auto"/>
              <w:rPr>
                <w:sz w:val="22"/>
                <w:szCs w:val="22"/>
                <w:lang w:val="en-GB"/>
              </w:rPr>
            </w:pPr>
            <w:r w:rsidRPr="00E70A88">
              <w:rPr>
                <w:sz w:val="22"/>
                <w:szCs w:val="22"/>
                <w:lang w:val="en-GB"/>
              </w:rPr>
              <w:t>-Spatial planning;</w:t>
            </w:r>
          </w:p>
          <w:p w14:paraId="039C3C27" w14:textId="10ACAF6D" w:rsidR="00E70A88" w:rsidRPr="00E70A88" w:rsidRDefault="00E70A88" w:rsidP="00E70A88">
            <w:pPr>
              <w:spacing w:line="276" w:lineRule="auto"/>
              <w:rPr>
                <w:sz w:val="22"/>
                <w:szCs w:val="22"/>
                <w:lang w:val="en-GB"/>
              </w:rPr>
            </w:pPr>
            <w:r w:rsidRPr="00E70A88">
              <w:rPr>
                <w:sz w:val="22"/>
                <w:szCs w:val="22"/>
                <w:lang w:val="en-GB"/>
              </w:rPr>
              <w:t>-Habitat restoration;</w:t>
            </w:r>
          </w:p>
          <w:p w14:paraId="1BBC473D" w14:textId="4BD2AAFC" w:rsidR="00E70A88" w:rsidRPr="00E70A88" w:rsidRDefault="00E70A88" w:rsidP="00E70A88">
            <w:pPr>
              <w:spacing w:line="276" w:lineRule="auto"/>
              <w:rPr>
                <w:sz w:val="22"/>
                <w:szCs w:val="22"/>
                <w:lang w:val="en-GB"/>
              </w:rPr>
            </w:pPr>
            <w:r w:rsidRPr="00E70A88">
              <w:rPr>
                <w:sz w:val="22"/>
                <w:szCs w:val="22"/>
                <w:lang w:val="en-GB"/>
              </w:rPr>
              <w:lastRenderedPageBreak/>
              <w:t>-Addressing air- and water-borne nutrient pollution;</w:t>
            </w:r>
          </w:p>
          <w:p w14:paraId="2105A2F0" w14:textId="6BF65CD6" w:rsidR="00E70A88" w:rsidRPr="00E70A88" w:rsidRDefault="00E70A88" w:rsidP="00E70A88">
            <w:pPr>
              <w:spacing w:line="276" w:lineRule="auto"/>
              <w:rPr>
                <w:sz w:val="22"/>
                <w:szCs w:val="22"/>
                <w:lang w:val="en-GB"/>
              </w:rPr>
            </w:pPr>
            <w:r w:rsidRPr="00E70A88">
              <w:rPr>
                <w:sz w:val="22"/>
                <w:szCs w:val="22"/>
                <w:lang w:val="en-GB"/>
              </w:rPr>
              <w:t>-Agricultural sustainability;</w:t>
            </w:r>
          </w:p>
          <w:p w14:paraId="7048985E" w14:textId="65546F08" w:rsidR="00E70A88" w:rsidRPr="00E70A88" w:rsidRDefault="00E70A88" w:rsidP="00E70A88">
            <w:pPr>
              <w:spacing w:line="276" w:lineRule="auto"/>
              <w:rPr>
                <w:sz w:val="22"/>
                <w:szCs w:val="22"/>
                <w:lang w:val="en-GB"/>
              </w:rPr>
            </w:pPr>
            <w:r w:rsidRPr="00E70A88">
              <w:rPr>
                <w:sz w:val="22"/>
                <w:szCs w:val="22"/>
                <w:lang w:val="en-GB"/>
              </w:rPr>
              <w:t>-Mainstreaming biodiversity requirements into other policies;</w:t>
            </w:r>
          </w:p>
          <w:p w14:paraId="1031C403" w14:textId="1939D495" w:rsidR="006C3FD5" w:rsidRPr="00E70A88" w:rsidRDefault="00E70A88" w:rsidP="00E70A88">
            <w:pPr>
              <w:spacing w:line="276" w:lineRule="auto"/>
              <w:rPr>
                <w:sz w:val="22"/>
                <w:szCs w:val="22"/>
                <w:lang w:val="en-GB"/>
              </w:rPr>
            </w:pPr>
            <w:r w:rsidRPr="00E70A88">
              <w:rPr>
                <w:sz w:val="22"/>
                <w:szCs w:val="22"/>
                <w:lang w:val="en-GB"/>
              </w:rPr>
              <w:t>-Provision of suitable information to decision makers.</w:t>
            </w:r>
            <w:r>
              <w:rPr>
                <w:sz w:val="22"/>
                <w:szCs w:val="22"/>
                <w:lang w:val="en-GB"/>
              </w:rPr>
              <w:t xml:space="preserve"> </w:t>
            </w:r>
            <w:r w:rsidRPr="00E70A88">
              <w:rPr>
                <w:sz w:val="22"/>
                <w:szCs w:val="22"/>
                <w:lang w:val="en-GB"/>
              </w:rPr>
              <w:t>(</w:t>
            </w:r>
            <w:r w:rsidRPr="00E70A88">
              <w:rPr>
                <w:i/>
                <w:iCs/>
                <w:sz w:val="22"/>
                <w:szCs w:val="22"/>
                <w:lang w:val="en-GB"/>
              </w:rPr>
              <w:t>Resolution 8.9</w:t>
            </w:r>
            <w:r w:rsidRPr="00E70A88">
              <w:rPr>
                <w:sz w:val="22"/>
                <w:szCs w:val="22"/>
                <w:lang w:val="en-GB"/>
              </w:rPr>
              <w:t>)</w:t>
            </w:r>
          </w:p>
          <w:p w14:paraId="60396115" w14:textId="77777777" w:rsidR="006C3FD5" w:rsidRPr="00860CD7" w:rsidRDefault="006C3FD5" w:rsidP="006C3FD5">
            <w:pPr>
              <w:spacing w:line="276" w:lineRule="auto"/>
              <w:rPr>
                <w:bCs/>
                <w:sz w:val="22"/>
                <w:szCs w:val="22"/>
                <w:lang w:val="en-GB"/>
              </w:rPr>
            </w:pPr>
          </w:p>
        </w:tc>
        <w:tc>
          <w:tcPr>
            <w:tcW w:w="361" w:type="pct"/>
            <w:tcBorders>
              <w:top w:val="single" w:sz="4" w:space="0" w:color="000000"/>
              <w:left w:val="single" w:sz="4" w:space="0" w:color="000000"/>
              <w:bottom w:val="single" w:sz="4" w:space="0" w:color="000000"/>
              <w:right w:val="single" w:sz="4" w:space="0" w:color="000000"/>
            </w:tcBorders>
            <w:shd w:val="clear" w:color="auto" w:fill="99CCFF"/>
          </w:tcPr>
          <w:p w14:paraId="2915C788" w14:textId="77777777" w:rsidR="00E70A88" w:rsidRPr="00E70A88" w:rsidRDefault="00E70A88" w:rsidP="00E70A88">
            <w:pPr>
              <w:spacing w:line="276" w:lineRule="auto"/>
              <w:rPr>
                <w:b/>
                <w:bCs/>
                <w:sz w:val="22"/>
                <w:szCs w:val="22"/>
                <w:lang w:val="en-GB"/>
              </w:rPr>
            </w:pPr>
            <w:r w:rsidRPr="00E70A88">
              <w:rPr>
                <w:b/>
                <w:bCs/>
                <w:sz w:val="22"/>
                <w:szCs w:val="22"/>
                <w:lang w:val="en-GB"/>
              </w:rPr>
              <w:lastRenderedPageBreak/>
              <w:t>Other</w:t>
            </w:r>
          </w:p>
          <w:p w14:paraId="144E5319" w14:textId="1D865545" w:rsidR="006C3FD5" w:rsidRPr="00860CD7" w:rsidRDefault="006C3FD5" w:rsidP="006C3FD5">
            <w:pPr>
              <w:spacing w:line="276" w:lineRule="auto"/>
              <w:rPr>
                <w:sz w:val="22"/>
                <w:szCs w:val="22"/>
                <w:lang w:val="en-GB"/>
              </w:rPr>
            </w:pPr>
          </w:p>
        </w:tc>
        <w:tc>
          <w:tcPr>
            <w:tcW w:w="682" w:type="pct"/>
            <w:tcBorders>
              <w:top w:val="single" w:sz="4" w:space="0" w:color="000000"/>
              <w:left w:val="single" w:sz="4" w:space="0" w:color="000000"/>
              <w:bottom w:val="single" w:sz="4" w:space="0" w:color="000000"/>
              <w:right w:val="single" w:sz="4" w:space="0" w:color="000000"/>
            </w:tcBorders>
            <w:shd w:val="clear" w:color="auto" w:fill="FF5050"/>
          </w:tcPr>
          <w:p w14:paraId="167F8A13" w14:textId="3F8C0146" w:rsidR="006C3FD5" w:rsidRPr="00E70A88" w:rsidRDefault="00E70A88" w:rsidP="00E70A88">
            <w:pPr>
              <w:spacing w:line="276" w:lineRule="auto"/>
              <w:ind w:left="352" w:hanging="352"/>
              <w:rPr>
                <w:b/>
                <w:bCs/>
                <w:sz w:val="22"/>
                <w:szCs w:val="22"/>
                <w:lang w:val="en-GB"/>
              </w:rPr>
            </w:pPr>
            <w:r w:rsidRPr="00E70A88">
              <w:rPr>
                <w:b/>
                <w:bCs/>
                <w:sz w:val="22"/>
                <w:szCs w:val="22"/>
                <w:lang w:val="en-GB"/>
              </w:rPr>
              <w:t>Not implemented</w:t>
            </w:r>
          </w:p>
        </w:tc>
        <w:tc>
          <w:tcPr>
            <w:tcW w:w="1629" w:type="pct"/>
            <w:tcBorders>
              <w:top w:val="single" w:sz="4" w:space="0" w:color="000000"/>
              <w:left w:val="single" w:sz="4" w:space="0" w:color="000000"/>
              <w:bottom w:val="single" w:sz="4" w:space="0" w:color="000000"/>
              <w:right w:val="single" w:sz="4" w:space="0" w:color="000000"/>
            </w:tcBorders>
          </w:tcPr>
          <w:p w14:paraId="76DFD3DE" w14:textId="77777777" w:rsidR="006C3FD5" w:rsidRDefault="00E70A88" w:rsidP="00E70A88">
            <w:pPr>
              <w:spacing w:line="276" w:lineRule="auto"/>
              <w:rPr>
                <w:sz w:val="22"/>
                <w:szCs w:val="22"/>
                <w:lang w:val="en-GB"/>
              </w:rPr>
            </w:pPr>
            <w:r>
              <w:rPr>
                <w:sz w:val="22"/>
                <w:szCs w:val="22"/>
                <w:lang w:val="en-GB"/>
              </w:rPr>
              <w:t>No progress has been made on this task.</w:t>
            </w:r>
          </w:p>
          <w:p w14:paraId="5A0B025A" w14:textId="77777777" w:rsidR="00E70A88" w:rsidRDefault="00E70A88" w:rsidP="00E70A88">
            <w:pPr>
              <w:spacing w:line="276" w:lineRule="auto"/>
              <w:rPr>
                <w:sz w:val="22"/>
                <w:szCs w:val="22"/>
                <w:lang w:val="en-GB"/>
              </w:rPr>
            </w:pPr>
          </w:p>
          <w:p w14:paraId="1864FDD9" w14:textId="54399167" w:rsidR="00E70A88" w:rsidRPr="00860CD7" w:rsidRDefault="00E70A88" w:rsidP="00E70A88">
            <w:pPr>
              <w:spacing w:line="276" w:lineRule="auto"/>
              <w:rPr>
                <w:sz w:val="22"/>
                <w:szCs w:val="22"/>
                <w:lang w:val="en-GB"/>
              </w:rPr>
            </w:pPr>
          </w:p>
        </w:tc>
        <w:tc>
          <w:tcPr>
            <w:tcW w:w="823" w:type="pct"/>
            <w:tcBorders>
              <w:top w:val="single" w:sz="4" w:space="0" w:color="000000"/>
              <w:left w:val="single" w:sz="4" w:space="0" w:color="000000"/>
              <w:bottom w:val="single" w:sz="4" w:space="0" w:color="000000"/>
              <w:right w:val="single" w:sz="4" w:space="0" w:color="000000"/>
            </w:tcBorders>
          </w:tcPr>
          <w:p w14:paraId="756B1E9B" w14:textId="6EA89346" w:rsidR="006C3FD5" w:rsidRDefault="00E70A88" w:rsidP="006C3FD5">
            <w:pPr>
              <w:spacing w:line="276" w:lineRule="auto"/>
              <w:rPr>
                <w:sz w:val="22"/>
                <w:szCs w:val="22"/>
                <w:lang w:val="en-GB"/>
              </w:rPr>
            </w:pPr>
            <w:r>
              <w:rPr>
                <w:sz w:val="22"/>
                <w:szCs w:val="22"/>
                <w:lang w:val="en-GB"/>
              </w:rPr>
              <w:t>--</w:t>
            </w:r>
          </w:p>
          <w:p w14:paraId="29822A07" w14:textId="77777777" w:rsidR="006C3FD5" w:rsidRPr="00860CD7" w:rsidRDefault="006C3FD5" w:rsidP="006C3FD5">
            <w:pPr>
              <w:spacing w:line="276" w:lineRule="auto"/>
              <w:rPr>
                <w:sz w:val="22"/>
                <w:szCs w:val="22"/>
                <w:lang w:val="en-GB"/>
              </w:rPr>
            </w:pPr>
          </w:p>
        </w:tc>
      </w:tr>
    </w:tbl>
    <w:p w14:paraId="5C2CC602" w14:textId="77777777" w:rsidR="00B742F5" w:rsidRPr="00860CD7" w:rsidRDefault="00B742F5" w:rsidP="009D5FB8">
      <w:pPr>
        <w:pStyle w:val="Header"/>
        <w:spacing w:line="276" w:lineRule="auto"/>
        <w:rPr>
          <w:b/>
          <w:sz w:val="22"/>
          <w:szCs w:val="22"/>
          <w:lang w:val="en-GB"/>
        </w:rPr>
      </w:pPr>
    </w:p>
    <w:p w14:paraId="77B79F6F" w14:textId="77777777" w:rsidR="00B742F5" w:rsidRPr="00860CD7" w:rsidRDefault="00B742F5" w:rsidP="00DB7715">
      <w:pPr>
        <w:tabs>
          <w:tab w:val="left" w:pos="578"/>
          <w:tab w:val="left" w:pos="1157"/>
          <w:tab w:val="left" w:pos="1735"/>
        </w:tabs>
        <w:rPr>
          <w:b/>
          <w:sz w:val="22"/>
          <w:szCs w:val="22"/>
          <w:lang w:val="en-GB"/>
        </w:rPr>
      </w:pPr>
    </w:p>
    <w:sectPr w:rsidR="00B742F5" w:rsidRPr="00860CD7" w:rsidSect="00252018">
      <w:pgSz w:w="16838" w:h="11906" w:orient="landscape" w:code="9"/>
      <w:pgMar w:top="1526" w:right="749" w:bottom="1138" w:left="907" w:header="56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5C42" w14:textId="77777777" w:rsidR="0009311E" w:rsidRDefault="0009311E" w:rsidP="00F57370">
      <w:r>
        <w:separator/>
      </w:r>
    </w:p>
  </w:endnote>
  <w:endnote w:type="continuationSeparator" w:id="0">
    <w:p w14:paraId="33BD1715" w14:textId="77777777" w:rsidR="0009311E" w:rsidRDefault="0009311E" w:rsidP="00F5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rofont">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0B1D" w14:textId="77777777" w:rsidR="00DC467C" w:rsidRDefault="00DC4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09F" w14:textId="61F47C91" w:rsidR="00474B7C" w:rsidRPr="00252018" w:rsidRDefault="00474B7C" w:rsidP="00252018">
    <w:pPr>
      <w:pStyle w:val="Footer"/>
      <w:jc w:val="center"/>
      <w:rPr>
        <w:sz w:val="20"/>
        <w:szCs w:val="20"/>
      </w:rPr>
    </w:pPr>
    <w:r w:rsidRPr="009D5FB8">
      <w:rPr>
        <w:sz w:val="20"/>
        <w:szCs w:val="20"/>
      </w:rPr>
      <w:fldChar w:fldCharType="begin"/>
    </w:r>
    <w:r w:rsidRPr="009D5FB8">
      <w:rPr>
        <w:sz w:val="20"/>
        <w:szCs w:val="20"/>
      </w:rPr>
      <w:instrText xml:space="preserve"> PAGE   \* MERGEFORMAT </w:instrText>
    </w:r>
    <w:r w:rsidRPr="009D5FB8">
      <w:rPr>
        <w:sz w:val="20"/>
        <w:szCs w:val="20"/>
      </w:rPr>
      <w:fldChar w:fldCharType="separate"/>
    </w:r>
    <w:r w:rsidR="002A0516">
      <w:rPr>
        <w:noProof/>
        <w:sz w:val="20"/>
        <w:szCs w:val="20"/>
      </w:rPr>
      <w:t>31</w:t>
    </w:r>
    <w:r w:rsidRPr="009D5FB8">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F208" w14:textId="77777777" w:rsidR="00DC467C" w:rsidRDefault="00DC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42FD" w14:textId="77777777" w:rsidR="0009311E" w:rsidRDefault="0009311E" w:rsidP="00F57370">
      <w:r>
        <w:separator/>
      </w:r>
    </w:p>
  </w:footnote>
  <w:footnote w:type="continuationSeparator" w:id="0">
    <w:p w14:paraId="3F7E202E" w14:textId="77777777" w:rsidR="0009311E" w:rsidRDefault="0009311E" w:rsidP="00F5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1428" w14:textId="77777777" w:rsidR="00DC467C" w:rsidRDefault="00DC4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DCD9" w14:textId="77777777" w:rsidR="00DC467C" w:rsidRDefault="00DC4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DB0526" w:rsidRPr="00DB0526" w14:paraId="2ADFAFD9" w14:textId="77777777" w:rsidTr="003F2BB8">
      <w:trPr>
        <w:trHeight w:val="1264"/>
      </w:trPr>
      <w:tc>
        <w:tcPr>
          <w:tcW w:w="1809" w:type="dxa"/>
          <w:tcMar>
            <w:top w:w="0" w:type="dxa"/>
            <w:left w:w="108" w:type="dxa"/>
            <w:bottom w:w="0" w:type="dxa"/>
            <w:right w:w="108" w:type="dxa"/>
          </w:tcMar>
        </w:tcPr>
        <w:p w14:paraId="363933FC" w14:textId="77777777" w:rsidR="00DB0526" w:rsidRPr="00DB0526" w:rsidRDefault="00DB0526" w:rsidP="00DB0526">
          <w:pPr>
            <w:rPr>
              <w:lang w:val="en-GB"/>
            </w:rPr>
          </w:pPr>
          <w:r w:rsidRPr="00DB0526">
            <w:rPr>
              <w:noProof/>
              <w:lang w:val="en-GB"/>
            </w:rPr>
            <w:drawing>
              <wp:anchor distT="0" distB="0" distL="114300" distR="114300" simplePos="0" relativeHeight="251659264" behindDoc="0" locked="0" layoutInCell="1" allowOverlap="1" wp14:anchorId="1BA1F55F" wp14:editId="2F4F0239">
                <wp:simplePos x="0" y="0"/>
                <wp:positionH relativeFrom="column">
                  <wp:posOffset>137160</wp:posOffset>
                </wp:positionH>
                <wp:positionV relativeFrom="paragraph">
                  <wp:posOffset>10795</wp:posOffset>
                </wp:positionV>
                <wp:extent cx="735965" cy="609600"/>
                <wp:effectExtent l="0" t="0" r="6985" b="0"/>
                <wp:wrapNone/>
                <wp:docPr id="927424963"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C2476" w14:textId="77777777" w:rsidR="00DB0526" w:rsidRPr="00DB0526" w:rsidRDefault="00DB0526" w:rsidP="00DB0526"/>
        <w:p w14:paraId="5A5F9B82" w14:textId="77777777" w:rsidR="00DB0526" w:rsidRPr="00DB0526" w:rsidRDefault="00DB0526" w:rsidP="00DB0526"/>
        <w:p w14:paraId="20DD9F7F" w14:textId="77777777" w:rsidR="00DB0526" w:rsidRPr="00DB0526" w:rsidRDefault="00DB0526" w:rsidP="00DB0526"/>
      </w:tc>
      <w:tc>
        <w:tcPr>
          <w:tcW w:w="5679" w:type="dxa"/>
          <w:tcMar>
            <w:top w:w="0" w:type="dxa"/>
            <w:left w:w="108" w:type="dxa"/>
            <w:bottom w:w="0" w:type="dxa"/>
            <w:right w:w="108" w:type="dxa"/>
          </w:tcMar>
        </w:tcPr>
        <w:p w14:paraId="713C99BC" w14:textId="77777777" w:rsidR="00DB0526" w:rsidRPr="00DB0526" w:rsidRDefault="00DB0526" w:rsidP="00DB0526">
          <w:pPr>
            <w:tabs>
              <w:tab w:val="left" w:pos="-720"/>
            </w:tabs>
            <w:jc w:val="center"/>
            <w:rPr>
              <w:i/>
              <w:kern w:val="3"/>
            </w:rPr>
          </w:pPr>
          <w:r w:rsidRPr="00DB0526">
            <w:rPr>
              <w:i/>
              <w:kern w:val="3"/>
              <w:sz w:val="22"/>
              <w:szCs w:val="22"/>
            </w:rPr>
            <w:t xml:space="preserve">AGREEMENT ON THE CONSERVATION OF </w:t>
          </w:r>
        </w:p>
        <w:p w14:paraId="3CE2AFE4" w14:textId="77777777" w:rsidR="00DB0526" w:rsidRPr="00DB0526" w:rsidRDefault="00DB0526" w:rsidP="00DB0526">
          <w:pPr>
            <w:tabs>
              <w:tab w:val="left" w:pos="-720"/>
            </w:tabs>
            <w:jc w:val="center"/>
            <w:rPr>
              <w:i/>
              <w:kern w:val="3"/>
            </w:rPr>
          </w:pPr>
          <w:r w:rsidRPr="00DB0526">
            <w:rPr>
              <w:i/>
              <w:kern w:val="3"/>
              <w:sz w:val="22"/>
              <w:szCs w:val="22"/>
            </w:rPr>
            <w:t xml:space="preserve">AFRICAN-EURASIAN MIGRATORY WATERBIRDS           </w:t>
          </w:r>
        </w:p>
        <w:p w14:paraId="5F829B90" w14:textId="77777777" w:rsidR="00DB0526" w:rsidRPr="00DB0526" w:rsidRDefault="00DB0526" w:rsidP="00DB0526">
          <w:pPr>
            <w:tabs>
              <w:tab w:val="left" w:pos="-720"/>
            </w:tabs>
            <w:jc w:val="center"/>
            <w:rPr>
              <w:rFonts w:ascii="Arial" w:hAnsi="Arial" w:cs="Arial"/>
              <w:i/>
              <w:kern w:val="3"/>
              <w:sz w:val="20"/>
              <w:szCs w:val="20"/>
            </w:rPr>
          </w:pPr>
        </w:p>
        <w:p w14:paraId="3096C612" w14:textId="77777777" w:rsidR="00DB0526" w:rsidRPr="00DB0526" w:rsidRDefault="00DB0526" w:rsidP="00DB0526">
          <w:pPr>
            <w:rPr>
              <w:i/>
            </w:rPr>
          </w:pPr>
        </w:p>
      </w:tc>
      <w:tc>
        <w:tcPr>
          <w:tcW w:w="2366" w:type="dxa"/>
          <w:tcMar>
            <w:top w:w="0" w:type="dxa"/>
            <w:left w:w="108" w:type="dxa"/>
            <w:bottom w:w="0" w:type="dxa"/>
            <w:right w:w="108" w:type="dxa"/>
          </w:tcMar>
        </w:tcPr>
        <w:p w14:paraId="23396374" w14:textId="5E672F9D" w:rsidR="00DB0526" w:rsidRPr="00DB0526" w:rsidRDefault="00DB0526" w:rsidP="00DB0526">
          <w:pPr>
            <w:ind w:hanging="108"/>
            <w:jc w:val="right"/>
            <w:rPr>
              <w:i/>
              <w:sz w:val="20"/>
              <w:szCs w:val="20"/>
              <w:lang w:val="pt-PT"/>
            </w:rPr>
          </w:pPr>
          <w:r w:rsidRPr="00DB0526">
            <w:rPr>
              <w:i/>
              <w:sz w:val="20"/>
              <w:szCs w:val="20"/>
              <w:lang w:val="pt-PT"/>
            </w:rPr>
            <w:t>Doc. AEWA/TC2</w:t>
          </w:r>
          <w:r>
            <w:rPr>
              <w:i/>
              <w:sz w:val="20"/>
              <w:szCs w:val="20"/>
              <w:lang w:val="pt-PT"/>
            </w:rPr>
            <w:t>1 Inf.3</w:t>
          </w:r>
          <w:r w:rsidRPr="00DB0526">
            <w:rPr>
              <w:i/>
              <w:sz w:val="20"/>
              <w:szCs w:val="20"/>
              <w:lang w:val="pt-PT"/>
            </w:rPr>
            <w:t xml:space="preserve"> </w:t>
          </w:r>
        </w:p>
        <w:p w14:paraId="5083AD7E" w14:textId="087FAA0C" w:rsidR="00DB0526" w:rsidRPr="00DB0526" w:rsidRDefault="00966889" w:rsidP="00DB0526">
          <w:pPr>
            <w:ind w:hanging="108"/>
            <w:jc w:val="right"/>
            <w:rPr>
              <w:i/>
              <w:sz w:val="20"/>
              <w:szCs w:val="20"/>
              <w:lang w:val="pt-PT"/>
            </w:rPr>
          </w:pPr>
          <w:r>
            <w:rPr>
              <w:i/>
              <w:sz w:val="20"/>
              <w:szCs w:val="20"/>
              <w:lang w:val="pt-PT"/>
            </w:rPr>
            <w:t>2 March</w:t>
          </w:r>
          <w:r w:rsidR="00DB0526" w:rsidRPr="00DB0526">
            <w:rPr>
              <w:i/>
              <w:sz w:val="20"/>
              <w:szCs w:val="20"/>
              <w:lang w:val="pt-PT"/>
            </w:rPr>
            <w:t xml:space="preserve"> 2026</w:t>
          </w:r>
        </w:p>
        <w:p w14:paraId="66A38985" w14:textId="77777777" w:rsidR="00DB0526" w:rsidRPr="00DB0526" w:rsidRDefault="00DB0526" w:rsidP="00DB0526">
          <w:pPr>
            <w:jc w:val="right"/>
            <w:rPr>
              <w:i/>
              <w:sz w:val="20"/>
              <w:szCs w:val="20"/>
              <w:highlight w:val="yellow"/>
              <w:lang w:val="pt-PT"/>
            </w:rPr>
          </w:pPr>
        </w:p>
      </w:tc>
    </w:tr>
    <w:tr w:rsidR="00DB0526" w:rsidRPr="00DB0526" w14:paraId="08872834" w14:textId="77777777" w:rsidTr="003F2BB8">
      <w:tc>
        <w:tcPr>
          <w:tcW w:w="9854" w:type="dxa"/>
          <w:gridSpan w:val="3"/>
          <w:tcBorders>
            <w:bottom w:val="single" w:sz="4" w:space="0" w:color="000000" w:themeColor="text1"/>
          </w:tcBorders>
          <w:tcMar>
            <w:top w:w="0" w:type="dxa"/>
            <w:left w:w="108" w:type="dxa"/>
            <w:bottom w:w="0" w:type="dxa"/>
            <w:right w:w="108" w:type="dxa"/>
          </w:tcMar>
        </w:tcPr>
        <w:p w14:paraId="6269ED53" w14:textId="77777777" w:rsidR="00DB0526" w:rsidRPr="00DB0526" w:rsidRDefault="00DB0526" w:rsidP="00DB0526">
          <w:pPr>
            <w:jc w:val="center"/>
            <w:rPr>
              <w:sz w:val="26"/>
              <w:szCs w:val="26"/>
              <w:lang w:val="en-GB"/>
            </w:rPr>
          </w:pPr>
          <w:r w:rsidRPr="00DB0526">
            <w:rPr>
              <w:b/>
              <w:sz w:val="26"/>
              <w:szCs w:val="26"/>
            </w:rPr>
            <w:t>21</w:t>
          </w:r>
          <w:r w:rsidRPr="00DB0526">
            <w:rPr>
              <w:b/>
              <w:sz w:val="26"/>
              <w:szCs w:val="26"/>
              <w:vertAlign w:val="superscript"/>
            </w:rPr>
            <w:t>st</w:t>
          </w:r>
          <w:r w:rsidRPr="00DB0526">
            <w:rPr>
              <w:b/>
              <w:sz w:val="26"/>
              <w:szCs w:val="26"/>
            </w:rPr>
            <w:t xml:space="preserve"> MEETING OF THE TECHNICAL COMMITTEE</w:t>
          </w:r>
        </w:p>
        <w:p w14:paraId="14C26CA9" w14:textId="6D7392B0" w:rsidR="00DB0526" w:rsidRPr="00DB0526" w:rsidRDefault="00DB0526" w:rsidP="00DB0526">
          <w:pPr>
            <w:jc w:val="center"/>
            <w:rPr>
              <w:i/>
              <w:sz w:val="28"/>
              <w:szCs w:val="28"/>
            </w:rPr>
          </w:pPr>
          <w:r w:rsidRPr="00DB0526">
            <w:rPr>
              <w:i/>
              <w:lang w:val="en-GB"/>
            </w:rPr>
            <w:t xml:space="preserve">28-30 April 2026, Virtual Meeting </w:t>
          </w:r>
          <w:r w:rsidR="00DC467C">
            <w:rPr>
              <w:i/>
              <w:lang w:val="en-GB"/>
            </w:rPr>
            <w:t>Format</w:t>
          </w:r>
        </w:p>
        <w:p w14:paraId="01CF4B44" w14:textId="77777777" w:rsidR="00DB0526" w:rsidRPr="00DB0526" w:rsidRDefault="00DB0526" w:rsidP="00DB0526">
          <w:pPr>
            <w:rPr>
              <w:u w:val="single"/>
            </w:rPr>
          </w:pPr>
        </w:p>
      </w:tc>
    </w:tr>
  </w:tbl>
  <w:p w14:paraId="441E04B8" w14:textId="77777777" w:rsidR="00DB0526" w:rsidRPr="00DB0526" w:rsidRDefault="00DB0526" w:rsidP="00DB0526">
    <w:pPr>
      <w:tabs>
        <w:tab w:val="left" w:pos="-720"/>
      </w:tabs>
      <w:rPr>
        <w:rFonts w:ascii="Arial" w:hAnsi="Arial" w:cs="Arial"/>
        <w:i/>
        <w:kern w:val="2"/>
        <w:sz w:val="20"/>
        <w:szCs w:val="20"/>
        <w:lang w:val="de-DE"/>
      </w:rPr>
    </w:pPr>
  </w:p>
  <w:p w14:paraId="60C6DF04" w14:textId="77777777" w:rsidR="00474B7C" w:rsidRPr="00817917" w:rsidRDefault="00474B7C" w:rsidP="0081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C04"/>
    <w:multiLevelType w:val="hybridMultilevel"/>
    <w:tmpl w:val="44B8C87E"/>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6772E4B"/>
    <w:multiLevelType w:val="hybridMultilevel"/>
    <w:tmpl w:val="7794E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9D6BB6"/>
    <w:multiLevelType w:val="multilevel"/>
    <w:tmpl w:val="E6C0024C"/>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FA1E46"/>
    <w:multiLevelType w:val="hybridMultilevel"/>
    <w:tmpl w:val="4AB43C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1766F5"/>
    <w:multiLevelType w:val="hybridMultilevel"/>
    <w:tmpl w:val="F82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55098"/>
    <w:multiLevelType w:val="hybridMultilevel"/>
    <w:tmpl w:val="53C8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70B12"/>
    <w:multiLevelType w:val="hybridMultilevel"/>
    <w:tmpl w:val="A156E6F4"/>
    <w:lvl w:ilvl="0" w:tplc="A9EC3286">
      <w:start w:val="2"/>
      <w:numFmt w:val="decimal"/>
      <w:lvlText w:val="%1."/>
      <w:lvlJc w:val="left"/>
      <w:pPr>
        <w:tabs>
          <w:tab w:val="num" w:pos="720"/>
        </w:tabs>
        <w:ind w:left="720" w:hanging="360"/>
      </w:pPr>
    </w:lvl>
    <w:lvl w:ilvl="1" w:tplc="B14400BC">
      <w:start w:val="1"/>
      <w:numFmt w:val="decimal"/>
      <w:lvlText w:val="%2."/>
      <w:lvlJc w:val="left"/>
      <w:pPr>
        <w:tabs>
          <w:tab w:val="num" w:pos="1440"/>
        </w:tabs>
        <w:ind w:left="1440" w:hanging="360"/>
      </w:pPr>
    </w:lvl>
    <w:lvl w:ilvl="2" w:tplc="7D5CD26A">
      <w:start w:val="1"/>
      <w:numFmt w:val="decimal"/>
      <w:lvlText w:val="%3."/>
      <w:lvlJc w:val="left"/>
      <w:pPr>
        <w:tabs>
          <w:tab w:val="num" w:pos="2160"/>
        </w:tabs>
        <w:ind w:left="2160" w:hanging="360"/>
      </w:pPr>
    </w:lvl>
    <w:lvl w:ilvl="3" w:tplc="E4B47E62">
      <w:start w:val="1"/>
      <w:numFmt w:val="decimal"/>
      <w:lvlText w:val="%4."/>
      <w:lvlJc w:val="left"/>
      <w:pPr>
        <w:tabs>
          <w:tab w:val="num" w:pos="2880"/>
        </w:tabs>
        <w:ind w:left="2880" w:hanging="360"/>
      </w:pPr>
    </w:lvl>
    <w:lvl w:ilvl="4" w:tplc="07B624EA">
      <w:start w:val="1"/>
      <w:numFmt w:val="decimal"/>
      <w:lvlText w:val="%5."/>
      <w:lvlJc w:val="left"/>
      <w:pPr>
        <w:tabs>
          <w:tab w:val="num" w:pos="3600"/>
        </w:tabs>
        <w:ind w:left="3600" w:hanging="360"/>
      </w:pPr>
    </w:lvl>
    <w:lvl w:ilvl="5" w:tplc="66762A88">
      <w:start w:val="1"/>
      <w:numFmt w:val="decimal"/>
      <w:lvlText w:val="%6."/>
      <w:lvlJc w:val="left"/>
      <w:pPr>
        <w:tabs>
          <w:tab w:val="num" w:pos="4320"/>
        </w:tabs>
        <w:ind w:left="4320" w:hanging="360"/>
      </w:pPr>
    </w:lvl>
    <w:lvl w:ilvl="6" w:tplc="FF3ADF5E">
      <w:start w:val="1"/>
      <w:numFmt w:val="decimal"/>
      <w:lvlText w:val="%7."/>
      <w:lvlJc w:val="left"/>
      <w:pPr>
        <w:tabs>
          <w:tab w:val="num" w:pos="5040"/>
        </w:tabs>
        <w:ind w:left="5040" w:hanging="360"/>
      </w:pPr>
    </w:lvl>
    <w:lvl w:ilvl="7" w:tplc="B61C084E">
      <w:start w:val="1"/>
      <w:numFmt w:val="decimal"/>
      <w:lvlText w:val="%8."/>
      <w:lvlJc w:val="left"/>
      <w:pPr>
        <w:tabs>
          <w:tab w:val="num" w:pos="5760"/>
        </w:tabs>
        <w:ind w:left="5760" w:hanging="360"/>
      </w:pPr>
    </w:lvl>
    <w:lvl w:ilvl="8" w:tplc="06B83A82">
      <w:start w:val="1"/>
      <w:numFmt w:val="decimal"/>
      <w:lvlText w:val="%9."/>
      <w:lvlJc w:val="left"/>
      <w:pPr>
        <w:tabs>
          <w:tab w:val="num" w:pos="6480"/>
        </w:tabs>
        <w:ind w:left="6480" w:hanging="360"/>
      </w:pPr>
    </w:lvl>
  </w:abstractNum>
  <w:abstractNum w:abstractNumId="7" w15:restartNumberingAfterBreak="0">
    <w:nsid w:val="12782A19"/>
    <w:multiLevelType w:val="hybridMultilevel"/>
    <w:tmpl w:val="D9A296B8"/>
    <w:lvl w:ilvl="0" w:tplc="20000001">
      <w:start w:val="2"/>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C77164"/>
    <w:multiLevelType w:val="hybridMultilevel"/>
    <w:tmpl w:val="B4E8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AC1AFD"/>
    <w:multiLevelType w:val="hybridMultilevel"/>
    <w:tmpl w:val="28E415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0F875D9"/>
    <w:multiLevelType w:val="hybridMultilevel"/>
    <w:tmpl w:val="BD82AE92"/>
    <w:lvl w:ilvl="0" w:tplc="BAB40D7E">
      <w:start w:val="3"/>
      <w:numFmt w:val="decimal"/>
      <w:lvlText w:val="%1."/>
      <w:lvlJc w:val="left"/>
      <w:pPr>
        <w:tabs>
          <w:tab w:val="num" w:pos="720"/>
        </w:tabs>
        <w:ind w:left="720" w:hanging="360"/>
      </w:pPr>
    </w:lvl>
    <w:lvl w:ilvl="1" w:tplc="F1142E3A">
      <w:start w:val="1"/>
      <w:numFmt w:val="decimal"/>
      <w:lvlText w:val="%2."/>
      <w:lvlJc w:val="left"/>
      <w:pPr>
        <w:tabs>
          <w:tab w:val="num" w:pos="1440"/>
        </w:tabs>
        <w:ind w:left="1440" w:hanging="360"/>
      </w:pPr>
    </w:lvl>
    <w:lvl w:ilvl="2" w:tplc="B106A896">
      <w:start w:val="1"/>
      <w:numFmt w:val="decimal"/>
      <w:lvlText w:val="%3."/>
      <w:lvlJc w:val="left"/>
      <w:pPr>
        <w:tabs>
          <w:tab w:val="num" w:pos="2160"/>
        </w:tabs>
        <w:ind w:left="2160" w:hanging="360"/>
      </w:pPr>
    </w:lvl>
    <w:lvl w:ilvl="3" w:tplc="ED1CF96E">
      <w:start w:val="1"/>
      <w:numFmt w:val="decimal"/>
      <w:lvlText w:val="%4."/>
      <w:lvlJc w:val="left"/>
      <w:pPr>
        <w:tabs>
          <w:tab w:val="num" w:pos="2880"/>
        </w:tabs>
        <w:ind w:left="2880" w:hanging="360"/>
      </w:pPr>
    </w:lvl>
    <w:lvl w:ilvl="4" w:tplc="AECA1B22">
      <w:start w:val="1"/>
      <w:numFmt w:val="decimal"/>
      <w:lvlText w:val="%5."/>
      <w:lvlJc w:val="left"/>
      <w:pPr>
        <w:tabs>
          <w:tab w:val="num" w:pos="3600"/>
        </w:tabs>
        <w:ind w:left="3600" w:hanging="360"/>
      </w:pPr>
    </w:lvl>
    <w:lvl w:ilvl="5" w:tplc="6BB0D27E">
      <w:start w:val="1"/>
      <w:numFmt w:val="decimal"/>
      <w:lvlText w:val="%6."/>
      <w:lvlJc w:val="left"/>
      <w:pPr>
        <w:tabs>
          <w:tab w:val="num" w:pos="4320"/>
        </w:tabs>
        <w:ind w:left="4320" w:hanging="360"/>
      </w:pPr>
    </w:lvl>
    <w:lvl w:ilvl="6" w:tplc="B00085F2">
      <w:start w:val="1"/>
      <w:numFmt w:val="decimal"/>
      <w:lvlText w:val="%7."/>
      <w:lvlJc w:val="left"/>
      <w:pPr>
        <w:tabs>
          <w:tab w:val="num" w:pos="5040"/>
        </w:tabs>
        <w:ind w:left="5040" w:hanging="360"/>
      </w:pPr>
    </w:lvl>
    <w:lvl w:ilvl="7" w:tplc="0E6C81EE">
      <w:start w:val="1"/>
      <w:numFmt w:val="decimal"/>
      <w:lvlText w:val="%8."/>
      <w:lvlJc w:val="left"/>
      <w:pPr>
        <w:tabs>
          <w:tab w:val="num" w:pos="5760"/>
        </w:tabs>
        <w:ind w:left="5760" w:hanging="360"/>
      </w:pPr>
    </w:lvl>
    <w:lvl w:ilvl="8" w:tplc="F36658D0">
      <w:start w:val="1"/>
      <w:numFmt w:val="decimal"/>
      <w:lvlText w:val="%9."/>
      <w:lvlJc w:val="left"/>
      <w:pPr>
        <w:tabs>
          <w:tab w:val="num" w:pos="6480"/>
        </w:tabs>
        <w:ind w:left="6480" w:hanging="360"/>
      </w:pPr>
    </w:lvl>
  </w:abstractNum>
  <w:abstractNum w:abstractNumId="11" w15:restartNumberingAfterBreak="0">
    <w:nsid w:val="23AA6627"/>
    <w:multiLevelType w:val="hybridMultilevel"/>
    <w:tmpl w:val="57FE0D8C"/>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B256341"/>
    <w:multiLevelType w:val="singleLevel"/>
    <w:tmpl w:val="D988BADA"/>
    <w:lvl w:ilvl="0">
      <w:start w:val="1"/>
      <w:numFmt w:val="lowerLetter"/>
      <w:pStyle w:val="Level10"/>
      <w:lvlText w:val="(%1)"/>
      <w:lvlJc w:val="left"/>
      <w:pPr>
        <w:tabs>
          <w:tab w:val="num" w:pos="680"/>
        </w:tabs>
        <w:ind w:left="680" w:hanging="680"/>
      </w:pPr>
      <w:rPr>
        <w:rFonts w:ascii="Times New Roman" w:hAnsi="Times New Roman" w:hint="default"/>
        <w:b w:val="0"/>
        <w:i w:val="0"/>
        <w:sz w:val="22"/>
      </w:rPr>
    </w:lvl>
  </w:abstractNum>
  <w:abstractNum w:abstractNumId="13" w15:restartNumberingAfterBreak="0">
    <w:nsid w:val="2C5A36F3"/>
    <w:multiLevelType w:val="hybridMultilevel"/>
    <w:tmpl w:val="AE00D51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D790E7E"/>
    <w:multiLevelType w:val="hybridMultilevel"/>
    <w:tmpl w:val="5B1A86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3150E"/>
    <w:multiLevelType w:val="hybridMultilevel"/>
    <w:tmpl w:val="B65676DE"/>
    <w:lvl w:ilvl="0" w:tplc="896A1DC0">
      <w:numFmt w:val="bullet"/>
      <w:lvlText w:val=""/>
      <w:lvlJc w:val="left"/>
      <w:pPr>
        <w:ind w:left="720" w:hanging="360"/>
      </w:pPr>
      <w:rPr>
        <w:rFonts w:ascii="Wingdings" w:eastAsia="Times New Roman" w:hAnsi="Wingdings"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1545C40"/>
    <w:multiLevelType w:val="hybridMultilevel"/>
    <w:tmpl w:val="7A688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316D0E"/>
    <w:multiLevelType w:val="multilevel"/>
    <w:tmpl w:val="32566F1E"/>
    <w:lvl w:ilvl="0">
      <w:start w:val="1"/>
      <w:numFmt w:val="decimal"/>
      <w:pStyle w:val="Heading1"/>
      <w:lvlText w:val="%1"/>
      <w:lvlJc w:val="left"/>
      <w:pPr>
        <w:tabs>
          <w:tab w:val="num" w:pos="360"/>
        </w:tabs>
        <w:ind w:left="0" w:firstLine="0"/>
      </w:pPr>
      <w:rPr>
        <w:rFonts w:ascii="Garamond" w:hAnsi="Garamond" w:hint="default"/>
        <w:b/>
        <w:i w:val="0"/>
        <w:sz w:val="24"/>
      </w:rPr>
    </w:lvl>
    <w:lvl w:ilvl="1">
      <w:start w:val="1"/>
      <w:numFmt w:val="decimal"/>
      <w:pStyle w:val="Heading2"/>
      <w:lvlText w:val="%1.%2"/>
      <w:lvlJc w:val="left"/>
      <w:pPr>
        <w:tabs>
          <w:tab w:val="num" w:pos="720"/>
        </w:tabs>
        <w:ind w:left="360" w:hanging="360"/>
      </w:pPr>
      <w:rPr>
        <w:rFonts w:ascii="Garamond" w:hAnsi="Garamond" w:hint="default"/>
        <w:b/>
        <w:i w:val="0"/>
        <w:sz w:val="24"/>
      </w:rPr>
    </w:lvl>
    <w:lvl w:ilvl="2">
      <w:start w:val="1"/>
      <w:numFmt w:val="decimal"/>
      <w:lvlText w:val="%1.%2.%3"/>
      <w:lvlJc w:val="left"/>
      <w:pPr>
        <w:tabs>
          <w:tab w:val="num" w:pos="1080"/>
        </w:tabs>
        <w:ind w:left="720" w:hanging="360"/>
      </w:pPr>
      <w:rPr>
        <w:rFonts w:ascii="Garamond" w:hAnsi="Garamond" w:hint="default"/>
        <w:b w:val="0"/>
        <w:i w:val="0"/>
        <w:sz w:val="24"/>
      </w:rPr>
    </w:lvl>
    <w:lvl w:ilvl="3">
      <w:start w:val="1"/>
      <w:numFmt w:val="decimal"/>
      <w:lvlText w:val="%1.%2.%3.%4"/>
      <w:lvlJc w:val="left"/>
      <w:pPr>
        <w:tabs>
          <w:tab w:val="num" w:pos="180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8" w15:restartNumberingAfterBreak="0">
    <w:nsid w:val="56CD5155"/>
    <w:multiLevelType w:val="multilevel"/>
    <w:tmpl w:val="E7567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C7ED7"/>
    <w:multiLevelType w:val="hybridMultilevel"/>
    <w:tmpl w:val="C1AA2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B756D31"/>
    <w:multiLevelType w:val="hybridMultilevel"/>
    <w:tmpl w:val="88686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DB6858"/>
    <w:multiLevelType w:val="hybridMultilevel"/>
    <w:tmpl w:val="8014EDC2"/>
    <w:lvl w:ilvl="0" w:tplc="88627B38">
      <w:start w:val="2"/>
      <w:numFmt w:val="bullet"/>
      <w:lvlText w:val=""/>
      <w:lvlJc w:val="left"/>
      <w:pPr>
        <w:ind w:left="786" w:hanging="360"/>
      </w:pPr>
      <w:rPr>
        <w:rFonts w:ascii="Symbol" w:eastAsia="Times New Roman" w:hAnsi="Symbol"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22" w15:restartNumberingAfterBreak="0">
    <w:nsid w:val="624413F5"/>
    <w:multiLevelType w:val="multilevel"/>
    <w:tmpl w:val="8866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96728"/>
    <w:multiLevelType w:val="hybridMultilevel"/>
    <w:tmpl w:val="50F2B796"/>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6F4662"/>
    <w:multiLevelType w:val="hybridMultilevel"/>
    <w:tmpl w:val="E1089FA0"/>
    <w:lvl w:ilvl="0" w:tplc="699852C0">
      <w:start w:val="1"/>
      <w:numFmt w:val="decimal"/>
      <w:lvlText w:val="%1."/>
      <w:lvlJc w:val="left"/>
      <w:pPr>
        <w:tabs>
          <w:tab w:val="num" w:pos="720"/>
        </w:tabs>
        <w:ind w:left="720" w:hanging="360"/>
      </w:pPr>
    </w:lvl>
    <w:lvl w:ilvl="1" w:tplc="FCF4B6B8">
      <w:start w:val="1"/>
      <w:numFmt w:val="decimal"/>
      <w:lvlText w:val="%2."/>
      <w:lvlJc w:val="left"/>
      <w:pPr>
        <w:tabs>
          <w:tab w:val="num" w:pos="1440"/>
        </w:tabs>
        <w:ind w:left="1440" w:hanging="360"/>
      </w:pPr>
    </w:lvl>
    <w:lvl w:ilvl="2" w:tplc="53CADA50">
      <w:start w:val="1"/>
      <w:numFmt w:val="decimal"/>
      <w:lvlText w:val="%3."/>
      <w:lvlJc w:val="left"/>
      <w:pPr>
        <w:tabs>
          <w:tab w:val="num" w:pos="2160"/>
        </w:tabs>
        <w:ind w:left="2160" w:hanging="360"/>
      </w:pPr>
    </w:lvl>
    <w:lvl w:ilvl="3" w:tplc="EE7EE8DA">
      <w:start w:val="1"/>
      <w:numFmt w:val="decimal"/>
      <w:lvlText w:val="%4."/>
      <w:lvlJc w:val="left"/>
      <w:pPr>
        <w:tabs>
          <w:tab w:val="num" w:pos="2880"/>
        </w:tabs>
        <w:ind w:left="2880" w:hanging="360"/>
      </w:pPr>
    </w:lvl>
    <w:lvl w:ilvl="4" w:tplc="B124624A">
      <w:start w:val="1"/>
      <w:numFmt w:val="decimal"/>
      <w:lvlText w:val="%5."/>
      <w:lvlJc w:val="left"/>
      <w:pPr>
        <w:tabs>
          <w:tab w:val="num" w:pos="3600"/>
        </w:tabs>
        <w:ind w:left="3600" w:hanging="360"/>
      </w:pPr>
    </w:lvl>
    <w:lvl w:ilvl="5" w:tplc="34702136">
      <w:start w:val="1"/>
      <w:numFmt w:val="decimal"/>
      <w:lvlText w:val="%6."/>
      <w:lvlJc w:val="left"/>
      <w:pPr>
        <w:tabs>
          <w:tab w:val="num" w:pos="4320"/>
        </w:tabs>
        <w:ind w:left="4320" w:hanging="360"/>
      </w:pPr>
    </w:lvl>
    <w:lvl w:ilvl="6" w:tplc="7624C0C8">
      <w:start w:val="1"/>
      <w:numFmt w:val="decimal"/>
      <w:lvlText w:val="%7."/>
      <w:lvlJc w:val="left"/>
      <w:pPr>
        <w:tabs>
          <w:tab w:val="num" w:pos="5040"/>
        </w:tabs>
        <w:ind w:left="5040" w:hanging="360"/>
      </w:pPr>
    </w:lvl>
    <w:lvl w:ilvl="7" w:tplc="654A46D0">
      <w:start w:val="1"/>
      <w:numFmt w:val="decimal"/>
      <w:lvlText w:val="%8."/>
      <w:lvlJc w:val="left"/>
      <w:pPr>
        <w:tabs>
          <w:tab w:val="num" w:pos="5760"/>
        </w:tabs>
        <w:ind w:left="5760" w:hanging="360"/>
      </w:pPr>
    </w:lvl>
    <w:lvl w:ilvl="8" w:tplc="F9BE926E">
      <w:start w:val="1"/>
      <w:numFmt w:val="decimal"/>
      <w:lvlText w:val="%9."/>
      <w:lvlJc w:val="left"/>
      <w:pPr>
        <w:tabs>
          <w:tab w:val="num" w:pos="6480"/>
        </w:tabs>
        <w:ind w:left="6480" w:hanging="360"/>
      </w:pPr>
    </w:lvl>
  </w:abstractNum>
  <w:abstractNum w:abstractNumId="25" w15:restartNumberingAfterBreak="0">
    <w:nsid w:val="68957B51"/>
    <w:multiLevelType w:val="multilevel"/>
    <w:tmpl w:val="4282D9D2"/>
    <w:lvl w:ilvl="0">
      <w:start w:val="1"/>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AF45F9D"/>
    <w:multiLevelType w:val="hybridMultilevel"/>
    <w:tmpl w:val="5F8E35CE"/>
    <w:lvl w:ilvl="0" w:tplc="AF0A7DC4">
      <w:start w:val="1"/>
      <w:numFmt w:val="bullet"/>
      <w:pStyle w:val="TOC4"/>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E66D91"/>
    <w:multiLevelType w:val="hybridMultilevel"/>
    <w:tmpl w:val="408EF572"/>
    <w:lvl w:ilvl="0" w:tplc="0407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25921F0"/>
    <w:multiLevelType w:val="hybridMultilevel"/>
    <w:tmpl w:val="DD2A23AA"/>
    <w:lvl w:ilvl="0" w:tplc="19BA756A">
      <w:start w:val="1"/>
      <w:numFmt w:val="decimal"/>
      <w:lvlText w:val="%1."/>
      <w:lvlJc w:val="left"/>
      <w:pPr>
        <w:tabs>
          <w:tab w:val="num" w:pos="720"/>
        </w:tabs>
        <w:ind w:left="720" w:hanging="360"/>
      </w:pPr>
      <w:rPr>
        <w:rFonts w:hint="default"/>
        <w:b/>
        <w:i w:val="0"/>
        <w:sz w:val="24"/>
        <w:szCs w:val="24"/>
      </w:rPr>
    </w:lvl>
    <w:lvl w:ilvl="1" w:tplc="04090019">
      <w:start w:val="1"/>
      <w:numFmt w:val="lowerLetter"/>
      <w:lvlText w:val="%2."/>
      <w:lvlJc w:val="left"/>
      <w:pPr>
        <w:tabs>
          <w:tab w:val="num" w:pos="1440"/>
        </w:tabs>
        <w:ind w:left="1440" w:hanging="360"/>
      </w:pPr>
    </w:lvl>
    <w:lvl w:ilvl="2" w:tplc="F522AC6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54B0186"/>
    <w:multiLevelType w:val="hybridMultilevel"/>
    <w:tmpl w:val="24EA98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69674A"/>
    <w:multiLevelType w:val="multilevel"/>
    <w:tmpl w:val="945C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F1EFB"/>
    <w:multiLevelType w:val="hybridMultilevel"/>
    <w:tmpl w:val="4CB071EA"/>
    <w:lvl w:ilvl="0" w:tplc="0427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34176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18407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643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0804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11828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0867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22973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395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0835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3364858">
    <w:abstractNumId w:val="31"/>
  </w:num>
  <w:num w:numId="11" w16cid:durableId="322398457">
    <w:abstractNumId w:val="22"/>
  </w:num>
  <w:num w:numId="12" w16cid:durableId="1053427870">
    <w:abstractNumId w:val="30"/>
  </w:num>
  <w:num w:numId="13" w16cid:durableId="1777018937">
    <w:abstractNumId w:val="25"/>
  </w:num>
  <w:num w:numId="14" w16cid:durableId="158422610">
    <w:abstractNumId w:val="12"/>
  </w:num>
  <w:num w:numId="15" w16cid:durableId="1670012503">
    <w:abstractNumId w:val="26"/>
  </w:num>
  <w:num w:numId="16" w16cid:durableId="1924292901">
    <w:abstractNumId w:val="2"/>
  </w:num>
  <w:num w:numId="17" w16cid:durableId="1929730060">
    <w:abstractNumId w:val="4"/>
  </w:num>
  <w:num w:numId="18" w16cid:durableId="6174204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10832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010146">
    <w:abstractNumId w:val="29"/>
  </w:num>
  <w:num w:numId="21" w16cid:durableId="1672758615">
    <w:abstractNumId w:val="20"/>
  </w:num>
  <w:num w:numId="22" w16cid:durableId="1974823053">
    <w:abstractNumId w:val="31"/>
  </w:num>
  <w:num w:numId="23" w16cid:durableId="390883705">
    <w:abstractNumId w:val="16"/>
  </w:num>
  <w:num w:numId="24" w16cid:durableId="1302615400">
    <w:abstractNumId w:val="8"/>
  </w:num>
  <w:num w:numId="25" w16cid:durableId="819152953">
    <w:abstractNumId w:val="1"/>
  </w:num>
  <w:num w:numId="26" w16cid:durableId="1405032919">
    <w:abstractNumId w:val="3"/>
  </w:num>
  <w:num w:numId="27" w16cid:durableId="740178911">
    <w:abstractNumId w:val="0"/>
  </w:num>
  <w:num w:numId="28" w16cid:durableId="2129084214">
    <w:abstractNumId w:val="14"/>
  </w:num>
  <w:num w:numId="29" w16cid:durableId="996179801">
    <w:abstractNumId w:val="18"/>
  </w:num>
  <w:num w:numId="30" w16cid:durableId="407268100">
    <w:abstractNumId w:val="23"/>
  </w:num>
  <w:num w:numId="31" w16cid:durableId="185868504">
    <w:abstractNumId w:val="27"/>
  </w:num>
  <w:num w:numId="32" w16cid:durableId="1376586582">
    <w:abstractNumId w:val="7"/>
  </w:num>
  <w:num w:numId="33" w16cid:durableId="137305096">
    <w:abstractNumId w:val="21"/>
  </w:num>
  <w:num w:numId="34" w16cid:durableId="1111130019">
    <w:abstractNumId w:val="28"/>
  </w:num>
  <w:num w:numId="35" w16cid:durableId="1094089848">
    <w:abstractNumId w:val="5"/>
  </w:num>
  <w:num w:numId="36" w16cid:durableId="25239938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70"/>
    <w:rsid w:val="0000230E"/>
    <w:rsid w:val="000052E4"/>
    <w:rsid w:val="000118B9"/>
    <w:rsid w:val="00013EEF"/>
    <w:rsid w:val="00014E64"/>
    <w:rsid w:val="00023E6A"/>
    <w:rsid w:val="00024681"/>
    <w:rsid w:val="000266F0"/>
    <w:rsid w:val="00026AF2"/>
    <w:rsid w:val="0003085F"/>
    <w:rsid w:val="000354AF"/>
    <w:rsid w:val="000358A0"/>
    <w:rsid w:val="00037354"/>
    <w:rsid w:val="00042472"/>
    <w:rsid w:val="00046945"/>
    <w:rsid w:val="00047084"/>
    <w:rsid w:val="00047222"/>
    <w:rsid w:val="00047DA8"/>
    <w:rsid w:val="0006090B"/>
    <w:rsid w:val="00067395"/>
    <w:rsid w:val="00070829"/>
    <w:rsid w:val="0007202C"/>
    <w:rsid w:val="00074837"/>
    <w:rsid w:val="000756B5"/>
    <w:rsid w:val="00075C37"/>
    <w:rsid w:val="00075C5A"/>
    <w:rsid w:val="0008618F"/>
    <w:rsid w:val="00090D97"/>
    <w:rsid w:val="00090FAB"/>
    <w:rsid w:val="00091F33"/>
    <w:rsid w:val="0009229F"/>
    <w:rsid w:val="00092BFA"/>
    <w:rsid w:val="0009311E"/>
    <w:rsid w:val="00093F38"/>
    <w:rsid w:val="00097B25"/>
    <w:rsid w:val="000A01C2"/>
    <w:rsid w:val="000A1612"/>
    <w:rsid w:val="000A5AF4"/>
    <w:rsid w:val="000A5F04"/>
    <w:rsid w:val="000A7EC8"/>
    <w:rsid w:val="000B1423"/>
    <w:rsid w:val="000B1515"/>
    <w:rsid w:val="000B1A2A"/>
    <w:rsid w:val="000B4FCF"/>
    <w:rsid w:val="000B5541"/>
    <w:rsid w:val="000C15F6"/>
    <w:rsid w:val="000C1743"/>
    <w:rsid w:val="000C1AB7"/>
    <w:rsid w:val="000C2586"/>
    <w:rsid w:val="000D21A6"/>
    <w:rsid w:val="000D526D"/>
    <w:rsid w:val="000E00FA"/>
    <w:rsid w:val="000E3816"/>
    <w:rsid w:val="000E449A"/>
    <w:rsid w:val="000E70E0"/>
    <w:rsid w:val="000F34A9"/>
    <w:rsid w:val="000F4DD0"/>
    <w:rsid w:val="000F57BC"/>
    <w:rsid w:val="000F7EB8"/>
    <w:rsid w:val="00101A32"/>
    <w:rsid w:val="0010232E"/>
    <w:rsid w:val="00103F74"/>
    <w:rsid w:val="00107C91"/>
    <w:rsid w:val="00114177"/>
    <w:rsid w:val="001141D6"/>
    <w:rsid w:val="00114D93"/>
    <w:rsid w:val="0012232E"/>
    <w:rsid w:val="00126188"/>
    <w:rsid w:val="00126467"/>
    <w:rsid w:val="00130FED"/>
    <w:rsid w:val="00131EA3"/>
    <w:rsid w:val="001323C9"/>
    <w:rsid w:val="0013799E"/>
    <w:rsid w:val="00142864"/>
    <w:rsid w:val="001428E2"/>
    <w:rsid w:val="0014323A"/>
    <w:rsid w:val="00154BDC"/>
    <w:rsid w:val="00155911"/>
    <w:rsid w:val="00157A82"/>
    <w:rsid w:val="00161F9B"/>
    <w:rsid w:val="0016486E"/>
    <w:rsid w:val="00172641"/>
    <w:rsid w:val="00184235"/>
    <w:rsid w:val="00184E27"/>
    <w:rsid w:val="00191313"/>
    <w:rsid w:val="00192F0B"/>
    <w:rsid w:val="0019531F"/>
    <w:rsid w:val="00196061"/>
    <w:rsid w:val="001965D4"/>
    <w:rsid w:val="001967B3"/>
    <w:rsid w:val="001A5D0E"/>
    <w:rsid w:val="001B0340"/>
    <w:rsid w:val="001B1A24"/>
    <w:rsid w:val="001B1F53"/>
    <w:rsid w:val="001B58F5"/>
    <w:rsid w:val="001C19B5"/>
    <w:rsid w:val="001C581D"/>
    <w:rsid w:val="001C5F66"/>
    <w:rsid w:val="001C68CE"/>
    <w:rsid w:val="001D098F"/>
    <w:rsid w:val="001D0F86"/>
    <w:rsid w:val="001D0FF1"/>
    <w:rsid w:val="001D2690"/>
    <w:rsid w:val="001D7788"/>
    <w:rsid w:val="001E235D"/>
    <w:rsid w:val="001E39A2"/>
    <w:rsid w:val="001E61B2"/>
    <w:rsid w:val="001E63FE"/>
    <w:rsid w:val="001F01D3"/>
    <w:rsid w:val="001F186E"/>
    <w:rsid w:val="001F1DC0"/>
    <w:rsid w:val="001F51D1"/>
    <w:rsid w:val="002016C5"/>
    <w:rsid w:val="002025C1"/>
    <w:rsid w:val="00204413"/>
    <w:rsid w:val="002047E0"/>
    <w:rsid w:val="00206F6B"/>
    <w:rsid w:val="00212501"/>
    <w:rsid w:val="002141D8"/>
    <w:rsid w:val="002151BF"/>
    <w:rsid w:val="002202BE"/>
    <w:rsid w:val="002255B7"/>
    <w:rsid w:val="00226318"/>
    <w:rsid w:val="002265E8"/>
    <w:rsid w:val="002276D9"/>
    <w:rsid w:val="00231EE2"/>
    <w:rsid w:val="0023250F"/>
    <w:rsid w:val="00236509"/>
    <w:rsid w:val="0024671F"/>
    <w:rsid w:val="0024684C"/>
    <w:rsid w:val="00246AC3"/>
    <w:rsid w:val="00246B62"/>
    <w:rsid w:val="00251200"/>
    <w:rsid w:val="00252018"/>
    <w:rsid w:val="002547E5"/>
    <w:rsid w:val="00254858"/>
    <w:rsid w:val="00255A9A"/>
    <w:rsid w:val="0025706B"/>
    <w:rsid w:val="0026151D"/>
    <w:rsid w:val="00263F98"/>
    <w:rsid w:val="00265375"/>
    <w:rsid w:val="002670F2"/>
    <w:rsid w:val="0027279C"/>
    <w:rsid w:val="00275603"/>
    <w:rsid w:val="00280BAA"/>
    <w:rsid w:val="0028191F"/>
    <w:rsid w:val="00281CF6"/>
    <w:rsid w:val="00281D91"/>
    <w:rsid w:val="0028200E"/>
    <w:rsid w:val="00283779"/>
    <w:rsid w:val="00290735"/>
    <w:rsid w:val="00294029"/>
    <w:rsid w:val="002958F4"/>
    <w:rsid w:val="002A0516"/>
    <w:rsid w:val="002A599B"/>
    <w:rsid w:val="002A5A6E"/>
    <w:rsid w:val="002B1500"/>
    <w:rsid w:val="002B193C"/>
    <w:rsid w:val="002B1B22"/>
    <w:rsid w:val="002B2D46"/>
    <w:rsid w:val="002B7396"/>
    <w:rsid w:val="002C1359"/>
    <w:rsid w:val="002C13CF"/>
    <w:rsid w:val="002C1757"/>
    <w:rsid w:val="002C2BA1"/>
    <w:rsid w:val="002C2F9E"/>
    <w:rsid w:val="002C396B"/>
    <w:rsid w:val="002C5B0C"/>
    <w:rsid w:val="002C6484"/>
    <w:rsid w:val="002C6701"/>
    <w:rsid w:val="002D0765"/>
    <w:rsid w:val="002D3583"/>
    <w:rsid w:val="002D49EA"/>
    <w:rsid w:val="002D5A7F"/>
    <w:rsid w:val="002E0626"/>
    <w:rsid w:val="002E0837"/>
    <w:rsid w:val="002E1AAF"/>
    <w:rsid w:val="002E1C6A"/>
    <w:rsid w:val="002E2066"/>
    <w:rsid w:val="002E29EA"/>
    <w:rsid w:val="002E3A04"/>
    <w:rsid w:val="002E6983"/>
    <w:rsid w:val="002F054D"/>
    <w:rsid w:val="002F65EE"/>
    <w:rsid w:val="002F6BCC"/>
    <w:rsid w:val="002F6ED1"/>
    <w:rsid w:val="002F757B"/>
    <w:rsid w:val="0030103B"/>
    <w:rsid w:val="003012F6"/>
    <w:rsid w:val="00302920"/>
    <w:rsid w:val="00305D5E"/>
    <w:rsid w:val="003071CA"/>
    <w:rsid w:val="00313C98"/>
    <w:rsid w:val="003168F7"/>
    <w:rsid w:val="003171D3"/>
    <w:rsid w:val="0032185B"/>
    <w:rsid w:val="00322CDF"/>
    <w:rsid w:val="003311D2"/>
    <w:rsid w:val="00335829"/>
    <w:rsid w:val="0033755F"/>
    <w:rsid w:val="003376AC"/>
    <w:rsid w:val="0034162F"/>
    <w:rsid w:val="0034222A"/>
    <w:rsid w:val="00342912"/>
    <w:rsid w:val="00345A66"/>
    <w:rsid w:val="00350D56"/>
    <w:rsid w:val="003570A5"/>
    <w:rsid w:val="00360268"/>
    <w:rsid w:val="003632B8"/>
    <w:rsid w:val="0036413B"/>
    <w:rsid w:val="00364FB0"/>
    <w:rsid w:val="00380000"/>
    <w:rsid w:val="00385152"/>
    <w:rsid w:val="00385A5F"/>
    <w:rsid w:val="00387A5F"/>
    <w:rsid w:val="0039558F"/>
    <w:rsid w:val="003A0067"/>
    <w:rsid w:val="003A2278"/>
    <w:rsid w:val="003A241B"/>
    <w:rsid w:val="003A4DDA"/>
    <w:rsid w:val="003A5701"/>
    <w:rsid w:val="003A5D82"/>
    <w:rsid w:val="003A6D90"/>
    <w:rsid w:val="003B2CDC"/>
    <w:rsid w:val="003B3FA4"/>
    <w:rsid w:val="003B50B2"/>
    <w:rsid w:val="003B787A"/>
    <w:rsid w:val="003C29C2"/>
    <w:rsid w:val="003D76E2"/>
    <w:rsid w:val="003E053B"/>
    <w:rsid w:val="003E218D"/>
    <w:rsid w:val="003E21E7"/>
    <w:rsid w:val="003E2B85"/>
    <w:rsid w:val="003E2E45"/>
    <w:rsid w:val="003E68B7"/>
    <w:rsid w:val="003F0F48"/>
    <w:rsid w:val="003F1A08"/>
    <w:rsid w:val="003F36A3"/>
    <w:rsid w:val="003F57D9"/>
    <w:rsid w:val="003F63D8"/>
    <w:rsid w:val="003F6E90"/>
    <w:rsid w:val="0040497F"/>
    <w:rsid w:val="00405A2A"/>
    <w:rsid w:val="00406CC1"/>
    <w:rsid w:val="00411DA7"/>
    <w:rsid w:val="004136B2"/>
    <w:rsid w:val="00413BED"/>
    <w:rsid w:val="00416D27"/>
    <w:rsid w:val="004206CE"/>
    <w:rsid w:val="00420738"/>
    <w:rsid w:val="004243FD"/>
    <w:rsid w:val="00424B5A"/>
    <w:rsid w:val="00424E51"/>
    <w:rsid w:val="004259A4"/>
    <w:rsid w:val="004344BF"/>
    <w:rsid w:val="004354A6"/>
    <w:rsid w:val="00435C0C"/>
    <w:rsid w:val="00436141"/>
    <w:rsid w:val="0043665B"/>
    <w:rsid w:val="004374B9"/>
    <w:rsid w:val="00437F91"/>
    <w:rsid w:val="00440EE0"/>
    <w:rsid w:val="00441A72"/>
    <w:rsid w:val="00442245"/>
    <w:rsid w:val="00451B24"/>
    <w:rsid w:val="00452EB8"/>
    <w:rsid w:val="0045326E"/>
    <w:rsid w:val="00453984"/>
    <w:rsid w:val="004609F1"/>
    <w:rsid w:val="00462234"/>
    <w:rsid w:val="004646C2"/>
    <w:rsid w:val="00467F45"/>
    <w:rsid w:val="00474B7C"/>
    <w:rsid w:val="00474BF7"/>
    <w:rsid w:val="00476EEA"/>
    <w:rsid w:val="0047741B"/>
    <w:rsid w:val="00480DF1"/>
    <w:rsid w:val="004820B2"/>
    <w:rsid w:val="00487699"/>
    <w:rsid w:val="00487A23"/>
    <w:rsid w:val="00490E0B"/>
    <w:rsid w:val="0049768E"/>
    <w:rsid w:val="004A192A"/>
    <w:rsid w:val="004A3785"/>
    <w:rsid w:val="004A5C89"/>
    <w:rsid w:val="004B0758"/>
    <w:rsid w:val="004B158D"/>
    <w:rsid w:val="004B4346"/>
    <w:rsid w:val="004B5F1C"/>
    <w:rsid w:val="004C07A8"/>
    <w:rsid w:val="004C1AC8"/>
    <w:rsid w:val="004C1F67"/>
    <w:rsid w:val="004C626F"/>
    <w:rsid w:val="004C6510"/>
    <w:rsid w:val="004C675F"/>
    <w:rsid w:val="004C6DAA"/>
    <w:rsid w:val="004C6E86"/>
    <w:rsid w:val="004D2C36"/>
    <w:rsid w:val="004D542D"/>
    <w:rsid w:val="004D5C3C"/>
    <w:rsid w:val="004D668D"/>
    <w:rsid w:val="004D6FBA"/>
    <w:rsid w:val="004E225D"/>
    <w:rsid w:val="004E520D"/>
    <w:rsid w:val="004E6CEB"/>
    <w:rsid w:val="004F0165"/>
    <w:rsid w:val="004F060C"/>
    <w:rsid w:val="004F104E"/>
    <w:rsid w:val="004F34E8"/>
    <w:rsid w:val="004F6037"/>
    <w:rsid w:val="005000E7"/>
    <w:rsid w:val="00503B9B"/>
    <w:rsid w:val="00511AA4"/>
    <w:rsid w:val="00512857"/>
    <w:rsid w:val="00514B29"/>
    <w:rsid w:val="00521909"/>
    <w:rsid w:val="00522F1E"/>
    <w:rsid w:val="005257D8"/>
    <w:rsid w:val="005302B5"/>
    <w:rsid w:val="005324B1"/>
    <w:rsid w:val="00543549"/>
    <w:rsid w:val="005438CF"/>
    <w:rsid w:val="005520BE"/>
    <w:rsid w:val="005536FF"/>
    <w:rsid w:val="00553C8B"/>
    <w:rsid w:val="00555884"/>
    <w:rsid w:val="005600AC"/>
    <w:rsid w:val="00563E93"/>
    <w:rsid w:val="00564D5A"/>
    <w:rsid w:val="005666FD"/>
    <w:rsid w:val="0056772C"/>
    <w:rsid w:val="00571055"/>
    <w:rsid w:val="00573263"/>
    <w:rsid w:val="00574DF3"/>
    <w:rsid w:val="00577078"/>
    <w:rsid w:val="0058224F"/>
    <w:rsid w:val="005851F4"/>
    <w:rsid w:val="00586740"/>
    <w:rsid w:val="0058799A"/>
    <w:rsid w:val="0059488B"/>
    <w:rsid w:val="00595787"/>
    <w:rsid w:val="0059627A"/>
    <w:rsid w:val="00596907"/>
    <w:rsid w:val="005A2560"/>
    <w:rsid w:val="005A4646"/>
    <w:rsid w:val="005B0164"/>
    <w:rsid w:val="005B063B"/>
    <w:rsid w:val="005B0F2C"/>
    <w:rsid w:val="005B27D9"/>
    <w:rsid w:val="005B29E3"/>
    <w:rsid w:val="005B37CD"/>
    <w:rsid w:val="005B3FEC"/>
    <w:rsid w:val="005B6AC0"/>
    <w:rsid w:val="005C490C"/>
    <w:rsid w:val="005D217D"/>
    <w:rsid w:val="005D2E89"/>
    <w:rsid w:val="005D59AA"/>
    <w:rsid w:val="005D7613"/>
    <w:rsid w:val="005E0F5B"/>
    <w:rsid w:val="005E46A2"/>
    <w:rsid w:val="005E47BF"/>
    <w:rsid w:val="005E4FFA"/>
    <w:rsid w:val="005F22FF"/>
    <w:rsid w:val="005F499D"/>
    <w:rsid w:val="005F629C"/>
    <w:rsid w:val="005F7268"/>
    <w:rsid w:val="00602987"/>
    <w:rsid w:val="00602F07"/>
    <w:rsid w:val="00607B8B"/>
    <w:rsid w:val="006118F0"/>
    <w:rsid w:val="006126CE"/>
    <w:rsid w:val="006134A2"/>
    <w:rsid w:val="006213E9"/>
    <w:rsid w:val="006233CA"/>
    <w:rsid w:val="00625FD0"/>
    <w:rsid w:val="00632ECE"/>
    <w:rsid w:val="00636F6B"/>
    <w:rsid w:val="00637023"/>
    <w:rsid w:val="00637213"/>
    <w:rsid w:val="0064717F"/>
    <w:rsid w:val="00650C87"/>
    <w:rsid w:val="00652367"/>
    <w:rsid w:val="00652517"/>
    <w:rsid w:val="006527A7"/>
    <w:rsid w:val="006627B2"/>
    <w:rsid w:val="00664F3A"/>
    <w:rsid w:val="00666D2D"/>
    <w:rsid w:val="0067141B"/>
    <w:rsid w:val="00671F22"/>
    <w:rsid w:val="00672879"/>
    <w:rsid w:val="006734FF"/>
    <w:rsid w:val="00675323"/>
    <w:rsid w:val="00675AD0"/>
    <w:rsid w:val="006801BE"/>
    <w:rsid w:val="006827E6"/>
    <w:rsid w:val="00684268"/>
    <w:rsid w:val="00687892"/>
    <w:rsid w:val="006919D1"/>
    <w:rsid w:val="00691FB2"/>
    <w:rsid w:val="00692713"/>
    <w:rsid w:val="00693A4F"/>
    <w:rsid w:val="006946E9"/>
    <w:rsid w:val="006A0893"/>
    <w:rsid w:val="006B1624"/>
    <w:rsid w:val="006B2630"/>
    <w:rsid w:val="006B2DDC"/>
    <w:rsid w:val="006B5CF5"/>
    <w:rsid w:val="006B6857"/>
    <w:rsid w:val="006B6A03"/>
    <w:rsid w:val="006C04CD"/>
    <w:rsid w:val="006C3FD5"/>
    <w:rsid w:val="006C54F9"/>
    <w:rsid w:val="006C604D"/>
    <w:rsid w:val="006C6E25"/>
    <w:rsid w:val="006D74DF"/>
    <w:rsid w:val="006D7780"/>
    <w:rsid w:val="006E0C45"/>
    <w:rsid w:val="006E2325"/>
    <w:rsid w:val="006E2DA4"/>
    <w:rsid w:val="006E410C"/>
    <w:rsid w:val="006E486E"/>
    <w:rsid w:val="006F30FD"/>
    <w:rsid w:val="006F6487"/>
    <w:rsid w:val="007009C2"/>
    <w:rsid w:val="00700FF8"/>
    <w:rsid w:val="00701D81"/>
    <w:rsid w:val="00705F97"/>
    <w:rsid w:val="00706451"/>
    <w:rsid w:val="0071121F"/>
    <w:rsid w:val="00712001"/>
    <w:rsid w:val="00714179"/>
    <w:rsid w:val="007160EF"/>
    <w:rsid w:val="00716738"/>
    <w:rsid w:val="00716845"/>
    <w:rsid w:val="00717A49"/>
    <w:rsid w:val="00721C4E"/>
    <w:rsid w:val="007257BA"/>
    <w:rsid w:val="00725F7F"/>
    <w:rsid w:val="00726211"/>
    <w:rsid w:val="00727716"/>
    <w:rsid w:val="00727A48"/>
    <w:rsid w:val="00731062"/>
    <w:rsid w:val="007367DB"/>
    <w:rsid w:val="00743870"/>
    <w:rsid w:val="0074557B"/>
    <w:rsid w:val="0074772A"/>
    <w:rsid w:val="00747884"/>
    <w:rsid w:val="00750823"/>
    <w:rsid w:val="00751ACC"/>
    <w:rsid w:val="00752995"/>
    <w:rsid w:val="007623F6"/>
    <w:rsid w:val="007624BD"/>
    <w:rsid w:val="00765CA9"/>
    <w:rsid w:val="00770E2D"/>
    <w:rsid w:val="0078158D"/>
    <w:rsid w:val="007818FA"/>
    <w:rsid w:val="00782F8E"/>
    <w:rsid w:val="0078506C"/>
    <w:rsid w:val="00791309"/>
    <w:rsid w:val="007967AC"/>
    <w:rsid w:val="007A3443"/>
    <w:rsid w:val="007A4D70"/>
    <w:rsid w:val="007B36DC"/>
    <w:rsid w:val="007B54C8"/>
    <w:rsid w:val="007B56AD"/>
    <w:rsid w:val="007B7BF4"/>
    <w:rsid w:val="007C1CE8"/>
    <w:rsid w:val="007C2CC6"/>
    <w:rsid w:val="007C4F26"/>
    <w:rsid w:val="007C5ECE"/>
    <w:rsid w:val="007C63B0"/>
    <w:rsid w:val="007C6406"/>
    <w:rsid w:val="007C74E8"/>
    <w:rsid w:val="007D4101"/>
    <w:rsid w:val="007D5294"/>
    <w:rsid w:val="007E0FCF"/>
    <w:rsid w:val="007E37C3"/>
    <w:rsid w:val="007E73B5"/>
    <w:rsid w:val="007F3A81"/>
    <w:rsid w:val="007F487F"/>
    <w:rsid w:val="007F774A"/>
    <w:rsid w:val="0080063B"/>
    <w:rsid w:val="00801D11"/>
    <w:rsid w:val="00802C47"/>
    <w:rsid w:val="008032C6"/>
    <w:rsid w:val="00803583"/>
    <w:rsid w:val="00803CF9"/>
    <w:rsid w:val="00805DE4"/>
    <w:rsid w:val="008074FD"/>
    <w:rsid w:val="00810F7E"/>
    <w:rsid w:val="00811AA7"/>
    <w:rsid w:val="00816252"/>
    <w:rsid w:val="008164ED"/>
    <w:rsid w:val="00817917"/>
    <w:rsid w:val="0082051E"/>
    <w:rsid w:val="008221D6"/>
    <w:rsid w:val="00822509"/>
    <w:rsid w:val="00824857"/>
    <w:rsid w:val="00825AB4"/>
    <w:rsid w:val="008262CC"/>
    <w:rsid w:val="0082638E"/>
    <w:rsid w:val="00830DCF"/>
    <w:rsid w:val="0083102B"/>
    <w:rsid w:val="008327FE"/>
    <w:rsid w:val="008365DA"/>
    <w:rsid w:val="00836944"/>
    <w:rsid w:val="00837410"/>
    <w:rsid w:val="00843CC9"/>
    <w:rsid w:val="00847E03"/>
    <w:rsid w:val="00852022"/>
    <w:rsid w:val="00860A4D"/>
    <w:rsid w:val="00860CD7"/>
    <w:rsid w:val="00862D79"/>
    <w:rsid w:val="00866043"/>
    <w:rsid w:val="008701C0"/>
    <w:rsid w:val="0087077F"/>
    <w:rsid w:val="00872AD0"/>
    <w:rsid w:val="00882938"/>
    <w:rsid w:val="00890E45"/>
    <w:rsid w:val="00892E53"/>
    <w:rsid w:val="00893014"/>
    <w:rsid w:val="0089408F"/>
    <w:rsid w:val="00894F3D"/>
    <w:rsid w:val="008A1C27"/>
    <w:rsid w:val="008A3536"/>
    <w:rsid w:val="008B3A0E"/>
    <w:rsid w:val="008B424E"/>
    <w:rsid w:val="008C2A05"/>
    <w:rsid w:val="008C34FF"/>
    <w:rsid w:val="008D013E"/>
    <w:rsid w:val="008D4BA4"/>
    <w:rsid w:val="008D54C3"/>
    <w:rsid w:val="008D59F1"/>
    <w:rsid w:val="008E1311"/>
    <w:rsid w:val="008E25C0"/>
    <w:rsid w:val="008E53BD"/>
    <w:rsid w:val="008F3A87"/>
    <w:rsid w:val="008F4DA8"/>
    <w:rsid w:val="008F7505"/>
    <w:rsid w:val="00900AFD"/>
    <w:rsid w:val="00900ED2"/>
    <w:rsid w:val="009040A6"/>
    <w:rsid w:val="00904CB1"/>
    <w:rsid w:val="009144EA"/>
    <w:rsid w:val="00914540"/>
    <w:rsid w:val="009154A7"/>
    <w:rsid w:val="00915AE6"/>
    <w:rsid w:val="00915D51"/>
    <w:rsid w:val="00915E52"/>
    <w:rsid w:val="009207F7"/>
    <w:rsid w:val="00923327"/>
    <w:rsid w:val="0092660C"/>
    <w:rsid w:val="0093035C"/>
    <w:rsid w:val="00931864"/>
    <w:rsid w:val="00931E7E"/>
    <w:rsid w:val="009338BA"/>
    <w:rsid w:val="00933D50"/>
    <w:rsid w:val="0093757F"/>
    <w:rsid w:val="009413E5"/>
    <w:rsid w:val="0094178A"/>
    <w:rsid w:val="009428B0"/>
    <w:rsid w:val="00943EC4"/>
    <w:rsid w:val="009458F1"/>
    <w:rsid w:val="00946F5E"/>
    <w:rsid w:val="009505D0"/>
    <w:rsid w:val="00950AC9"/>
    <w:rsid w:val="00962E97"/>
    <w:rsid w:val="00966889"/>
    <w:rsid w:val="00973E57"/>
    <w:rsid w:val="009744C2"/>
    <w:rsid w:val="00977C73"/>
    <w:rsid w:val="00984A4E"/>
    <w:rsid w:val="0098650C"/>
    <w:rsid w:val="009931E2"/>
    <w:rsid w:val="00995627"/>
    <w:rsid w:val="009967A5"/>
    <w:rsid w:val="009A0690"/>
    <w:rsid w:val="009A0FBE"/>
    <w:rsid w:val="009A0FC0"/>
    <w:rsid w:val="009A5C69"/>
    <w:rsid w:val="009B0941"/>
    <w:rsid w:val="009B1C89"/>
    <w:rsid w:val="009B21A4"/>
    <w:rsid w:val="009B5D88"/>
    <w:rsid w:val="009C035E"/>
    <w:rsid w:val="009C1021"/>
    <w:rsid w:val="009C1100"/>
    <w:rsid w:val="009C26F4"/>
    <w:rsid w:val="009C3406"/>
    <w:rsid w:val="009C36FC"/>
    <w:rsid w:val="009C416A"/>
    <w:rsid w:val="009C4BFA"/>
    <w:rsid w:val="009D04B6"/>
    <w:rsid w:val="009D1A39"/>
    <w:rsid w:val="009D44D6"/>
    <w:rsid w:val="009D5FB8"/>
    <w:rsid w:val="009D7C2E"/>
    <w:rsid w:val="009E10A0"/>
    <w:rsid w:val="009F13A6"/>
    <w:rsid w:val="00A024B7"/>
    <w:rsid w:val="00A03363"/>
    <w:rsid w:val="00A07708"/>
    <w:rsid w:val="00A16B09"/>
    <w:rsid w:val="00A16EB0"/>
    <w:rsid w:val="00A1701F"/>
    <w:rsid w:val="00A21A2B"/>
    <w:rsid w:val="00A25C80"/>
    <w:rsid w:val="00A261B6"/>
    <w:rsid w:val="00A305E3"/>
    <w:rsid w:val="00A402C0"/>
    <w:rsid w:val="00A42899"/>
    <w:rsid w:val="00A43B30"/>
    <w:rsid w:val="00A45F29"/>
    <w:rsid w:val="00A46A68"/>
    <w:rsid w:val="00A52A3F"/>
    <w:rsid w:val="00A55454"/>
    <w:rsid w:val="00A6175A"/>
    <w:rsid w:val="00A61E13"/>
    <w:rsid w:val="00A64B7D"/>
    <w:rsid w:val="00A64FCC"/>
    <w:rsid w:val="00A66BD6"/>
    <w:rsid w:val="00A67CF0"/>
    <w:rsid w:val="00A70354"/>
    <w:rsid w:val="00A720CA"/>
    <w:rsid w:val="00A731AD"/>
    <w:rsid w:val="00A77397"/>
    <w:rsid w:val="00A77E8A"/>
    <w:rsid w:val="00A82C22"/>
    <w:rsid w:val="00A85B94"/>
    <w:rsid w:val="00A8671C"/>
    <w:rsid w:val="00A87C23"/>
    <w:rsid w:val="00A9045C"/>
    <w:rsid w:val="00A922EB"/>
    <w:rsid w:val="00A94630"/>
    <w:rsid w:val="00A94AEF"/>
    <w:rsid w:val="00A9523E"/>
    <w:rsid w:val="00A95638"/>
    <w:rsid w:val="00A960A9"/>
    <w:rsid w:val="00A9665B"/>
    <w:rsid w:val="00AA22B7"/>
    <w:rsid w:val="00AA2CA4"/>
    <w:rsid w:val="00AA3281"/>
    <w:rsid w:val="00AA330D"/>
    <w:rsid w:val="00AA380B"/>
    <w:rsid w:val="00AA5F48"/>
    <w:rsid w:val="00AA5FF2"/>
    <w:rsid w:val="00AB0061"/>
    <w:rsid w:val="00AB0BB6"/>
    <w:rsid w:val="00AB1743"/>
    <w:rsid w:val="00AB1E30"/>
    <w:rsid w:val="00AB667B"/>
    <w:rsid w:val="00AC3B3A"/>
    <w:rsid w:val="00AC4850"/>
    <w:rsid w:val="00AC51D3"/>
    <w:rsid w:val="00AC70CB"/>
    <w:rsid w:val="00AD0E35"/>
    <w:rsid w:val="00AD2DE3"/>
    <w:rsid w:val="00AD5604"/>
    <w:rsid w:val="00AE1069"/>
    <w:rsid w:val="00AE1415"/>
    <w:rsid w:val="00AE48A1"/>
    <w:rsid w:val="00AE69D9"/>
    <w:rsid w:val="00AF2944"/>
    <w:rsid w:val="00AF3235"/>
    <w:rsid w:val="00AF7A41"/>
    <w:rsid w:val="00B03316"/>
    <w:rsid w:val="00B075F7"/>
    <w:rsid w:val="00B126CE"/>
    <w:rsid w:val="00B137E4"/>
    <w:rsid w:val="00B13DBD"/>
    <w:rsid w:val="00B17C21"/>
    <w:rsid w:val="00B2293D"/>
    <w:rsid w:val="00B2330D"/>
    <w:rsid w:val="00B262A2"/>
    <w:rsid w:val="00B267C6"/>
    <w:rsid w:val="00B3248B"/>
    <w:rsid w:val="00B3496E"/>
    <w:rsid w:val="00B3576B"/>
    <w:rsid w:val="00B36748"/>
    <w:rsid w:val="00B41E15"/>
    <w:rsid w:val="00B4261B"/>
    <w:rsid w:val="00B44D5D"/>
    <w:rsid w:val="00B5063D"/>
    <w:rsid w:val="00B56095"/>
    <w:rsid w:val="00B61CAE"/>
    <w:rsid w:val="00B6258E"/>
    <w:rsid w:val="00B63417"/>
    <w:rsid w:val="00B65DF4"/>
    <w:rsid w:val="00B67227"/>
    <w:rsid w:val="00B679A6"/>
    <w:rsid w:val="00B67E92"/>
    <w:rsid w:val="00B7041D"/>
    <w:rsid w:val="00B742F5"/>
    <w:rsid w:val="00B779CC"/>
    <w:rsid w:val="00B805CD"/>
    <w:rsid w:val="00B81651"/>
    <w:rsid w:val="00B84FC3"/>
    <w:rsid w:val="00B858C2"/>
    <w:rsid w:val="00B87FC3"/>
    <w:rsid w:val="00B949B0"/>
    <w:rsid w:val="00B94DCE"/>
    <w:rsid w:val="00B96664"/>
    <w:rsid w:val="00BA44E3"/>
    <w:rsid w:val="00BA5471"/>
    <w:rsid w:val="00BA7A81"/>
    <w:rsid w:val="00BB1549"/>
    <w:rsid w:val="00BB2D35"/>
    <w:rsid w:val="00BB3253"/>
    <w:rsid w:val="00BB3376"/>
    <w:rsid w:val="00BB344F"/>
    <w:rsid w:val="00BB6407"/>
    <w:rsid w:val="00BB6D72"/>
    <w:rsid w:val="00BB7B28"/>
    <w:rsid w:val="00BC118F"/>
    <w:rsid w:val="00BC2852"/>
    <w:rsid w:val="00BC4287"/>
    <w:rsid w:val="00BD0E38"/>
    <w:rsid w:val="00BD12D7"/>
    <w:rsid w:val="00BD5FBD"/>
    <w:rsid w:val="00BE2515"/>
    <w:rsid w:val="00BE2C84"/>
    <w:rsid w:val="00BE5D55"/>
    <w:rsid w:val="00BE6B2B"/>
    <w:rsid w:val="00BE6EBA"/>
    <w:rsid w:val="00BF136B"/>
    <w:rsid w:val="00BF1D11"/>
    <w:rsid w:val="00BF22F8"/>
    <w:rsid w:val="00BF276B"/>
    <w:rsid w:val="00BF4C4B"/>
    <w:rsid w:val="00C00B2F"/>
    <w:rsid w:val="00C02008"/>
    <w:rsid w:val="00C063A3"/>
    <w:rsid w:val="00C078C5"/>
    <w:rsid w:val="00C1079F"/>
    <w:rsid w:val="00C10BF6"/>
    <w:rsid w:val="00C11E4E"/>
    <w:rsid w:val="00C12661"/>
    <w:rsid w:val="00C13FEE"/>
    <w:rsid w:val="00C14CC6"/>
    <w:rsid w:val="00C158BD"/>
    <w:rsid w:val="00C15E25"/>
    <w:rsid w:val="00C201DC"/>
    <w:rsid w:val="00C206CA"/>
    <w:rsid w:val="00C213FA"/>
    <w:rsid w:val="00C31844"/>
    <w:rsid w:val="00C41D18"/>
    <w:rsid w:val="00C4272A"/>
    <w:rsid w:val="00C4444F"/>
    <w:rsid w:val="00C44B79"/>
    <w:rsid w:val="00C515C5"/>
    <w:rsid w:val="00C51A76"/>
    <w:rsid w:val="00C52695"/>
    <w:rsid w:val="00C54FCF"/>
    <w:rsid w:val="00C604A8"/>
    <w:rsid w:val="00C63620"/>
    <w:rsid w:val="00C63D9C"/>
    <w:rsid w:val="00C65032"/>
    <w:rsid w:val="00C70762"/>
    <w:rsid w:val="00C71FF9"/>
    <w:rsid w:val="00C73A08"/>
    <w:rsid w:val="00C74122"/>
    <w:rsid w:val="00C75CDF"/>
    <w:rsid w:val="00C7651D"/>
    <w:rsid w:val="00C768F3"/>
    <w:rsid w:val="00C84784"/>
    <w:rsid w:val="00C852E9"/>
    <w:rsid w:val="00C922F6"/>
    <w:rsid w:val="00C961B4"/>
    <w:rsid w:val="00CA1732"/>
    <w:rsid w:val="00CA1E3A"/>
    <w:rsid w:val="00CA38CD"/>
    <w:rsid w:val="00CB02C2"/>
    <w:rsid w:val="00CB2ABB"/>
    <w:rsid w:val="00CB4712"/>
    <w:rsid w:val="00CC13D3"/>
    <w:rsid w:val="00CC1B95"/>
    <w:rsid w:val="00CC4993"/>
    <w:rsid w:val="00CC6147"/>
    <w:rsid w:val="00CD32E0"/>
    <w:rsid w:val="00CD4CE3"/>
    <w:rsid w:val="00CD5D26"/>
    <w:rsid w:val="00CE2551"/>
    <w:rsid w:val="00CF0EDF"/>
    <w:rsid w:val="00CF24E1"/>
    <w:rsid w:val="00CF2724"/>
    <w:rsid w:val="00CF2B7D"/>
    <w:rsid w:val="00CF5ADD"/>
    <w:rsid w:val="00CF623E"/>
    <w:rsid w:val="00CF6768"/>
    <w:rsid w:val="00D04F35"/>
    <w:rsid w:val="00D06607"/>
    <w:rsid w:val="00D1016A"/>
    <w:rsid w:val="00D118E8"/>
    <w:rsid w:val="00D13476"/>
    <w:rsid w:val="00D159DC"/>
    <w:rsid w:val="00D2179D"/>
    <w:rsid w:val="00D21FB2"/>
    <w:rsid w:val="00D224FC"/>
    <w:rsid w:val="00D23FD5"/>
    <w:rsid w:val="00D2460A"/>
    <w:rsid w:val="00D25AF5"/>
    <w:rsid w:val="00D2638E"/>
    <w:rsid w:val="00D335DF"/>
    <w:rsid w:val="00D34606"/>
    <w:rsid w:val="00D36851"/>
    <w:rsid w:val="00D42514"/>
    <w:rsid w:val="00D435A2"/>
    <w:rsid w:val="00D460BD"/>
    <w:rsid w:val="00D47DF1"/>
    <w:rsid w:val="00D5001B"/>
    <w:rsid w:val="00D5112A"/>
    <w:rsid w:val="00D5785F"/>
    <w:rsid w:val="00D61D1D"/>
    <w:rsid w:val="00D62983"/>
    <w:rsid w:val="00D64CD5"/>
    <w:rsid w:val="00D64D04"/>
    <w:rsid w:val="00D74709"/>
    <w:rsid w:val="00D76B0E"/>
    <w:rsid w:val="00D7726E"/>
    <w:rsid w:val="00D8094C"/>
    <w:rsid w:val="00D81BF9"/>
    <w:rsid w:val="00D84A86"/>
    <w:rsid w:val="00D85320"/>
    <w:rsid w:val="00D93386"/>
    <w:rsid w:val="00D95D63"/>
    <w:rsid w:val="00D96477"/>
    <w:rsid w:val="00DA6C89"/>
    <w:rsid w:val="00DA76F3"/>
    <w:rsid w:val="00DB0526"/>
    <w:rsid w:val="00DB2999"/>
    <w:rsid w:val="00DB2E0B"/>
    <w:rsid w:val="00DB44AA"/>
    <w:rsid w:val="00DB56CA"/>
    <w:rsid w:val="00DB7715"/>
    <w:rsid w:val="00DC0C45"/>
    <w:rsid w:val="00DC1FCE"/>
    <w:rsid w:val="00DC202B"/>
    <w:rsid w:val="00DC3494"/>
    <w:rsid w:val="00DC467C"/>
    <w:rsid w:val="00DD04C0"/>
    <w:rsid w:val="00DD3648"/>
    <w:rsid w:val="00DE33DE"/>
    <w:rsid w:val="00DE6961"/>
    <w:rsid w:val="00DE7955"/>
    <w:rsid w:val="00DF0820"/>
    <w:rsid w:val="00DF3E9B"/>
    <w:rsid w:val="00DF5A80"/>
    <w:rsid w:val="00E033AC"/>
    <w:rsid w:val="00E03FFB"/>
    <w:rsid w:val="00E049FD"/>
    <w:rsid w:val="00E04B1D"/>
    <w:rsid w:val="00E108C3"/>
    <w:rsid w:val="00E10A97"/>
    <w:rsid w:val="00E12CB3"/>
    <w:rsid w:val="00E13A41"/>
    <w:rsid w:val="00E14122"/>
    <w:rsid w:val="00E15339"/>
    <w:rsid w:val="00E15AD2"/>
    <w:rsid w:val="00E15D04"/>
    <w:rsid w:val="00E21388"/>
    <w:rsid w:val="00E22E68"/>
    <w:rsid w:val="00E308DD"/>
    <w:rsid w:val="00E31819"/>
    <w:rsid w:val="00E32420"/>
    <w:rsid w:val="00E41BC8"/>
    <w:rsid w:val="00E41CD0"/>
    <w:rsid w:val="00E43A68"/>
    <w:rsid w:val="00E45C7D"/>
    <w:rsid w:val="00E5021D"/>
    <w:rsid w:val="00E55AC8"/>
    <w:rsid w:val="00E5765D"/>
    <w:rsid w:val="00E6223B"/>
    <w:rsid w:val="00E627E3"/>
    <w:rsid w:val="00E63FD4"/>
    <w:rsid w:val="00E70A88"/>
    <w:rsid w:val="00E70F23"/>
    <w:rsid w:val="00E73711"/>
    <w:rsid w:val="00E75F1F"/>
    <w:rsid w:val="00E75F2F"/>
    <w:rsid w:val="00E776BD"/>
    <w:rsid w:val="00E83A15"/>
    <w:rsid w:val="00E86F97"/>
    <w:rsid w:val="00E874C2"/>
    <w:rsid w:val="00E92717"/>
    <w:rsid w:val="00E95560"/>
    <w:rsid w:val="00E97086"/>
    <w:rsid w:val="00EA138B"/>
    <w:rsid w:val="00EA16DD"/>
    <w:rsid w:val="00EA53FB"/>
    <w:rsid w:val="00EA6062"/>
    <w:rsid w:val="00EB1F24"/>
    <w:rsid w:val="00EB35FE"/>
    <w:rsid w:val="00EB476A"/>
    <w:rsid w:val="00EB5230"/>
    <w:rsid w:val="00EC0C12"/>
    <w:rsid w:val="00EE05DE"/>
    <w:rsid w:val="00EE2E8C"/>
    <w:rsid w:val="00EE33FB"/>
    <w:rsid w:val="00EE342A"/>
    <w:rsid w:val="00EE4A98"/>
    <w:rsid w:val="00EE5DEF"/>
    <w:rsid w:val="00EF226C"/>
    <w:rsid w:val="00EF2574"/>
    <w:rsid w:val="00EF4F3E"/>
    <w:rsid w:val="00F01421"/>
    <w:rsid w:val="00F0330F"/>
    <w:rsid w:val="00F04AC9"/>
    <w:rsid w:val="00F0585A"/>
    <w:rsid w:val="00F05E1D"/>
    <w:rsid w:val="00F0657E"/>
    <w:rsid w:val="00F1238D"/>
    <w:rsid w:val="00F171D8"/>
    <w:rsid w:val="00F20B7F"/>
    <w:rsid w:val="00F2192A"/>
    <w:rsid w:val="00F3020C"/>
    <w:rsid w:val="00F3434F"/>
    <w:rsid w:val="00F36DA2"/>
    <w:rsid w:val="00F37063"/>
    <w:rsid w:val="00F3709E"/>
    <w:rsid w:val="00F373F2"/>
    <w:rsid w:val="00F41D06"/>
    <w:rsid w:val="00F52985"/>
    <w:rsid w:val="00F53879"/>
    <w:rsid w:val="00F5387A"/>
    <w:rsid w:val="00F57370"/>
    <w:rsid w:val="00F57ABC"/>
    <w:rsid w:val="00F64007"/>
    <w:rsid w:val="00F75E57"/>
    <w:rsid w:val="00F7608C"/>
    <w:rsid w:val="00F76EC3"/>
    <w:rsid w:val="00F7700F"/>
    <w:rsid w:val="00F7704D"/>
    <w:rsid w:val="00F81BA2"/>
    <w:rsid w:val="00F82DC2"/>
    <w:rsid w:val="00F862E1"/>
    <w:rsid w:val="00F94BB5"/>
    <w:rsid w:val="00F97486"/>
    <w:rsid w:val="00F978F8"/>
    <w:rsid w:val="00FA1152"/>
    <w:rsid w:val="00FA332E"/>
    <w:rsid w:val="00FA51B8"/>
    <w:rsid w:val="00FB5F57"/>
    <w:rsid w:val="00FC65F0"/>
    <w:rsid w:val="00FC66CB"/>
    <w:rsid w:val="00FC7862"/>
    <w:rsid w:val="00FD0C74"/>
    <w:rsid w:val="00FD15E0"/>
    <w:rsid w:val="00FD266A"/>
    <w:rsid w:val="00FD6231"/>
    <w:rsid w:val="00FD79A2"/>
    <w:rsid w:val="00FD7D2D"/>
    <w:rsid w:val="00FE1843"/>
    <w:rsid w:val="00FE3DFC"/>
    <w:rsid w:val="00FE52D7"/>
    <w:rsid w:val="00FE59E5"/>
    <w:rsid w:val="00FF0749"/>
    <w:rsid w:val="00FF7470"/>
    <w:rsid w:val="4B8ED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6AAD"/>
  <w15:chartTrackingRefBased/>
  <w15:docId w15:val="{18D0E8C4-97F1-4D34-A49E-9525B370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29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F57370"/>
    <w:pPr>
      <w:keepNext/>
      <w:numPr>
        <w:numId w:val="1"/>
      </w:numPr>
      <w:outlineLvl w:val="0"/>
    </w:pPr>
    <w:rPr>
      <w:b/>
      <w:bCs/>
      <w:lang w:val="en-GB"/>
    </w:rPr>
  </w:style>
  <w:style w:type="paragraph" w:styleId="Heading2">
    <w:name w:val="heading 2"/>
    <w:basedOn w:val="Normal"/>
    <w:next w:val="Normal"/>
    <w:link w:val="Heading2Char"/>
    <w:unhideWhenUsed/>
    <w:qFormat/>
    <w:rsid w:val="00F57370"/>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1016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1016A"/>
    <w:pPr>
      <w:keepNext/>
      <w:ind w:left="1440"/>
      <w:outlineLvl w:val="3"/>
    </w:pPr>
    <w:rPr>
      <w:i/>
      <w:iCs/>
    </w:rPr>
  </w:style>
  <w:style w:type="paragraph" w:styleId="Heading5">
    <w:name w:val="heading 5"/>
    <w:basedOn w:val="Normal"/>
    <w:next w:val="Normal"/>
    <w:link w:val="Heading5Char"/>
    <w:qFormat/>
    <w:rsid w:val="00D1016A"/>
    <w:pPr>
      <w:spacing w:before="240" w:after="60"/>
      <w:outlineLvl w:val="4"/>
    </w:pPr>
    <w:rPr>
      <w:b/>
      <w:bCs/>
      <w:i/>
      <w:iCs/>
      <w:sz w:val="26"/>
      <w:szCs w:val="26"/>
    </w:rPr>
  </w:style>
  <w:style w:type="paragraph" w:styleId="Heading6">
    <w:name w:val="heading 6"/>
    <w:basedOn w:val="Normal"/>
    <w:next w:val="Normal"/>
    <w:link w:val="Heading6Char"/>
    <w:qFormat/>
    <w:rsid w:val="00D1016A"/>
    <w:pPr>
      <w:spacing w:before="240" w:after="60"/>
      <w:outlineLvl w:val="5"/>
    </w:pPr>
    <w:rPr>
      <w:b/>
      <w:bCs/>
      <w:sz w:val="22"/>
      <w:szCs w:val="22"/>
    </w:rPr>
  </w:style>
  <w:style w:type="paragraph" w:styleId="Heading7">
    <w:name w:val="heading 7"/>
    <w:basedOn w:val="Normal"/>
    <w:next w:val="Normal"/>
    <w:link w:val="Heading7Char"/>
    <w:qFormat/>
    <w:rsid w:val="00D1016A"/>
    <w:pPr>
      <w:keepNext/>
      <w:spacing w:line="360" w:lineRule="auto"/>
      <w:ind w:left="2198"/>
      <w:outlineLvl w:val="6"/>
    </w:pPr>
    <w:rPr>
      <w:b/>
      <w:bCs/>
      <w:sz w:val="22"/>
    </w:rPr>
  </w:style>
  <w:style w:type="paragraph" w:styleId="Heading8">
    <w:name w:val="heading 8"/>
    <w:basedOn w:val="Normal"/>
    <w:next w:val="Normal"/>
    <w:link w:val="Heading8Char"/>
    <w:qFormat/>
    <w:rsid w:val="00D1016A"/>
    <w:pPr>
      <w:keepNext/>
      <w:ind w:firstLine="720"/>
      <w:jc w:val="center"/>
      <w:outlineLvl w:val="7"/>
    </w:pPr>
    <w:rPr>
      <w:b/>
      <w:bCs/>
      <w:i/>
      <w:iCs/>
      <w:sz w:val="22"/>
    </w:rPr>
  </w:style>
  <w:style w:type="paragraph" w:styleId="Heading9">
    <w:name w:val="heading 9"/>
    <w:basedOn w:val="Normal"/>
    <w:next w:val="Normal"/>
    <w:link w:val="Heading9Char"/>
    <w:qFormat/>
    <w:rsid w:val="00D1016A"/>
    <w:pPr>
      <w:keepNext/>
      <w:widowControl w:val="0"/>
      <w:tabs>
        <w:tab w:val="left" w:pos="720"/>
      </w:tabs>
      <w:spacing w:line="260" w:lineRule="atLeast"/>
      <w:ind w:left="720" w:right="-427" w:hanging="720"/>
      <w:jc w:val="center"/>
      <w:outlineLvl w:val="8"/>
    </w:pPr>
    <w:rPr>
      <w:b/>
      <w:kern w:val="1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7370"/>
    <w:rPr>
      <w:rFonts w:ascii="Times New Roman" w:eastAsia="Times New Roman" w:hAnsi="Times New Roman"/>
      <w:b/>
      <w:bCs/>
      <w:sz w:val="24"/>
      <w:szCs w:val="24"/>
      <w:lang w:val="en-GB" w:eastAsia="en-US"/>
    </w:rPr>
  </w:style>
  <w:style w:type="character" w:customStyle="1" w:styleId="Heading2Char">
    <w:name w:val="Heading 2 Char"/>
    <w:link w:val="Heading2"/>
    <w:rsid w:val="00F57370"/>
    <w:rPr>
      <w:rFonts w:ascii="Arial" w:eastAsia="Times New Roman" w:hAnsi="Arial"/>
      <w:b/>
      <w:bCs/>
      <w:i/>
      <w:iCs/>
      <w:sz w:val="28"/>
      <w:szCs w:val="28"/>
      <w:lang w:val="en-US" w:eastAsia="en-US"/>
    </w:rPr>
  </w:style>
  <w:style w:type="character" w:styleId="Hyperlink">
    <w:name w:val="Hyperlink"/>
    <w:uiPriority w:val="99"/>
    <w:unhideWhenUsed/>
    <w:rsid w:val="00F57370"/>
    <w:rPr>
      <w:color w:val="0000FF"/>
      <w:u w:val="single"/>
    </w:rPr>
  </w:style>
  <w:style w:type="paragraph" w:styleId="FootnoteText">
    <w:name w:val="footnote text"/>
    <w:basedOn w:val="Normal"/>
    <w:link w:val="FootnoteTextChar"/>
    <w:uiPriority w:val="99"/>
    <w:unhideWhenUsed/>
    <w:rsid w:val="00F57370"/>
    <w:rPr>
      <w:sz w:val="20"/>
      <w:szCs w:val="20"/>
      <w:lang w:eastAsia="x-none"/>
    </w:rPr>
  </w:style>
  <w:style w:type="character" w:customStyle="1" w:styleId="FootnoteTextChar">
    <w:name w:val="Footnote Text Char"/>
    <w:link w:val="FootnoteText"/>
    <w:uiPriority w:val="99"/>
    <w:rsid w:val="00F57370"/>
    <w:rPr>
      <w:rFonts w:ascii="Times New Roman" w:eastAsia="Times New Roman" w:hAnsi="Times New Roman" w:cs="Times New Roman"/>
      <w:sz w:val="20"/>
      <w:szCs w:val="20"/>
      <w:lang w:val="en-US"/>
    </w:rPr>
  </w:style>
  <w:style w:type="paragraph" w:styleId="EndnoteText">
    <w:name w:val="endnote text"/>
    <w:basedOn w:val="Normal"/>
    <w:link w:val="EndnoteTextChar"/>
    <w:unhideWhenUsed/>
    <w:rsid w:val="00F57370"/>
    <w:rPr>
      <w:sz w:val="20"/>
      <w:szCs w:val="20"/>
      <w:lang w:eastAsia="x-none"/>
    </w:rPr>
  </w:style>
  <w:style w:type="character" w:customStyle="1" w:styleId="EndnoteTextChar">
    <w:name w:val="Endnote Text Char"/>
    <w:link w:val="EndnoteText"/>
    <w:rsid w:val="00F57370"/>
    <w:rPr>
      <w:rFonts w:ascii="Times New Roman" w:eastAsia="Times New Roman" w:hAnsi="Times New Roman" w:cs="Times New Roman"/>
      <w:sz w:val="20"/>
      <w:szCs w:val="20"/>
      <w:lang w:val="en-US"/>
    </w:rPr>
  </w:style>
  <w:style w:type="paragraph" w:styleId="BodyText2">
    <w:name w:val="Body Text 2"/>
    <w:basedOn w:val="Normal"/>
    <w:link w:val="BodyText2Char"/>
    <w:unhideWhenUsed/>
    <w:rsid w:val="00F57370"/>
    <w:rPr>
      <w:sz w:val="20"/>
      <w:lang w:val="en-GB" w:eastAsia="x-none"/>
    </w:rPr>
  </w:style>
  <w:style w:type="character" w:customStyle="1" w:styleId="BodyText2Char">
    <w:name w:val="Body Text 2 Char"/>
    <w:link w:val="BodyText2"/>
    <w:rsid w:val="00F57370"/>
    <w:rPr>
      <w:rFonts w:ascii="Times New Roman" w:eastAsia="Times New Roman" w:hAnsi="Times New Roman" w:cs="Times New Roman"/>
      <w:szCs w:val="24"/>
      <w:lang w:val="en-GB"/>
    </w:rPr>
  </w:style>
  <w:style w:type="paragraph" w:customStyle="1" w:styleId="Default">
    <w:name w:val="Default"/>
    <w:rsid w:val="00F57370"/>
    <w:pPr>
      <w:widowControl w:val="0"/>
      <w:autoSpaceDE w:val="0"/>
      <w:autoSpaceDN w:val="0"/>
      <w:adjustRightInd w:val="0"/>
    </w:pPr>
    <w:rPr>
      <w:rFonts w:ascii="Times New Roman" w:eastAsia="Times New Roman" w:hAnsi="Times New Roman"/>
      <w:color w:val="000000"/>
      <w:sz w:val="24"/>
      <w:szCs w:val="24"/>
      <w:lang w:val="en-US" w:eastAsia="en-US"/>
    </w:rPr>
  </w:style>
  <w:style w:type="character" w:styleId="FootnoteReference">
    <w:name w:val="footnote reference"/>
    <w:unhideWhenUsed/>
    <w:rsid w:val="00F57370"/>
    <w:rPr>
      <w:vertAlign w:val="superscript"/>
    </w:rPr>
  </w:style>
  <w:style w:type="paragraph" w:styleId="NormalWeb">
    <w:name w:val="Normal (Web)"/>
    <w:basedOn w:val="Normal"/>
    <w:uiPriority w:val="99"/>
    <w:unhideWhenUsed/>
    <w:rsid w:val="00866043"/>
    <w:pPr>
      <w:spacing w:before="100" w:beforeAutospacing="1" w:after="100" w:afterAutospacing="1"/>
    </w:pPr>
    <w:rPr>
      <w:lang w:val="lt-LT" w:eastAsia="lt-LT"/>
    </w:rPr>
  </w:style>
  <w:style w:type="character" w:styleId="Strong">
    <w:name w:val="Strong"/>
    <w:uiPriority w:val="22"/>
    <w:qFormat/>
    <w:rsid w:val="00866043"/>
    <w:rPr>
      <w:b/>
      <w:bCs/>
    </w:rPr>
  </w:style>
  <w:style w:type="table" w:styleId="TableGrid">
    <w:name w:val="Table Grid"/>
    <w:basedOn w:val="TableNormal"/>
    <w:uiPriority w:val="59"/>
    <w:rsid w:val="00805D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D1016A"/>
    <w:rPr>
      <w:rFonts w:ascii="Arial" w:eastAsia="Times New Roman" w:hAnsi="Arial"/>
      <w:b/>
      <w:bCs/>
      <w:sz w:val="26"/>
      <w:szCs w:val="26"/>
      <w:lang w:val="en-US" w:eastAsia="en-US"/>
    </w:rPr>
  </w:style>
  <w:style w:type="character" w:customStyle="1" w:styleId="Heading4Char">
    <w:name w:val="Heading 4 Char"/>
    <w:link w:val="Heading4"/>
    <w:rsid w:val="00D1016A"/>
    <w:rPr>
      <w:rFonts w:ascii="Times New Roman" w:eastAsia="Times New Roman" w:hAnsi="Times New Roman"/>
      <w:i/>
      <w:iCs/>
      <w:sz w:val="24"/>
      <w:szCs w:val="24"/>
      <w:lang w:val="en-US" w:eastAsia="en-US"/>
    </w:rPr>
  </w:style>
  <w:style w:type="character" w:customStyle="1" w:styleId="Heading5Char">
    <w:name w:val="Heading 5 Char"/>
    <w:link w:val="Heading5"/>
    <w:rsid w:val="00D1016A"/>
    <w:rPr>
      <w:rFonts w:ascii="Times New Roman" w:eastAsia="Times New Roman" w:hAnsi="Times New Roman"/>
      <w:b/>
      <w:bCs/>
      <w:i/>
      <w:iCs/>
      <w:sz w:val="26"/>
      <w:szCs w:val="26"/>
      <w:lang w:val="en-US" w:eastAsia="en-US"/>
    </w:rPr>
  </w:style>
  <w:style w:type="character" w:customStyle="1" w:styleId="Heading6Char">
    <w:name w:val="Heading 6 Char"/>
    <w:link w:val="Heading6"/>
    <w:rsid w:val="00D1016A"/>
    <w:rPr>
      <w:rFonts w:ascii="Times New Roman" w:eastAsia="Times New Roman" w:hAnsi="Times New Roman"/>
      <w:b/>
      <w:bCs/>
      <w:sz w:val="22"/>
      <w:szCs w:val="22"/>
      <w:lang w:val="en-US" w:eastAsia="en-US"/>
    </w:rPr>
  </w:style>
  <w:style w:type="character" w:customStyle="1" w:styleId="Heading7Char">
    <w:name w:val="Heading 7 Char"/>
    <w:link w:val="Heading7"/>
    <w:rsid w:val="00D1016A"/>
    <w:rPr>
      <w:rFonts w:ascii="Times New Roman" w:eastAsia="Times New Roman" w:hAnsi="Times New Roman"/>
      <w:b/>
      <w:bCs/>
      <w:sz w:val="22"/>
      <w:szCs w:val="24"/>
      <w:lang w:val="en-US" w:eastAsia="en-US"/>
    </w:rPr>
  </w:style>
  <w:style w:type="character" w:customStyle="1" w:styleId="Heading8Char">
    <w:name w:val="Heading 8 Char"/>
    <w:link w:val="Heading8"/>
    <w:rsid w:val="00D1016A"/>
    <w:rPr>
      <w:rFonts w:ascii="Times New Roman" w:eastAsia="Times New Roman" w:hAnsi="Times New Roman"/>
      <w:b/>
      <w:bCs/>
      <w:i/>
      <w:iCs/>
      <w:sz w:val="22"/>
      <w:szCs w:val="24"/>
      <w:lang w:val="en-US" w:eastAsia="en-US"/>
    </w:rPr>
  </w:style>
  <w:style w:type="character" w:customStyle="1" w:styleId="Heading9Char">
    <w:name w:val="Heading 9 Char"/>
    <w:link w:val="Heading9"/>
    <w:rsid w:val="00D1016A"/>
    <w:rPr>
      <w:rFonts w:ascii="Times New Roman" w:eastAsia="Times New Roman" w:hAnsi="Times New Roman"/>
      <w:b/>
      <w:kern w:val="14"/>
      <w:sz w:val="22"/>
      <w:szCs w:val="24"/>
      <w:lang w:val="en-US" w:eastAsia="en-US"/>
    </w:rPr>
  </w:style>
  <w:style w:type="paragraph" w:styleId="Header">
    <w:name w:val="header"/>
    <w:basedOn w:val="Normal"/>
    <w:link w:val="HeaderChar"/>
    <w:uiPriority w:val="99"/>
    <w:rsid w:val="00D1016A"/>
    <w:pPr>
      <w:tabs>
        <w:tab w:val="center" w:pos="4320"/>
        <w:tab w:val="right" w:pos="8640"/>
      </w:tabs>
    </w:pPr>
  </w:style>
  <w:style w:type="character" w:customStyle="1" w:styleId="HeaderChar">
    <w:name w:val="Header Char"/>
    <w:link w:val="Header"/>
    <w:uiPriority w:val="99"/>
    <w:rsid w:val="00D1016A"/>
    <w:rPr>
      <w:rFonts w:ascii="Times New Roman" w:eastAsia="Times New Roman" w:hAnsi="Times New Roman"/>
      <w:sz w:val="24"/>
      <w:szCs w:val="24"/>
      <w:lang w:val="en-US" w:eastAsia="en-US"/>
    </w:rPr>
  </w:style>
  <w:style w:type="paragraph" w:styleId="Footer">
    <w:name w:val="footer"/>
    <w:basedOn w:val="Normal"/>
    <w:link w:val="FooterChar"/>
    <w:uiPriority w:val="99"/>
    <w:rsid w:val="00D1016A"/>
    <w:pPr>
      <w:tabs>
        <w:tab w:val="center" w:pos="4320"/>
        <w:tab w:val="right" w:pos="8640"/>
      </w:tabs>
    </w:pPr>
  </w:style>
  <w:style w:type="character" w:customStyle="1" w:styleId="FooterChar">
    <w:name w:val="Footer Char"/>
    <w:link w:val="Footer"/>
    <w:uiPriority w:val="99"/>
    <w:rsid w:val="00D1016A"/>
    <w:rPr>
      <w:rFonts w:ascii="Times New Roman" w:eastAsia="Times New Roman" w:hAnsi="Times New Roman"/>
      <w:sz w:val="24"/>
      <w:szCs w:val="24"/>
      <w:lang w:val="en-US" w:eastAsia="en-US"/>
    </w:rPr>
  </w:style>
  <w:style w:type="character" w:styleId="PageNumber">
    <w:name w:val="page number"/>
    <w:basedOn w:val="DefaultParagraphFont"/>
    <w:rsid w:val="00D1016A"/>
  </w:style>
  <w:style w:type="paragraph" w:styleId="Title">
    <w:name w:val="Title"/>
    <w:basedOn w:val="Normal"/>
    <w:link w:val="TitleChar"/>
    <w:qFormat/>
    <w:rsid w:val="00D1016A"/>
    <w:pPr>
      <w:jc w:val="center"/>
    </w:pPr>
    <w:rPr>
      <w:rFonts w:ascii="Arial" w:hAnsi="Arial"/>
      <w:b/>
      <w:bCs/>
      <w:sz w:val="28"/>
    </w:rPr>
  </w:style>
  <w:style w:type="character" w:customStyle="1" w:styleId="TitleChar">
    <w:name w:val="Title Char"/>
    <w:link w:val="Title"/>
    <w:rsid w:val="00D1016A"/>
    <w:rPr>
      <w:rFonts w:ascii="Arial" w:eastAsia="Times New Roman" w:hAnsi="Arial"/>
      <w:b/>
      <w:bCs/>
      <w:sz w:val="28"/>
      <w:szCs w:val="24"/>
      <w:lang w:val="en-US" w:eastAsia="en-US"/>
    </w:rPr>
  </w:style>
  <w:style w:type="paragraph" w:styleId="BodyText">
    <w:name w:val="Body Text"/>
    <w:basedOn w:val="Normal"/>
    <w:link w:val="BodyTextChar"/>
    <w:rsid w:val="00D1016A"/>
    <w:pPr>
      <w:spacing w:after="120"/>
    </w:pPr>
  </w:style>
  <w:style w:type="character" w:customStyle="1" w:styleId="BodyTextChar">
    <w:name w:val="Body Text Char"/>
    <w:link w:val="BodyText"/>
    <w:rsid w:val="00D1016A"/>
    <w:rPr>
      <w:rFonts w:ascii="Times New Roman" w:eastAsia="Times New Roman" w:hAnsi="Times New Roman"/>
      <w:sz w:val="24"/>
      <w:szCs w:val="24"/>
      <w:lang w:val="en-US" w:eastAsia="en-US"/>
    </w:rPr>
  </w:style>
  <w:style w:type="paragraph" w:styleId="BodyText3">
    <w:name w:val="Body Text 3"/>
    <w:basedOn w:val="Normal"/>
    <w:link w:val="BodyText3Char"/>
    <w:rsid w:val="00D1016A"/>
    <w:pPr>
      <w:spacing w:after="120"/>
    </w:pPr>
    <w:rPr>
      <w:sz w:val="16"/>
      <w:szCs w:val="16"/>
    </w:rPr>
  </w:style>
  <w:style w:type="character" w:customStyle="1" w:styleId="BodyText3Char">
    <w:name w:val="Body Text 3 Char"/>
    <w:link w:val="BodyText3"/>
    <w:rsid w:val="00D1016A"/>
    <w:rPr>
      <w:rFonts w:ascii="Times New Roman" w:eastAsia="Times New Roman" w:hAnsi="Times New Roman"/>
      <w:sz w:val="16"/>
      <w:szCs w:val="16"/>
      <w:lang w:val="en-US" w:eastAsia="en-US"/>
    </w:rPr>
  </w:style>
  <w:style w:type="paragraph" w:styleId="BodyTextIndent">
    <w:name w:val="Body Text Indent"/>
    <w:basedOn w:val="Normal"/>
    <w:link w:val="BodyTextIndentChar"/>
    <w:rsid w:val="00D1016A"/>
    <w:pPr>
      <w:spacing w:after="120"/>
      <w:ind w:left="283"/>
    </w:pPr>
  </w:style>
  <w:style w:type="character" w:customStyle="1" w:styleId="BodyTextIndentChar">
    <w:name w:val="Body Text Indent Char"/>
    <w:link w:val="BodyTextIndent"/>
    <w:rsid w:val="00D1016A"/>
    <w:rPr>
      <w:rFonts w:ascii="Times New Roman" w:eastAsia="Times New Roman" w:hAnsi="Times New Roman"/>
      <w:sz w:val="24"/>
      <w:szCs w:val="24"/>
      <w:lang w:val="en-US" w:eastAsia="en-US"/>
    </w:rPr>
  </w:style>
  <w:style w:type="paragraph" w:customStyle="1" w:styleId="Textedebulles1">
    <w:name w:val="Texte de bulles1"/>
    <w:basedOn w:val="Normal"/>
    <w:semiHidden/>
    <w:rsid w:val="00D1016A"/>
    <w:rPr>
      <w:rFonts w:ascii="Tahoma" w:hAnsi="Tahoma" w:cs="Tahoma"/>
      <w:sz w:val="16"/>
      <w:szCs w:val="16"/>
    </w:rPr>
  </w:style>
  <w:style w:type="paragraph" w:styleId="Index1">
    <w:name w:val="index 1"/>
    <w:basedOn w:val="Normal"/>
    <w:next w:val="Normal"/>
    <w:autoRedefine/>
    <w:rsid w:val="00D1016A"/>
    <w:pPr>
      <w:ind w:left="240" w:hanging="240"/>
    </w:pPr>
    <w:rPr>
      <w:lang w:val="en-GB"/>
    </w:rPr>
  </w:style>
  <w:style w:type="paragraph" w:styleId="BalloonText">
    <w:name w:val="Balloon Text"/>
    <w:basedOn w:val="Normal"/>
    <w:link w:val="BalloonTextChar"/>
    <w:uiPriority w:val="99"/>
    <w:rsid w:val="00D1016A"/>
    <w:rPr>
      <w:rFonts w:ascii="Tahoma" w:hAnsi="Tahoma"/>
      <w:sz w:val="16"/>
      <w:szCs w:val="16"/>
    </w:rPr>
  </w:style>
  <w:style w:type="character" w:customStyle="1" w:styleId="BalloonTextChar">
    <w:name w:val="Balloon Text Char"/>
    <w:link w:val="BalloonText"/>
    <w:uiPriority w:val="99"/>
    <w:rsid w:val="00D1016A"/>
    <w:rPr>
      <w:rFonts w:ascii="Tahoma" w:eastAsia="Times New Roman" w:hAnsi="Tahoma"/>
      <w:sz w:val="16"/>
      <w:szCs w:val="16"/>
      <w:lang w:val="en-US" w:eastAsia="en-US"/>
    </w:rPr>
  </w:style>
  <w:style w:type="character" w:styleId="EndnoteReference">
    <w:name w:val="endnote reference"/>
    <w:rsid w:val="00D1016A"/>
    <w:rPr>
      <w:vertAlign w:val="superscript"/>
    </w:rPr>
  </w:style>
  <w:style w:type="character" w:styleId="Emphasis">
    <w:name w:val="Emphasis"/>
    <w:uiPriority w:val="20"/>
    <w:qFormat/>
    <w:rsid w:val="00D1016A"/>
    <w:rPr>
      <w:i/>
      <w:iCs/>
    </w:rPr>
  </w:style>
  <w:style w:type="character" w:styleId="CommentReference">
    <w:name w:val="annotation reference"/>
    <w:uiPriority w:val="99"/>
    <w:rsid w:val="00D1016A"/>
    <w:rPr>
      <w:sz w:val="16"/>
      <w:szCs w:val="16"/>
    </w:rPr>
  </w:style>
  <w:style w:type="paragraph" w:styleId="CommentText">
    <w:name w:val="annotation text"/>
    <w:basedOn w:val="Normal"/>
    <w:link w:val="CommentTextChar"/>
    <w:uiPriority w:val="99"/>
    <w:rsid w:val="00D1016A"/>
    <w:rPr>
      <w:sz w:val="20"/>
      <w:szCs w:val="20"/>
    </w:rPr>
  </w:style>
  <w:style w:type="character" w:customStyle="1" w:styleId="CommentTextChar">
    <w:name w:val="Comment Text Char"/>
    <w:link w:val="CommentText"/>
    <w:uiPriority w:val="99"/>
    <w:rsid w:val="00D1016A"/>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rsid w:val="00D1016A"/>
    <w:rPr>
      <w:b/>
      <w:bCs/>
    </w:rPr>
  </w:style>
  <w:style w:type="character" w:customStyle="1" w:styleId="CommentSubjectChar">
    <w:name w:val="Comment Subject Char"/>
    <w:link w:val="CommentSubject"/>
    <w:uiPriority w:val="99"/>
    <w:rsid w:val="00D1016A"/>
    <w:rPr>
      <w:rFonts w:ascii="Times New Roman" w:eastAsia="Times New Roman" w:hAnsi="Times New Roman"/>
      <w:b/>
      <w:bCs/>
      <w:lang w:val="en-US" w:eastAsia="en-US"/>
    </w:rPr>
  </w:style>
  <w:style w:type="paragraph" w:styleId="HTMLPreformatted">
    <w:name w:val="HTML Preformatted"/>
    <w:basedOn w:val="Normal"/>
    <w:link w:val="HTMLPreformattedChar"/>
    <w:unhideWhenUsed/>
    <w:rsid w:val="00D10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hr-HR" w:eastAsia="hr-HR"/>
    </w:rPr>
  </w:style>
  <w:style w:type="character" w:customStyle="1" w:styleId="HTMLPreformattedChar">
    <w:name w:val="HTML Preformatted Char"/>
    <w:link w:val="HTMLPreformatted"/>
    <w:rsid w:val="00D1016A"/>
    <w:rPr>
      <w:rFonts w:ascii="Courier New" w:eastAsia="Times New Roman" w:hAnsi="Courier New"/>
      <w:color w:val="000000"/>
      <w:lang w:val="hr-HR" w:eastAsia="hr-HR"/>
    </w:rPr>
  </w:style>
  <w:style w:type="paragraph" w:styleId="Caption">
    <w:name w:val="caption"/>
    <w:basedOn w:val="Normal"/>
    <w:next w:val="Normal"/>
    <w:qFormat/>
    <w:rsid w:val="00D1016A"/>
    <w:pPr>
      <w:tabs>
        <w:tab w:val="left" w:pos="-720"/>
        <w:tab w:val="left" w:pos="310"/>
        <w:tab w:val="left" w:pos="835"/>
      </w:tabs>
      <w:ind w:firstLine="900"/>
      <w:jc w:val="both"/>
    </w:pPr>
    <w:rPr>
      <w:b/>
      <w:sz w:val="40"/>
      <w:lang w:val="en-GB"/>
    </w:rPr>
  </w:style>
  <w:style w:type="paragraph" w:styleId="BodyTextIndent2">
    <w:name w:val="Body Text Indent 2"/>
    <w:basedOn w:val="Normal"/>
    <w:link w:val="BodyTextIndent2Char"/>
    <w:rsid w:val="00D1016A"/>
    <w:pPr>
      <w:ind w:left="720"/>
    </w:pPr>
    <w:rPr>
      <w:i/>
      <w:iCs/>
    </w:rPr>
  </w:style>
  <w:style w:type="character" w:customStyle="1" w:styleId="BodyTextIndent2Char">
    <w:name w:val="Body Text Indent 2 Char"/>
    <w:link w:val="BodyTextIndent2"/>
    <w:rsid w:val="00D1016A"/>
    <w:rPr>
      <w:rFonts w:ascii="Times New Roman" w:eastAsia="Times New Roman" w:hAnsi="Times New Roman"/>
      <w:i/>
      <w:iCs/>
      <w:sz w:val="24"/>
      <w:szCs w:val="24"/>
      <w:lang w:val="en-US" w:eastAsia="en-US"/>
    </w:rPr>
  </w:style>
  <w:style w:type="paragraph" w:styleId="BodyTextIndent3">
    <w:name w:val="Body Text Indent 3"/>
    <w:basedOn w:val="Normal"/>
    <w:link w:val="BodyTextIndent3Char"/>
    <w:rsid w:val="00D1016A"/>
    <w:pPr>
      <w:ind w:left="1440"/>
    </w:pPr>
    <w:rPr>
      <w:i/>
      <w:iCs/>
    </w:rPr>
  </w:style>
  <w:style w:type="character" w:customStyle="1" w:styleId="BodyTextIndent3Char">
    <w:name w:val="Body Text Indent 3 Char"/>
    <w:link w:val="BodyTextIndent3"/>
    <w:rsid w:val="00D1016A"/>
    <w:rPr>
      <w:rFonts w:ascii="Times New Roman" w:eastAsia="Times New Roman" w:hAnsi="Times New Roman"/>
      <w:i/>
      <w:iCs/>
      <w:sz w:val="24"/>
      <w:szCs w:val="24"/>
      <w:lang w:val="en-US" w:eastAsia="en-US"/>
    </w:rPr>
  </w:style>
  <w:style w:type="paragraph" w:styleId="ListParagraph">
    <w:name w:val="List Paragraph"/>
    <w:basedOn w:val="Normal"/>
    <w:uiPriority w:val="34"/>
    <w:qFormat/>
    <w:rsid w:val="00D1016A"/>
    <w:pPr>
      <w:ind w:left="720"/>
    </w:pPr>
    <w:rPr>
      <w:lang w:val="en-GB"/>
    </w:rPr>
  </w:style>
  <w:style w:type="paragraph" w:styleId="ListNumber">
    <w:name w:val="List Number"/>
    <w:basedOn w:val="Normal"/>
    <w:next w:val="Normal"/>
    <w:rsid w:val="00D1016A"/>
    <w:pPr>
      <w:numPr>
        <w:numId w:val="13"/>
      </w:numPr>
    </w:pPr>
    <w:rPr>
      <w:rFonts w:ascii="Garamond" w:hAnsi="Garamond"/>
      <w:szCs w:val="22"/>
      <w:lang w:val="en-GB"/>
    </w:rPr>
  </w:style>
  <w:style w:type="paragraph" w:styleId="ListBullet">
    <w:name w:val="List Bullet"/>
    <w:basedOn w:val="Normal"/>
    <w:autoRedefine/>
    <w:rsid w:val="00D1016A"/>
    <w:pPr>
      <w:tabs>
        <w:tab w:val="num" w:pos="360"/>
      </w:tabs>
      <w:ind w:left="360" w:hanging="360"/>
    </w:pPr>
    <w:rPr>
      <w:rFonts w:ascii="Garamond" w:hAnsi="Garamond"/>
      <w:szCs w:val="22"/>
      <w:lang w:val="en-GB"/>
    </w:rPr>
  </w:style>
  <w:style w:type="paragraph" w:customStyle="1" w:styleId="Level2">
    <w:name w:val="Level2"/>
    <w:basedOn w:val="Level1"/>
    <w:rsid w:val="00D1016A"/>
    <w:pPr>
      <w:numPr>
        <w:numId w:val="0"/>
      </w:numPr>
      <w:ind w:firstLine="578"/>
    </w:pPr>
  </w:style>
  <w:style w:type="paragraph" w:customStyle="1" w:styleId="Level1">
    <w:name w:val="Level1"/>
    <w:basedOn w:val="Normal"/>
    <w:rsid w:val="00D1016A"/>
    <w:pPr>
      <w:numPr>
        <w:numId w:val="16"/>
      </w:numPr>
      <w:tabs>
        <w:tab w:val="left" w:pos="578"/>
      </w:tabs>
      <w:spacing w:after="240"/>
    </w:pPr>
    <w:rPr>
      <w:sz w:val="22"/>
      <w:lang w:val="en-GB"/>
    </w:rPr>
  </w:style>
  <w:style w:type="paragraph" w:customStyle="1" w:styleId="Level3">
    <w:name w:val="Level3"/>
    <w:basedOn w:val="Level2"/>
    <w:rsid w:val="00D1016A"/>
    <w:pPr>
      <w:tabs>
        <w:tab w:val="num" w:pos="360"/>
      </w:tabs>
    </w:pPr>
  </w:style>
  <w:style w:type="paragraph" w:styleId="TOC4">
    <w:name w:val="toc 4"/>
    <w:basedOn w:val="Normal"/>
    <w:next w:val="Normal"/>
    <w:autoRedefine/>
    <w:rsid w:val="00D1016A"/>
    <w:pPr>
      <w:numPr>
        <w:numId w:val="15"/>
      </w:numPr>
      <w:jc w:val="both"/>
    </w:pPr>
    <w:rPr>
      <w:sz w:val="22"/>
    </w:rPr>
  </w:style>
  <w:style w:type="paragraph" w:styleId="Subtitle">
    <w:name w:val="Subtitle"/>
    <w:basedOn w:val="Normal"/>
    <w:link w:val="SubtitleChar"/>
    <w:qFormat/>
    <w:rsid w:val="00D1016A"/>
    <w:pPr>
      <w:jc w:val="center"/>
    </w:pPr>
    <w:rPr>
      <w:rFonts w:ascii="Arial" w:hAnsi="Arial"/>
      <w:sz w:val="28"/>
    </w:rPr>
  </w:style>
  <w:style w:type="character" w:customStyle="1" w:styleId="SubtitleChar">
    <w:name w:val="Subtitle Char"/>
    <w:link w:val="Subtitle"/>
    <w:rsid w:val="00D1016A"/>
    <w:rPr>
      <w:rFonts w:ascii="Arial" w:eastAsia="Times New Roman" w:hAnsi="Arial"/>
      <w:sz w:val="28"/>
      <w:szCs w:val="24"/>
      <w:lang w:val="en-US" w:eastAsia="en-US"/>
    </w:rPr>
  </w:style>
  <w:style w:type="paragraph" w:styleId="PlainText">
    <w:name w:val="Plain Text"/>
    <w:basedOn w:val="Normal"/>
    <w:link w:val="PlainTextChar"/>
    <w:rsid w:val="00D1016A"/>
    <w:rPr>
      <w:rFonts w:ascii="Courier New" w:hAnsi="Courier New"/>
      <w:sz w:val="20"/>
    </w:rPr>
  </w:style>
  <w:style w:type="character" w:customStyle="1" w:styleId="PlainTextChar">
    <w:name w:val="Plain Text Char"/>
    <w:link w:val="PlainText"/>
    <w:rsid w:val="00D1016A"/>
    <w:rPr>
      <w:rFonts w:ascii="Courier New" w:eastAsia="Times New Roman" w:hAnsi="Courier New"/>
      <w:szCs w:val="24"/>
      <w:lang w:val="en-US" w:eastAsia="en-US"/>
    </w:rPr>
  </w:style>
  <w:style w:type="character" w:styleId="FollowedHyperlink">
    <w:name w:val="FollowedHyperlink"/>
    <w:uiPriority w:val="99"/>
    <w:rsid w:val="00D1016A"/>
    <w:rPr>
      <w:color w:val="800080"/>
      <w:u w:val="single"/>
    </w:rPr>
  </w:style>
  <w:style w:type="paragraph" w:customStyle="1" w:styleId="Level10">
    <w:name w:val="Level 1"/>
    <w:basedOn w:val="Normal"/>
    <w:rsid w:val="00D1016A"/>
    <w:pPr>
      <w:widowControl w:val="0"/>
      <w:numPr>
        <w:numId w:val="14"/>
      </w:numPr>
      <w:ind w:left="720" w:hanging="720"/>
      <w:outlineLvl w:val="0"/>
    </w:pPr>
    <w:rPr>
      <w:snapToGrid w:val="0"/>
      <w:szCs w:val="20"/>
    </w:rPr>
  </w:style>
  <w:style w:type="paragraph" w:customStyle="1" w:styleId="Level20">
    <w:name w:val="Level 2"/>
    <w:basedOn w:val="Normal"/>
    <w:rsid w:val="00D1016A"/>
    <w:pPr>
      <w:widowControl w:val="0"/>
      <w:ind w:left="1440" w:hanging="720"/>
      <w:outlineLvl w:val="1"/>
    </w:pPr>
    <w:rPr>
      <w:snapToGrid w:val="0"/>
      <w:szCs w:val="20"/>
    </w:rPr>
  </w:style>
  <w:style w:type="paragraph" w:customStyle="1" w:styleId="Level30">
    <w:name w:val="Level 3"/>
    <w:basedOn w:val="Normal"/>
    <w:rsid w:val="00D1016A"/>
    <w:pPr>
      <w:widowControl w:val="0"/>
      <w:ind w:left="2160" w:hanging="720"/>
      <w:outlineLvl w:val="2"/>
    </w:pPr>
    <w:rPr>
      <w:snapToGrid w:val="0"/>
      <w:szCs w:val="20"/>
    </w:rPr>
  </w:style>
  <w:style w:type="paragraph" w:customStyle="1" w:styleId="Level4">
    <w:name w:val="Level 4"/>
    <w:basedOn w:val="Normal"/>
    <w:rsid w:val="00D1016A"/>
    <w:pPr>
      <w:widowControl w:val="0"/>
      <w:ind w:left="2880" w:hanging="720"/>
      <w:outlineLvl w:val="3"/>
    </w:pPr>
    <w:rPr>
      <w:snapToGrid w:val="0"/>
      <w:szCs w:val="20"/>
    </w:rPr>
  </w:style>
  <w:style w:type="paragraph" w:customStyle="1" w:styleId="Level5">
    <w:name w:val="Level 5"/>
    <w:basedOn w:val="Normal"/>
    <w:rsid w:val="00D1016A"/>
    <w:pPr>
      <w:widowControl w:val="0"/>
      <w:ind w:left="3600" w:hanging="720"/>
      <w:outlineLvl w:val="4"/>
    </w:pPr>
    <w:rPr>
      <w:snapToGrid w:val="0"/>
      <w:szCs w:val="20"/>
    </w:rPr>
  </w:style>
  <w:style w:type="paragraph" w:customStyle="1" w:styleId="Level6">
    <w:name w:val="Level 6"/>
    <w:basedOn w:val="Normal"/>
    <w:rsid w:val="00D1016A"/>
    <w:pPr>
      <w:widowControl w:val="0"/>
      <w:ind w:left="4320" w:hanging="720"/>
      <w:outlineLvl w:val="5"/>
    </w:pPr>
    <w:rPr>
      <w:snapToGrid w:val="0"/>
      <w:szCs w:val="20"/>
    </w:rPr>
  </w:style>
  <w:style w:type="paragraph" w:customStyle="1" w:styleId="Level7">
    <w:name w:val="Level 7"/>
    <w:basedOn w:val="Normal"/>
    <w:rsid w:val="00D1016A"/>
    <w:pPr>
      <w:widowControl w:val="0"/>
      <w:ind w:left="5040" w:hanging="720"/>
      <w:outlineLvl w:val="6"/>
    </w:pPr>
    <w:rPr>
      <w:snapToGrid w:val="0"/>
      <w:szCs w:val="20"/>
    </w:rPr>
  </w:style>
  <w:style w:type="paragraph" w:customStyle="1" w:styleId="Text15">
    <w:name w:val="Text15"/>
    <w:basedOn w:val="Normal"/>
    <w:rsid w:val="00D1016A"/>
    <w:pPr>
      <w:spacing w:line="360" w:lineRule="auto"/>
    </w:pPr>
    <w:rPr>
      <w:rFonts w:ascii="Tahoma" w:hAnsi="Tahoma"/>
      <w:szCs w:val="20"/>
      <w:lang w:val="de-DE" w:eastAsia="de-DE"/>
    </w:rPr>
  </w:style>
  <w:style w:type="paragraph" w:styleId="BlockText">
    <w:name w:val="Block Text"/>
    <w:basedOn w:val="Normal"/>
    <w:rsid w:val="00D1016A"/>
    <w:pPr>
      <w:ind w:left="851" w:right="624"/>
    </w:pPr>
  </w:style>
  <w:style w:type="paragraph" w:styleId="MessageHeader">
    <w:name w:val="Message Header"/>
    <w:basedOn w:val="Normal"/>
    <w:link w:val="MessageHeaderChar"/>
    <w:rsid w:val="00D1016A"/>
    <w:pPr>
      <w:overflowPunct w:val="0"/>
      <w:autoSpaceDE w:val="0"/>
      <w:autoSpaceDN w:val="0"/>
      <w:adjustRightInd w:val="0"/>
      <w:spacing w:before="120" w:line="260" w:lineRule="atLeast"/>
      <w:textAlignment w:val="baseline"/>
    </w:pPr>
    <w:rPr>
      <w:rFonts w:ascii="Agrofont" w:hAnsi="Agrofont"/>
      <w:b/>
      <w:kern w:val="14"/>
      <w:szCs w:val="20"/>
      <w:lang w:val="nl-NL"/>
    </w:rPr>
  </w:style>
  <w:style w:type="character" w:customStyle="1" w:styleId="MessageHeaderChar">
    <w:name w:val="Message Header Char"/>
    <w:link w:val="MessageHeader"/>
    <w:rsid w:val="00D1016A"/>
    <w:rPr>
      <w:rFonts w:ascii="Agrofont" w:eastAsia="Times New Roman" w:hAnsi="Agrofont"/>
      <w:b/>
      <w:kern w:val="14"/>
      <w:sz w:val="24"/>
      <w:lang w:val="nl-NL" w:eastAsia="en-US"/>
    </w:rPr>
  </w:style>
  <w:style w:type="paragraph" w:styleId="NormalIndent">
    <w:name w:val="Normal Indent"/>
    <w:basedOn w:val="Normal"/>
    <w:rsid w:val="00D1016A"/>
    <w:pPr>
      <w:overflowPunct w:val="0"/>
      <w:autoSpaceDE w:val="0"/>
      <w:autoSpaceDN w:val="0"/>
      <w:adjustRightInd w:val="0"/>
      <w:spacing w:line="260" w:lineRule="atLeast"/>
      <w:ind w:left="708"/>
      <w:textAlignment w:val="baseline"/>
    </w:pPr>
    <w:rPr>
      <w:rFonts w:ascii="Agrofont" w:hAnsi="Agrofont"/>
      <w:kern w:val="14"/>
      <w:sz w:val="20"/>
      <w:szCs w:val="20"/>
      <w:lang w:val="nl-NL"/>
    </w:rPr>
  </w:style>
  <w:style w:type="character" w:customStyle="1" w:styleId="DefaultParagraphFo">
    <w:name w:val="Default Paragraph Fo"/>
    <w:rsid w:val="00D1016A"/>
  </w:style>
  <w:style w:type="paragraph" w:customStyle="1" w:styleId="indenta">
    <w:name w:val="indent a"/>
    <w:rsid w:val="00D1016A"/>
    <w:pPr>
      <w:tabs>
        <w:tab w:val="left" w:pos="0"/>
        <w:tab w:val="left" w:pos="851"/>
        <w:tab w:val="left" w:pos="1417"/>
      </w:tabs>
      <w:suppressAutoHyphens/>
      <w:overflowPunct w:val="0"/>
      <w:autoSpaceDE w:val="0"/>
      <w:autoSpaceDN w:val="0"/>
      <w:adjustRightInd w:val="0"/>
      <w:jc w:val="both"/>
      <w:textAlignment w:val="baseline"/>
    </w:pPr>
    <w:rPr>
      <w:rFonts w:ascii="Courier New" w:eastAsia="Times New Roman" w:hAnsi="Courier New"/>
      <w:spacing w:val="-3"/>
      <w:sz w:val="24"/>
      <w:lang w:val="en-US" w:eastAsia="en-US"/>
    </w:rPr>
  </w:style>
  <w:style w:type="paragraph" w:customStyle="1" w:styleId="inhopg1">
    <w:name w:val="inhopg 1"/>
    <w:basedOn w:val="Normal"/>
    <w:rsid w:val="00D1016A"/>
    <w:pPr>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customStyle="1" w:styleId="inhopg2">
    <w:name w:val="inhopg 2"/>
    <w:basedOn w:val="Normal"/>
    <w:rsid w:val="00D1016A"/>
    <w:pPr>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paragraph" w:customStyle="1" w:styleId="inhopg3">
    <w:name w:val="inhopg 3"/>
    <w:basedOn w:val="Normal"/>
    <w:rsid w:val="00D1016A"/>
    <w:pPr>
      <w:tabs>
        <w:tab w:val="right" w:leader="dot" w:pos="9360"/>
      </w:tabs>
      <w:suppressAutoHyphens/>
      <w:overflowPunct w:val="0"/>
      <w:autoSpaceDE w:val="0"/>
      <w:autoSpaceDN w:val="0"/>
      <w:adjustRightInd w:val="0"/>
      <w:ind w:left="2160" w:right="720" w:hanging="720"/>
      <w:textAlignment w:val="baseline"/>
    </w:pPr>
    <w:rPr>
      <w:rFonts w:ascii="Courier New" w:hAnsi="Courier New"/>
      <w:szCs w:val="20"/>
    </w:rPr>
  </w:style>
  <w:style w:type="paragraph" w:customStyle="1" w:styleId="inhopg4">
    <w:name w:val="inhopg 4"/>
    <w:basedOn w:val="Normal"/>
    <w:rsid w:val="00D1016A"/>
    <w:pPr>
      <w:tabs>
        <w:tab w:val="right" w:leader="dot" w:pos="9360"/>
      </w:tabs>
      <w:suppressAutoHyphens/>
      <w:overflowPunct w:val="0"/>
      <w:autoSpaceDE w:val="0"/>
      <w:autoSpaceDN w:val="0"/>
      <w:adjustRightInd w:val="0"/>
      <w:ind w:left="2880" w:right="720" w:hanging="720"/>
      <w:textAlignment w:val="baseline"/>
    </w:pPr>
    <w:rPr>
      <w:rFonts w:ascii="Courier New" w:hAnsi="Courier New"/>
      <w:szCs w:val="20"/>
    </w:rPr>
  </w:style>
  <w:style w:type="paragraph" w:customStyle="1" w:styleId="inhopg5">
    <w:name w:val="inhopg 5"/>
    <w:basedOn w:val="Normal"/>
    <w:rsid w:val="00D1016A"/>
    <w:pPr>
      <w:tabs>
        <w:tab w:val="right" w:leader="dot" w:pos="9360"/>
      </w:tabs>
      <w:suppressAutoHyphens/>
      <w:overflowPunct w:val="0"/>
      <w:autoSpaceDE w:val="0"/>
      <w:autoSpaceDN w:val="0"/>
      <w:adjustRightInd w:val="0"/>
      <w:ind w:left="3600" w:right="720" w:hanging="720"/>
      <w:textAlignment w:val="baseline"/>
    </w:pPr>
    <w:rPr>
      <w:rFonts w:ascii="Courier New" w:hAnsi="Courier New"/>
      <w:szCs w:val="20"/>
    </w:rPr>
  </w:style>
  <w:style w:type="paragraph" w:customStyle="1" w:styleId="inhopg6">
    <w:name w:val="inhopg 6"/>
    <w:basedOn w:val="Normal"/>
    <w:rsid w:val="00D1016A"/>
    <w:pPr>
      <w:tabs>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inhopg7">
    <w:name w:val="inhopg 7"/>
    <w:basedOn w:val="Normal"/>
    <w:rsid w:val="00D1016A"/>
    <w:pPr>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inhopg8">
    <w:name w:val="inhopg 8"/>
    <w:basedOn w:val="Normal"/>
    <w:rsid w:val="00D1016A"/>
    <w:pPr>
      <w:tabs>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inhopg9">
    <w:name w:val="inhopg 9"/>
    <w:basedOn w:val="Normal"/>
    <w:rsid w:val="00D1016A"/>
    <w:pPr>
      <w:tabs>
        <w:tab w:val="right" w:leader="dot" w:pos="9360"/>
      </w:tabs>
      <w:suppressAutoHyphens/>
      <w:overflowPunct w:val="0"/>
      <w:autoSpaceDE w:val="0"/>
      <w:autoSpaceDN w:val="0"/>
      <w:adjustRightInd w:val="0"/>
      <w:ind w:left="720" w:hanging="720"/>
      <w:textAlignment w:val="baseline"/>
    </w:pPr>
    <w:rPr>
      <w:rFonts w:ascii="Courier New" w:hAnsi="Courier New"/>
      <w:szCs w:val="20"/>
    </w:rPr>
  </w:style>
  <w:style w:type="paragraph" w:customStyle="1" w:styleId="bronvermelding">
    <w:name w:val="bronvermelding"/>
    <w:basedOn w:val="Normal"/>
    <w:rsid w:val="00D1016A"/>
    <w:pPr>
      <w:tabs>
        <w:tab w:val="right" w:pos="9360"/>
      </w:tabs>
      <w:suppressAutoHyphens/>
      <w:overflowPunct w:val="0"/>
      <w:autoSpaceDE w:val="0"/>
      <w:autoSpaceDN w:val="0"/>
      <w:adjustRightInd w:val="0"/>
      <w:textAlignment w:val="baseline"/>
    </w:pPr>
    <w:rPr>
      <w:rFonts w:ascii="Courier New" w:hAnsi="Courier New"/>
      <w:szCs w:val="20"/>
    </w:rPr>
  </w:style>
  <w:style w:type="paragraph" w:customStyle="1" w:styleId="bijschrift">
    <w:name w:val="bijschrift"/>
    <w:basedOn w:val="Normal"/>
    <w:rsid w:val="00D1016A"/>
    <w:pPr>
      <w:overflowPunct w:val="0"/>
      <w:autoSpaceDE w:val="0"/>
      <w:autoSpaceDN w:val="0"/>
      <w:adjustRightInd w:val="0"/>
      <w:textAlignment w:val="baseline"/>
    </w:pPr>
    <w:rPr>
      <w:rFonts w:ascii="Courier New" w:hAnsi="Courier New"/>
      <w:szCs w:val="20"/>
      <w:lang w:val="nl-NL"/>
    </w:rPr>
  </w:style>
  <w:style w:type="character" w:customStyle="1" w:styleId="EquationCaption">
    <w:name w:val="_Equation Caption"/>
    <w:rsid w:val="00D1016A"/>
  </w:style>
  <w:style w:type="paragraph" w:styleId="Index2">
    <w:name w:val="index 2"/>
    <w:basedOn w:val="Normal"/>
    <w:next w:val="Normal"/>
    <w:autoRedefine/>
    <w:unhideWhenUsed/>
    <w:rsid w:val="00D1016A"/>
    <w:pPr>
      <w:tabs>
        <w:tab w:val="right" w:leader="dot" w:pos="9360"/>
      </w:tabs>
      <w:suppressAutoHyphens/>
      <w:overflowPunct w:val="0"/>
      <w:autoSpaceDE w:val="0"/>
      <w:autoSpaceDN w:val="0"/>
      <w:adjustRightInd w:val="0"/>
      <w:ind w:left="1440" w:right="720" w:hanging="720"/>
    </w:pPr>
    <w:rPr>
      <w:rFonts w:ascii="Courier New" w:hAnsi="Courier New"/>
      <w:szCs w:val="20"/>
    </w:rPr>
  </w:style>
  <w:style w:type="numbering" w:customStyle="1" w:styleId="NoList1">
    <w:name w:val="No List1"/>
    <w:next w:val="NoList"/>
    <w:uiPriority w:val="99"/>
    <w:semiHidden/>
    <w:unhideWhenUsed/>
    <w:rsid w:val="00D1016A"/>
  </w:style>
  <w:style w:type="table" w:customStyle="1" w:styleId="TableGrid1">
    <w:name w:val="Table Grid1"/>
    <w:basedOn w:val="TableNormal"/>
    <w:next w:val="TableGrid"/>
    <w:uiPriority w:val="59"/>
    <w:rsid w:val="00D101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D1016A"/>
    <w:pPr>
      <w:keepLines/>
      <w:numPr>
        <w:numId w:val="0"/>
      </w:numPr>
      <w:spacing w:before="480" w:line="276" w:lineRule="auto"/>
      <w:outlineLvl w:val="9"/>
    </w:pPr>
    <w:rPr>
      <w:rFonts w:ascii="Cambria" w:hAnsi="Cambria"/>
      <w:color w:val="365F91"/>
      <w:sz w:val="28"/>
      <w:szCs w:val="28"/>
      <w:lang w:val="en-US"/>
    </w:rPr>
  </w:style>
  <w:style w:type="paragraph" w:styleId="TOC2">
    <w:name w:val="toc 2"/>
    <w:basedOn w:val="Normal"/>
    <w:next w:val="Normal"/>
    <w:autoRedefine/>
    <w:uiPriority w:val="39"/>
    <w:unhideWhenUsed/>
    <w:qFormat/>
    <w:rsid w:val="00D1016A"/>
    <w:pPr>
      <w:tabs>
        <w:tab w:val="right" w:leader="dot" w:pos="9026"/>
      </w:tabs>
      <w:spacing w:after="100" w:line="276" w:lineRule="auto"/>
    </w:pPr>
    <w:rPr>
      <w:rFonts w:eastAsia="MS Mincho"/>
      <w:b/>
      <w:spacing w:val="-3"/>
      <w:sz w:val="22"/>
      <w:szCs w:val="22"/>
      <w:lang w:val="en-GB"/>
    </w:rPr>
  </w:style>
  <w:style w:type="paragraph" w:styleId="TOC1">
    <w:name w:val="toc 1"/>
    <w:basedOn w:val="Normal"/>
    <w:next w:val="Normal"/>
    <w:autoRedefine/>
    <w:uiPriority w:val="39"/>
    <w:unhideWhenUsed/>
    <w:qFormat/>
    <w:rsid w:val="00D1016A"/>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D1016A"/>
    <w:pPr>
      <w:spacing w:after="100" w:line="276" w:lineRule="auto"/>
      <w:ind w:left="440"/>
    </w:pPr>
    <w:rPr>
      <w:rFonts w:ascii="Calibri" w:hAnsi="Calibri"/>
      <w:sz w:val="22"/>
      <w:szCs w:val="22"/>
    </w:rPr>
  </w:style>
  <w:style w:type="paragraph" w:styleId="Revision">
    <w:name w:val="Revision"/>
    <w:hidden/>
    <w:uiPriority w:val="99"/>
    <w:semiHidden/>
    <w:rsid w:val="00D1016A"/>
    <w:rPr>
      <w:sz w:val="22"/>
      <w:szCs w:val="22"/>
      <w:lang w:val="en-US" w:eastAsia="en-US"/>
    </w:rPr>
  </w:style>
  <w:style w:type="paragraph" w:styleId="NoSpacing">
    <w:name w:val="No Spacing"/>
    <w:uiPriority w:val="1"/>
    <w:qFormat/>
    <w:rsid w:val="007F3A81"/>
    <w:rPr>
      <w:rFonts w:ascii="Times New Roman" w:eastAsia="Times New Roman" w:hAnsi="Times New Roman"/>
      <w:sz w:val="24"/>
      <w:szCs w:val="24"/>
      <w:lang w:val="en-US" w:eastAsia="en-US"/>
    </w:rPr>
  </w:style>
  <w:style w:type="character" w:customStyle="1" w:styleId="UnresolvedMention1">
    <w:name w:val="Unresolved Mention1"/>
    <w:basedOn w:val="DefaultParagraphFont"/>
    <w:uiPriority w:val="99"/>
    <w:semiHidden/>
    <w:unhideWhenUsed/>
    <w:rsid w:val="00385A5F"/>
    <w:rPr>
      <w:color w:val="808080"/>
      <w:shd w:val="clear" w:color="auto" w:fill="E6E6E6"/>
    </w:rPr>
  </w:style>
  <w:style w:type="character" w:customStyle="1" w:styleId="UnresolvedMention2">
    <w:name w:val="Unresolved Mention2"/>
    <w:basedOn w:val="DefaultParagraphFont"/>
    <w:uiPriority w:val="99"/>
    <w:semiHidden/>
    <w:unhideWhenUsed/>
    <w:rsid w:val="00FD6231"/>
    <w:rPr>
      <w:color w:val="605E5C"/>
      <w:shd w:val="clear" w:color="auto" w:fill="E1DFDD"/>
    </w:rPr>
  </w:style>
  <w:style w:type="character" w:styleId="UnresolvedMention">
    <w:name w:val="Unresolved Mention"/>
    <w:basedOn w:val="DefaultParagraphFont"/>
    <w:uiPriority w:val="99"/>
    <w:semiHidden/>
    <w:unhideWhenUsed/>
    <w:rsid w:val="00893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9965">
      <w:bodyDiv w:val="1"/>
      <w:marLeft w:val="0"/>
      <w:marRight w:val="0"/>
      <w:marTop w:val="0"/>
      <w:marBottom w:val="0"/>
      <w:divBdr>
        <w:top w:val="none" w:sz="0" w:space="0" w:color="auto"/>
        <w:left w:val="none" w:sz="0" w:space="0" w:color="auto"/>
        <w:bottom w:val="none" w:sz="0" w:space="0" w:color="auto"/>
        <w:right w:val="none" w:sz="0" w:space="0" w:color="auto"/>
      </w:divBdr>
    </w:div>
    <w:div w:id="295567393">
      <w:bodyDiv w:val="1"/>
      <w:marLeft w:val="0"/>
      <w:marRight w:val="0"/>
      <w:marTop w:val="0"/>
      <w:marBottom w:val="0"/>
      <w:divBdr>
        <w:top w:val="none" w:sz="0" w:space="0" w:color="auto"/>
        <w:left w:val="none" w:sz="0" w:space="0" w:color="auto"/>
        <w:bottom w:val="none" w:sz="0" w:space="0" w:color="auto"/>
        <w:right w:val="none" w:sz="0" w:space="0" w:color="auto"/>
      </w:divBdr>
    </w:div>
    <w:div w:id="1587421994">
      <w:bodyDiv w:val="1"/>
      <w:marLeft w:val="0"/>
      <w:marRight w:val="0"/>
      <w:marTop w:val="0"/>
      <w:marBottom w:val="0"/>
      <w:divBdr>
        <w:top w:val="none" w:sz="0" w:space="0" w:color="auto"/>
        <w:left w:val="none" w:sz="0" w:space="0" w:color="auto"/>
        <w:bottom w:val="none" w:sz="0" w:space="0" w:color="auto"/>
        <w:right w:val="none" w:sz="0" w:space="0" w:color="auto"/>
      </w:divBdr>
    </w:div>
    <w:div w:id="1606695853">
      <w:bodyDiv w:val="1"/>
      <w:marLeft w:val="0"/>
      <w:marRight w:val="0"/>
      <w:marTop w:val="0"/>
      <w:marBottom w:val="0"/>
      <w:divBdr>
        <w:top w:val="none" w:sz="0" w:space="0" w:color="auto"/>
        <w:left w:val="none" w:sz="0" w:space="0" w:color="auto"/>
        <w:bottom w:val="none" w:sz="0" w:space="0" w:color="auto"/>
        <w:right w:val="none" w:sz="0" w:space="0" w:color="auto"/>
      </w:divBdr>
    </w:div>
    <w:div w:id="1797679714">
      <w:bodyDiv w:val="1"/>
      <w:marLeft w:val="0"/>
      <w:marRight w:val="0"/>
      <w:marTop w:val="0"/>
      <w:marBottom w:val="0"/>
      <w:divBdr>
        <w:top w:val="none" w:sz="0" w:space="0" w:color="auto"/>
        <w:left w:val="none" w:sz="0" w:space="0" w:color="auto"/>
        <w:bottom w:val="none" w:sz="0" w:space="0" w:color="auto"/>
        <w:right w:val="none" w:sz="0" w:space="0" w:color="auto"/>
      </w:divBdr>
    </w:div>
    <w:div w:id="18080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ep-aewa.org/sites/default/files/document/aewa_stc_12_11_guidance_populations_0.pdf"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cworkspace.aewa.inf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unep-aewa.org/en/document/aewa-technical-committee-recommendations-delineation-selected-populations-listed-table-1-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www.unep-aewa.org/sites/default/files/document/aewa_stc23_7_proposals_for_revision_of_population_delinea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826334208223969E-2"/>
          <c:y val="5.0925925925925923E-2"/>
          <c:w val="0.89568066491688536"/>
          <c:h val="0.46137485623285851"/>
        </c:manualLayout>
      </c:layout>
      <c:barChart>
        <c:barDir val="bar"/>
        <c:grouping val="percentStacked"/>
        <c:varyColors val="0"/>
        <c:ser>
          <c:idx val="0"/>
          <c:order val="0"/>
          <c:tx>
            <c:strRef>
              <c:f>Sheet1!$B$30</c:f>
              <c:strCache>
                <c:ptCount val="1"/>
                <c:pt idx="0">
                  <c:v>Essential</c:v>
                </c:pt>
              </c:strCache>
            </c:strRef>
          </c:tx>
          <c:spPr>
            <a:solidFill>
              <a:srgbClr val="FF5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Sheet1!$C$29</c:f>
              <c:strCache>
                <c:ptCount val="1"/>
                <c:pt idx="0">
                  <c:v>Number</c:v>
                </c:pt>
              </c:strCache>
            </c:strRef>
          </c:cat>
          <c:val>
            <c:numRef>
              <c:f>Sheet1!$C$30</c:f>
              <c:numCache>
                <c:formatCode>General</c:formatCode>
                <c:ptCount val="1"/>
                <c:pt idx="0">
                  <c:v>19</c:v>
                </c:pt>
              </c:numCache>
            </c:numRef>
          </c:val>
          <c:extLst>
            <c:ext xmlns:c16="http://schemas.microsoft.com/office/drawing/2014/chart" uri="{C3380CC4-5D6E-409C-BE32-E72D297353CC}">
              <c16:uniqueId val="{00000000-B5B8-4862-9D81-B35FC06D5514}"/>
            </c:ext>
          </c:extLst>
        </c:ser>
        <c:ser>
          <c:idx val="1"/>
          <c:order val="1"/>
          <c:tx>
            <c:strRef>
              <c:f>Sheet1!$B$31</c:f>
              <c:strCache>
                <c:ptCount val="1"/>
                <c:pt idx="0">
                  <c:v>High</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Sheet1!$C$29</c:f>
              <c:strCache>
                <c:ptCount val="1"/>
                <c:pt idx="0">
                  <c:v>Number</c:v>
                </c:pt>
              </c:strCache>
            </c:strRef>
          </c:cat>
          <c:val>
            <c:numRef>
              <c:f>Sheet1!$C$31</c:f>
              <c:numCache>
                <c:formatCode>General</c:formatCode>
                <c:ptCount val="1"/>
                <c:pt idx="0">
                  <c:v>12</c:v>
                </c:pt>
              </c:numCache>
            </c:numRef>
          </c:val>
          <c:extLst>
            <c:ext xmlns:c16="http://schemas.microsoft.com/office/drawing/2014/chart" uri="{C3380CC4-5D6E-409C-BE32-E72D297353CC}">
              <c16:uniqueId val="{00000001-B5B8-4862-9D81-B35FC06D5514}"/>
            </c:ext>
          </c:extLst>
        </c:ser>
        <c:ser>
          <c:idx val="2"/>
          <c:order val="2"/>
          <c:tx>
            <c:strRef>
              <c:f>Sheet1!$B$32</c:f>
              <c:strCache>
                <c:ptCount val="1"/>
                <c:pt idx="0">
                  <c:v>Medium</c:v>
                </c:pt>
              </c:strCache>
            </c:strRef>
          </c:tx>
          <c:spPr>
            <a:solidFill>
              <a:srgbClr val="FFFF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Sheet1!$C$29</c:f>
              <c:strCache>
                <c:ptCount val="1"/>
                <c:pt idx="0">
                  <c:v>Number</c:v>
                </c:pt>
              </c:strCache>
            </c:strRef>
          </c:cat>
          <c:val>
            <c:numRef>
              <c:f>Sheet1!$C$32</c:f>
              <c:numCache>
                <c:formatCode>General</c:formatCode>
                <c:ptCount val="1"/>
                <c:pt idx="0">
                  <c:v>2</c:v>
                </c:pt>
              </c:numCache>
            </c:numRef>
          </c:val>
          <c:extLst>
            <c:ext xmlns:c16="http://schemas.microsoft.com/office/drawing/2014/chart" uri="{C3380CC4-5D6E-409C-BE32-E72D297353CC}">
              <c16:uniqueId val="{00000002-B5B8-4862-9D81-B35FC06D5514}"/>
            </c:ext>
          </c:extLst>
        </c:ser>
        <c:ser>
          <c:idx val="3"/>
          <c:order val="3"/>
          <c:tx>
            <c:strRef>
              <c:f>Sheet1!$B$33</c:f>
              <c:strCache>
                <c:ptCount val="1"/>
                <c:pt idx="0">
                  <c:v>Other</c:v>
                </c:pt>
              </c:strCache>
            </c:strRef>
          </c:tx>
          <c:spPr>
            <a:solidFill>
              <a:srgbClr val="3399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Sheet1!$C$29</c:f>
              <c:strCache>
                <c:ptCount val="1"/>
                <c:pt idx="0">
                  <c:v>Number</c:v>
                </c:pt>
              </c:strCache>
            </c:strRef>
          </c:cat>
          <c:val>
            <c:numRef>
              <c:f>Sheet1!$C$33</c:f>
              <c:numCache>
                <c:formatCode>General</c:formatCode>
                <c:ptCount val="1"/>
                <c:pt idx="0">
                  <c:v>7</c:v>
                </c:pt>
              </c:numCache>
            </c:numRef>
          </c:val>
          <c:extLst>
            <c:ext xmlns:c16="http://schemas.microsoft.com/office/drawing/2014/chart" uri="{C3380CC4-5D6E-409C-BE32-E72D297353CC}">
              <c16:uniqueId val="{00000003-B5B8-4862-9D81-B35FC06D5514}"/>
            </c:ext>
          </c:extLst>
        </c:ser>
        <c:ser>
          <c:idx val="4"/>
          <c:order val="4"/>
          <c:tx>
            <c:strRef>
              <c:f>Sheet1!$B$34</c:f>
              <c:strCache>
                <c:ptCount val="1"/>
                <c:pt idx="0">
                  <c:v>Not requiring immediate action</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Sheet1!$C$29</c:f>
              <c:strCache>
                <c:ptCount val="1"/>
                <c:pt idx="0">
                  <c:v>Number</c:v>
                </c:pt>
              </c:strCache>
            </c:strRef>
          </c:cat>
          <c:val>
            <c:numRef>
              <c:f>Sheet1!$C$34</c:f>
              <c:numCache>
                <c:formatCode>General</c:formatCode>
                <c:ptCount val="1"/>
                <c:pt idx="0">
                  <c:v>8</c:v>
                </c:pt>
              </c:numCache>
            </c:numRef>
          </c:val>
          <c:extLst>
            <c:ext xmlns:c16="http://schemas.microsoft.com/office/drawing/2014/chart" uri="{C3380CC4-5D6E-409C-BE32-E72D297353CC}">
              <c16:uniqueId val="{00000004-B5B8-4862-9D81-B35FC06D5514}"/>
            </c:ext>
          </c:extLst>
        </c:ser>
        <c:dLbls>
          <c:showLegendKey val="0"/>
          <c:showVal val="0"/>
          <c:showCatName val="0"/>
          <c:showSerName val="0"/>
          <c:showPercent val="0"/>
          <c:showBubbleSize val="0"/>
        </c:dLbls>
        <c:gapWidth val="150"/>
        <c:overlap val="100"/>
        <c:axId val="631676112"/>
        <c:axId val="631676504"/>
      </c:barChart>
      <c:catAx>
        <c:axId val="631676112"/>
        <c:scaling>
          <c:orientation val="minMax"/>
        </c:scaling>
        <c:delete val="1"/>
        <c:axPos val="l"/>
        <c:numFmt formatCode="General" sourceLinked="1"/>
        <c:majorTickMark val="none"/>
        <c:minorTickMark val="none"/>
        <c:tickLblPos val="nextTo"/>
        <c:crossAx val="631676504"/>
        <c:crosses val="autoZero"/>
        <c:auto val="1"/>
        <c:lblAlgn val="ctr"/>
        <c:lblOffset val="100"/>
        <c:noMultiLvlLbl val="0"/>
      </c:catAx>
      <c:valAx>
        <c:axId val="6316765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67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5DE6-4155-994F-933642477D8E}"/>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5DE6-4155-994F-933642477D8E}"/>
              </c:ext>
            </c:extLst>
          </c:dPt>
          <c:dPt>
            <c:idx val="2"/>
            <c:bubble3D val="0"/>
            <c:spPr>
              <a:solidFill>
                <a:srgbClr val="FF6600"/>
              </a:solidFill>
              <a:ln w="19050">
                <a:solidFill>
                  <a:schemeClr val="lt1"/>
                </a:solidFill>
              </a:ln>
              <a:effectLst/>
            </c:spPr>
            <c:extLst>
              <c:ext xmlns:c16="http://schemas.microsoft.com/office/drawing/2014/chart" uri="{C3380CC4-5D6E-409C-BE32-E72D297353CC}">
                <c16:uniqueId val="{00000005-5DE6-4155-994F-933642477D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Sheet1!$B$7:$D$7</c:f>
              <c:strCache>
                <c:ptCount val="3"/>
                <c:pt idx="0">
                  <c:v>Fully implemented</c:v>
                </c:pt>
                <c:pt idx="1">
                  <c:v>Partially implemented</c:v>
                </c:pt>
                <c:pt idx="2">
                  <c:v>Not implemented</c:v>
                </c:pt>
              </c:strCache>
            </c:strRef>
          </c:cat>
          <c:val>
            <c:numRef>
              <c:f>Sheet1!$B$8:$D$8</c:f>
              <c:numCache>
                <c:formatCode>General</c:formatCode>
                <c:ptCount val="3"/>
                <c:pt idx="0">
                  <c:v>17</c:v>
                </c:pt>
                <c:pt idx="1">
                  <c:v>9</c:v>
                </c:pt>
                <c:pt idx="2">
                  <c:v>14</c:v>
                </c:pt>
              </c:numCache>
            </c:numRef>
          </c:val>
          <c:extLst>
            <c:ext xmlns:c16="http://schemas.microsoft.com/office/drawing/2014/chart" uri="{C3380CC4-5D6E-409C-BE32-E72D297353CC}">
              <c16:uniqueId val="{00000006-5DE6-4155-994F-933642477D8E}"/>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Fully implemented</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Essential</c:v>
                </c:pt>
                <c:pt idx="1">
                  <c:v>High</c:v>
                </c:pt>
                <c:pt idx="2">
                  <c:v>Medium</c:v>
                </c:pt>
                <c:pt idx="3">
                  <c:v>Other</c:v>
                </c:pt>
              </c:strCache>
            </c:strRef>
          </c:cat>
          <c:val>
            <c:numRef>
              <c:f>Sheet1!$B$2:$B$5</c:f>
              <c:numCache>
                <c:formatCode>General</c:formatCode>
                <c:ptCount val="4"/>
                <c:pt idx="0">
                  <c:v>9</c:v>
                </c:pt>
                <c:pt idx="1">
                  <c:v>6</c:v>
                </c:pt>
                <c:pt idx="2">
                  <c:v>2</c:v>
                </c:pt>
              </c:numCache>
            </c:numRef>
          </c:val>
          <c:extLst>
            <c:ext xmlns:c16="http://schemas.microsoft.com/office/drawing/2014/chart" uri="{C3380CC4-5D6E-409C-BE32-E72D297353CC}">
              <c16:uniqueId val="{00000000-87C6-40AB-AC99-60B31F67B6E5}"/>
            </c:ext>
          </c:extLst>
        </c:ser>
        <c:ser>
          <c:idx val="1"/>
          <c:order val="1"/>
          <c:tx>
            <c:strRef>
              <c:f>Sheet1!$C$1</c:f>
              <c:strCache>
                <c:ptCount val="1"/>
                <c:pt idx="0">
                  <c:v>Partially implemented</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Essential</c:v>
                </c:pt>
                <c:pt idx="1">
                  <c:v>High</c:v>
                </c:pt>
                <c:pt idx="2">
                  <c:v>Medium</c:v>
                </c:pt>
                <c:pt idx="3">
                  <c:v>Other</c:v>
                </c:pt>
              </c:strCache>
            </c:strRef>
          </c:cat>
          <c:val>
            <c:numRef>
              <c:f>Sheet1!$C$2:$C$5</c:f>
              <c:numCache>
                <c:formatCode>General</c:formatCode>
                <c:ptCount val="4"/>
                <c:pt idx="0">
                  <c:v>3</c:v>
                </c:pt>
                <c:pt idx="1">
                  <c:v>3</c:v>
                </c:pt>
                <c:pt idx="3">
                  <c:v>3</c:v>
                </c:pt>
              </c:numCache>
            </c:numRef>
          </c:val>
          <c:extLst>
            <c:ext xmlns:c16="http://schemas.microsoft.com/office/drawing/2014/chart" uri="{C3380CC4-5D6E-409C-BE32-E72D297353CC}">
              <c16:uniqueId val="{00000001-87C6-40AB-AC99-60B31F67B6E5}"/>
            </c:ext>
          </c:extLst>
        </c:ser>
        <c:ser>
          <c:idx val="2"/>
          <c:order val="2"/>
          <c:tx>
            <c:strRef>
              <c:f>Sheet1!$D$1</c:f>
              <c:strCache>
                <c:ptCount val="1"/>
                <c:pt idx="0">
                  <c:v>Not implemented</c:v>
                </c:pt>
              </c:strCache>
            </c:strRef>
          </c:tx>
          <c:spPr>
            <a:solidFill>
              <a:srgbClr val="FF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Essential</c:v>
                </c:pt>
                <c:pt idx="1">
                  <c:v>High</c:v>
                </c:pt>
                <c:pt idx="2">
                  <c:v>Medium</c:v>
                </c:pt>
                <c:pt idx="3">
                  <c:v>Other</c:v>
                </c:pt>
              </c:strCache>
            </c:strRef>
          </c:cat>
          <c:val>
            <c:numRef>
              <c:f>Sheet1!$D$2:$D$5</c:f>
              <c:numCache>
                <c:formatCode>General</c:formatCode>
                <c:ptCount val="4"/>
                <c:pt idx="0">
                  <c:v>7</c:v>
                </c:pt>
                <c:pt idx="1">
                  <c:v>3</c:v>
                </c:pt>
                <c:pt idx="3">
                  <c:v>4</c:v>
                </c:pt>
              </c:numCache>
            </c:numRef>
          </c:val>
          <c:extLst>
            <c:ext xmlns:c16="http://schemas.microsoft.com/office/drawing/2014/chart" uri="{C3380CC4-5D6E-409C-BE32-E72D297353CC}">
              <c16:uniqueId val="{00000002-87C6-40AB-AC99-60B31F67B6E5}"/>
            </c:ext>
          </c:extLst>
        </c:ser>
        <c:dLbls>
          <c:showLegendKey val="0"/>
          <c:showVal val="0"/>
          <c:showCatName val="0"/>
          <c:showSerName val="0"/>
          <c:showPercent val="0"/>
          <c:showBubbleSize val="0"/>
        </c:dLbls>
        <c:gapWidth val="150"/>
        <c:overlap val="100"/>
        <c:axId val="584766560"/>
        <c:axId val="584766952"/>
      </c:barChart>
      <c:catAx>
        <c:axId val="584766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766952"/>
        <c:crosses val="autoZero"/>
        <c:auto val="1"/>
        <c:lblAlgn val="ctr"/>
        <c:lblOffset val="100"/>
        <c:noMultiLvlLbl val="0"/>
      </c:catAx>
      <c:valAx>
        <c:axId val="5847669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76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d_Time xmlns="661c9029-bfa9-40ee-8878-e72c3eb1d2ae" xsi:nil="true"/>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8D447-94A9-4958-8446-4E2940BB1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EE902-3F0E-4C82-8C5C-185D4DD94D9E}">
  <ds:schemaRefs>
    <ds:schemaRef ds:uri="http://schemas.openxmlformats.org/officeDocument/2006/bibliography"/>
  </ds:schemaRefs>
</ds:datastoreItem>
</file>

<file path=customXml/itemProps3.xml><?xml version="1.0" encoding="utf-8"?>
<ds:datastoreItem xmlns:ds="http://schemas.openxmlformats.org/officeDocument/2006/customXml" ds:itemID="{EA8ED1D8-25B8-4DD5-9DAB-562D87D9A80F}">
  <ds:schemaRefs>
    <ds:schemaRef ds:uri="http://schemas.microsoft.com/sharepoint/v3/contenttype/forms"/>
  </ds:schemaRefs>
</ds:datastoreItem>
</file>

<file path=customXml/itemProps4.xml><?xml version="1.0" encoding="utf-8"?>
<ds:datastoreItem xmlns:ds="http://schemas.openxmlformats.org/officeDocument/2006/customXml" ds:itemID="{13FCDBCE-4FE6-483F-9C52-F8C7FAC31E51}">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8249</Words>
  <Characters>47020</Characters>
  <Application>Microsoft Office Word</Application>
  <DocSecurity>0</DocSecurity>
  <Lines>391</Lines>
  <Paragraphs>110</Paragraphs>
  <ScaleCrop>false</ScaleCrop>
  <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dc:creator>
  <cp:keywords/>
  <dc:description/>
  <cp:lastModifiedBy>Jeannine Dicken</cp:lastModifiedBy>
  <cp:revision>8</cp:revision>
  <cp:lastPrinted>2018-11-16T09:20:00Z</cp:lastPrinted>
  <dcterms:created xsi:type="dcterms:W3CDTF">2026-02-25T07:39:00Z</dcterms:created>
  <dcterms:modified xsi:type="dcterms:W3CDTF">2026-03-25T12:53:00Z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ContentTypeId">
    <vt:lpwstr>0x0101009F09DCFA7D0A954092E7BE962C352E77</vt:lpwstr>
  </property>
  <property fmtid="{D5CDD505-2E9C-101B-9397-08002B2CF9AE}" pid="4" name="MediaServiceImageTags">
    <vt:lpwstr/>
  </property>
</Properties>
</file>