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0CD9" w14:textId="762EA99A" w:rsidR="004356E5" w:rsidRPr="00921455" w:rsidRDefault="50740AD7" w:rsidP="005A36A3">
      <w:pPr>
        <w:spacing w:line="276" w:lineRule="auto"/>
        <w:jc w:val="center"/>
        <w:rPr>
          <w:b/>
          <w:bCs/>
        </w:rPr>
      </w:pPr>
      <w:r w:rsidRPr="00921455">
        <w:rPr>
          <w:b/>
          <w:bCs/>
        </w:rPr>
        <w:t xml:space="preserve">Implementation Items for </w:t>
      </w:r>
      <w:r w:rsidR="004356E5" w:rsidRPr="00921455">
        <w:rPr>
          <w:b/>
          <w:bCs/>
        </w:rPr>
        <w:t xml:space="preserve">the AEWA Standing Committee as </w:t>
      </w:r>
      <w:r w:rsidR="2CD59D3B" w:rsidRPr="00921455">
        <w:rPr>
          <w:b/>
          <w:bCs/>
        </w:rPr>
        <w:t xml:space="preserve">adopted </w:t>
      </w:r>
      <w:r w:rsidR="004356E5" w:rsidRPr="00921455">
        <w:rPr>
          <w:b/>
          <w:bCs/>
        </w:rPr>
        <w:t>by the 9</w:t>
      </w:r>
      <w:r w:rsidR="004356E5" w:rsidRPr="00921455">
        <w:rPr>
          <w:b/>
          <w:bCs/>
          <w:vertAlign w:val="superscript"/>
        </w:rPr>
        <w:t>th</w:t>
      </w:r>
      <w:r w:rsidR="004356E5" w:rsidRPr="00921455">
        <w:rPr>
          <w:b/>
          <w:bCs/>
        </w:rPr>
        <w:t xml:space="preserve"> </w:t>
      </w:r>
      <w:r w:rsidR="00B36286" w:rsidRPr="00921455">
        <w:rPr>
          <w:b/>
          <w:bCs/>
        </w:rPr>
        <w:t>S</w:t>
      </w:r>
      <w:r w:rsidR="004356E5" w:rsidRPr="00921455">
        <w:rPr>
          <w:b/>
          <w:bCs/>
        </w:rPr>
        <w:t>ession of the Meeting of the Parties to AEWA (</w:t>
      </w:r>
      <w:r w:rsidR="6D95CF40" w:rsidRPr="00921455">
        <w:rPr>
          <w:b/>
          <w:bCs/>
        </w:rPr>
        <w:t xml:space="preserve">November </w:t>
      </w:r>
      <w:r w:rsidR="004356E5" w:rsidRPr="00921455">
        <w:rPr>
          <w:b/>
          <w:bCs/>
        </w:rPr>
        <w:t>2025, Bonn, Germany)</w:t>
      </w:r>
    </w:p>
    <w:p w14:paraId="5C965524" w14:textId="77777777" w:rsidR="003C4EFD" w:rsidRPr="003C4EFD" w:rsidRDefault="003C4EFD" w:rsidP="005A36A3">
      <w:pPr>
        <w:tabs>
          <w:tab w:val="left" w:pos="1365"/>
        </w:tabs>
        <w:suppressAutoHyphens/>
        <w:autoSpaceDN w:val="0"/>
        <w:spacing w:line="276" w:lineRule="auto"/>
        <w:textAlignment w:val="baseline"/>
        <w:rPr>
          <w:sz w:val="22"/>
          <w:szCs w:val="22"/>
        </w:rPr>
      </w:pPr>
    </w:p>
    <w:p w14:paraId="0E4D3653" w14:textId="77777777" w:rsidR="003C4EFD" w:rsidRPr="003C4EFD" w:rsidRDefault="003C4EFD" w:rsidP="005A36A3">
      <w:pPr>
        <w:tabs>
          <w:tab w:val="left" w:pos="1365"/>
        </w:tabs>
        <w:suppressAutoHyphens/>
        <w:autoSpaceDN w:val="0"/>
        <w:spacing w:line="276" w:lineRule="auto"/>
        <w:textAlignment w:val="baseline"/>
        <w:rPr>
          <w:sz w:val="22"/>
          <w:szCs w:val="22"/>
        </w:rPr>
      </w:pPr>
    </w:p>
    <w:p w14:paraId="4329C560" w14:textId="77777777" w:rsidR="003C4EFD" w:rsidRPr="003C4EFD" w:rsidRDefault="003C4EFD" w:rsidP="005A36A3">
      <w:pPr>
        <w:tabs>
          <w:tab w:val="left" w:pos="1365"/>
        </w:tabs>
        <w:suppressAutoHyphens/>
        <w:autoSpaceDN w:val="0"/>
        <w:spacing w:line="276" w:lineRule="auto"/>
        <w:jc w:val="both"/>
        <w:textAlignment w:val="baseline"/>
        <w:rPr>
          <w:b/>
        </w:rPr>
      </w:pPr>
      <w:r w:rsidRPr="003C4EFD">
        <w:rPr>
          <w:b/>
        </w:rPr>
        <w:t>Introduction</w:t>
      </w:r>
    </w:p>
    <w:p w14:paraId="3485C8B2" w14:textId="77777777" w:rsidR="003C4EFD" w:rsidRDefault="003C4EFD" w:rsidP="005A36A3">
      <w:pPr>
        <w:tabs>
          <w:tab w:val="left" w:pos="1365"/>
        </w:tabs>
        <w:suppressAutoHyphens/>
        <w:autoSpaceDN w:val="0"/>
        <w:spacing w:line="276" w:lineRule="auto"/>
        <w:jc w:val="both"/>
        <w:textAlignment w:val="baseline"/>
        <w:rPr>
          <w:sz w:val="22"/>
          <w:szCs w:val="22"/>
        </w:rPr>
      </w:pPr>
    </w:p>
    <w:p w14:paraId="0A21B4A1" w14:textId="261372E9" w:rsidR="00D90AE3" w:rsidRDefault="00A60D7B" w:rsidP="005A36A3">
      <w:pPr>
        <w:tabs>
          <w:tab w:val="left" w:pos="1365"/>
        </w:tabs>
        <w:suppressAutoHyphens/>
        <w:autoSpaceDN w:val="0"/>
        <w:spacing w:line="276" w:lineRule="auto"/>
        <w:jc w:val="both"/>
        <w:textAlignment w:val="baseline"/>
        <w:rPr>
          <w:sz w:val="22"/>
          <w:szCs w:val="22"/>
        </w:rPr>
      </w:pPr>
      <w:r w:rsidRPr="7CA06B1C">
        <w:rPr>
          <w:sz w:val="22"/>
          <w:szCs w:val="22"/>
        </w:rPr>
        <w:t>The 9</w:t>
      </w:r>
      <w:r w:rsidRPr="7CA06B1C">
        <w:rPr>
          <w:sz w:val="22"/>
          <w:szCs w:val="22"/>
          <w:vertAlign w:val="superscript"/>
        </w:rPr>
        <w:t>th</w:t>
      </w:r>
      <w:r w:rsidRPr="7CA06B1C">
        <w:rPr>
          <w:sz w:val="22"/>
          <w:szCs w:val="22"/>
        </w:rPr>
        <w:t xml:space="preserve"> Session of the Meeting of the Parties</w:t>
      </w:r>
      <w:r w:rsidR="7EC9875A" w:rsidRPr="7CA06B1C">
        <w:rPr>
          <w:sz w:val="22"/>
          <w:szCs w:val="22"/>
        </w:rPr>
        <w:t xml:space="preserve"> (MOP9)</w:t>
      </w:r>
      <w:r w:rsidRPr="7CA06B1C">
        <w:rPr>
          <w:sz w:val="22"/>
          <w:szCs w:val="22"/>
        </w:rPr>
        <w:t xml:space="preserve">, </w:t>
      </w:r>
      <w:r w:rsidR="008679BB" w:rsidRPr="7CA06B1C">
        <w:rPr>
          <w:sz w:val="22"/>
          <w:szCs w:val="22"/>
        </w:rPr>
        <w:t xml:space="preserve">held </w:t>
      </w:r>
      <w:r w:rsidR="003A3615" w:rsidRPr="7CA06B1C">
        <w:rPr>
          <w:sz w:val="22"/>
          <w:szCs w:val="22"/>
        </w:rPr>
        <w:t xml:space="preserve">on </w:t>
      </w:r>
      <w:r w:rsidR="00B56003" w:rsidRPr="7CA06B1C">
        <w:rPr>
          <w:sz w:val="22"/>
          <w:szCs w:val="22"/>
        </w:rPr>
        <w:t>11</w:t>
      </w:r>
      <w:r w:rsidRPr="7CA06B1C">
        <w:rPr>
          <w:sz w:val="22"/>
          <w:szCs w:val="22"/>
        </w:rPr>
        <w:t xml:space="preserve">-14 </w:t>
      </w:r>
      <w:r w:rsidR="58984410" w:rsidRPr="7CA06B1C">
        <w:rPr>
          <w:sz w:val="22"/>
          <w:szCs w:val="22"/>
        </w:rPr>
        <w:t xml:space="preserve">November </w:t>
      </w:r>
      <w:r w:rsidRPr="7CA06B1C">
        <w:rPr>
          <w:sz w:val="22"/>
          <w:szCs w:val="22"/>
        </w:rPr>
        <w:t xml:space="preserve">2025, Bonn, Germany, resulted in the adoption of </w:t>
      </w:r>
      <w:r w:rsidR="003A0F78" w:rsidRPr="7CA06B1C">
        <w:rPr>
          <w:sz w:val="22"/>
          <w:szCs w:val="22"/>
        </w:rPr>
        <w:t xml:space="preserve">eleven </w:t>
      </w:r>
      <w:r w:rsidR="003A3615" w:rsidRPr="7CA06B1C">
        <w:rPr>
          <w:sz w:val="22"/>
          <w:szCs w:val="22"/>
        </w:rPr>
        <w:t>r</w:t>
      </w:r>
      <w:r w:rsidR="003A0F78" w:rsidRPr="7CA06B1C">
        <w:rPr>
          <w:sz w:val="22"/>
          <w:szCs w:val="22"/>
        </w:rPr>
        <w:t>esolutions</w:t>
      </w:r>
      <w:r w:rsidR="003A3615" w:rsidRPr="7CA06B1C">
        <w:rPr>
          <w:sz w:val="22"/>
          <w:szCs w:val="22"/>
        </w:rPr>
        <w:t>.</w:t>
      </w:r>
      <w:r w:rsidR="001326C8" w:rsidRPr="7CA06B1C">
        <w:rPr>
          <w:sz w:val="22"/>
          <w:szCs w:val="22"/>
        </w:rPr>
        <w:t xml:space="preserve"> </w:t>
      </w:r>
      <w:r w:rsidR="003A3615" w:rsidRPr="7CA06B1C">
        <w:rPr>
          <w:sz w:val="22"/>
          <w:szCs w:val="22"/>
        </w:rPr>
        <w:t>E</w:t>
      </w:r>
      <w:r w:rsidR="00DA3A23" w:rsidRPr="7CA06B1C">
        <w:rPr>
          <w:sz w:val="22"/>
          <w:szCs w:val="22"/>
        </w:rPr>
        <w:t xml:space="preserve">ach </w:t>
      </w:r>
      <w:r w:rsidR="003A3615" w:rsidRPr="7CA06B1C">
        <w:rPr>
          <w:sz w:val="22"/>
          <w:szCs w:val="22"/>
        </w:rPr>
        <w:t xml:space="preserve">of these resolutions </w:t>
      </w:r>
      <w:r w:rsidR="705B3627" w:rsidRPr="7CA06B1C">
        <w:rPr>
          <w:sz w:val="22"/>
          <w:szCs w:val="22"/>
        </w:rPr>
        <w:t xml:space="preserve">contains </w:t>
      </w:r>
      <w:r w:rsidR="003A3615" w:rsidRPr="7CA06B1C">
        <w:rPr>
          <w:sz w:val="22"/>
          <w:szCs w:val="22"/>
        </w:rPr>
        <w:t>various</w:t>
      </w:r>
      <w:r w:rsidR="001326C8" w:rsidRPr="7CA06B1C">
        <w:rPr>
          <w:sz w:val="22"/>
          <w:szCs w:val="22"/>
        </w:rPr>
        <w:t xml:space="preserve"> </w:t>
      </w:r>
      <w:r w:rsidR="1009BF90" w:rsidRPr="7CA06B1C">
        <w:rPr>
          <w:sz w:val="22"/>
          <w:szCs w:val="22"/>
        </w:rPr>
        <w:t xml:space="preserve">implementation items </w:t>
      </w:r>
      <w:r w:rsidR="001326C8" w:rsidRPr="7CA06B1C">
        <w:rPr>
          <w:sz w:val="22"/>
          <w:szCs w:val="22"/>
        </w:rPr>
        <w:t xml:space="preserve">for the Contracting Parties, </w:t>
      </w:r>
      <w:r w:rsidR="000C1F1F" w:rsidRPr="7CA06B1C">
        <w:rPr>
          <w:sz w:val="22"/>
          <w:szCs w:val="22"/>
        </w:rPr>
        <w:t xml:space="preserve">as well as </w:t>
      </w:r>
      <w:r w:rsidR="001326C8" w:rsidRPr="7CA06B1C">
        <w:rPr>
          <w:sz w:val="22"/>
          <w:szCs w:val="22"/>
        </w:rPr>
        <w:t xml:space="preserve">for the </w:t>
      </w:r>
      <w:r w:rsidR="226F8C81" w:rsidRPr="7CA06B1C">
        <w:rPr>
          <w:sz w:val="22"/>
          <w:szCs w:val="22"/>
        </w:rPr>
        <w:t xml:space="preserve">Standing Committee, </w:t>
      </w:r>
      <w:r w:rsidR="001326C8" w:rsidRPr="7CA06B1C">
        <w:rPr>
          <w:sz w:val="22"/>
          <w:szCs w:val="22"/>
        </w:rPr>
        <w:t>the Technical Committee</w:t>
      </w:r>
      <w:r w:rsidR="00DA3A23" w:rsidRPr="7CA06B1C">
        <w:rPr>
          <w:sz w:val="22"/>
          <w:szCs w:val="22"/>
        </w:rPr>
        <w:t xml:space="preserve">, </w:t>
      </w:r>
      <w:r w:rsidR="0094248D" w:rsidRPr="7CA06B1C">
        <w:rPr>
          <w:sz w:val="22"/>
          <w:szCs w:val="22"/>
        </w:rPr>
        <w:t xml:space="preserve">the </w:t>
      </w:r>
      <w:r w:rsidR="304E3A3A" w:rsidRPr="7CA06B1C">
        <w:rPr>
          <w:sz w:val="22"/>
          <w:szCs w:val="22"/>
        </w:rPr>
        <w:t>Secretariat,</w:t>
      </w:r>
      <w:r w:rsidR="00DA3A23" w:rsidRPr="7CA06B1C">
        <w:rPr>
          <w:sz w:val="22"/>
          <w:szCs w:val="22"/>
        </w:rPr>
        <w:t xml:space="preserve"> and other stakeholders</w:t>
      </w:r>
      <w:r w:rsidR="0094248D" w:rsidRPr="7CA06B1C">
        <w:rPr>
          <w:sz w:val="22"/>
          <w:szCs w:val="22"/>
        </w:rPr>
        <w:t>.</w:t>
      </w:r>
      <w:r w:rsidR="006954B5" w:rsidRPr="7CA06B1C">
        <w:rPr>
          <w:sz w:val="22"/>
          <w:szCs w:val="22"/>
        </w:rPr>
        <w:t xml:space="preserve"> </w:t>
      </w:r>
    </w:p>
    <w:p w14:paraId="106FD9B8" w14:textId="77777777" w:rsidR="00D90AE3" w:rsidRDefault="00D90AE3" w:rsidP="005A36A3">
      <w:pPr>
        <w:tabs>
          <w:tab w:val="left" w:pos="1365"/>
        </w:tabs>
        <w:suppressAutoHyphens/>
        <w:autoSpaceDN w:val="0"/>
        <w:spacing w:line="276" w:lineRule="auto"/>
        <w:jc w:val="both"/>
        <w:textAlignment w:val="baseline"/>
        <w:rPr>
          <w:sz w:val="22"/>
          <w:szCs w:val="22"/>
        </w:rPr>
      </w:pPr>
    </w:p>
    <w:p w14:paraId="3C1B29AA" w14:textId="65BA1887" w:rsidR="004356E5" w:rsidRPr="003C4EFD" w:rsidRDefault="006954B5" w:rsidP="005A36A3">
      <w:pPr>
        <w:tabs>
          <w:tab w:val="left" w:pos="1365"/>
        </w:tabs>
        <w:suppressAutoHyphens/>
        <w:autoSpaceDN w:val="0"/>
        <w:spacing w:line="276" w:lineRule="auto"/>
        <w:jc w:val="both"/>
        <w:textAlignment w:val="baseline"/>
        <w:rPr>
          <w:sz w:val="22"/>
          <w:szCs w:val="22"/>
        </w:rPr>
      </w:pPr>
      <w:r w:rsidRPr="7CA06B1C">
        <w:rPr>
          <w:sz w:val="22"/>
          <w:szCs w:val="22"/>
        </w:rPr>
        <w:t xml:space="preserve">All </w:t>
      </w:r>
      <w:r w:rsidR="5C632FC1" w:rsidRPr="7CA06B1C">
        <w:rPr>
          <w:sz w:val="22"/>
          <w:szCs w:val="22"/>
        </w:rPr>
        <w:t xml:space="preserve">implementation items </w:t>
      </w:r>
      <w:r w:rsidR="000C1F1F" w:rsidRPr="7CA06B1C">
        <w:rPr>
          <w:sz w:val="22"/>
          <w:szCs w:val="22"/>
        </w:rPr>
        <w:t xml:space="preserve">adopted at MOP9 </w:t>
      </w:r>
      <w:r w:rsidRPr="7CA06B1C">
        <w:rPr>
          <w:sz w:val="22"/>
          <w:szCs w:val="22"/>
        </w:rPr>
        <w:t xml:space="preserve">that </w:t>
      </w:r>
      <w:r w:rsidR="00980B86" w:rsidRPr="7CA06B1C">
        <w:rPr>
          <w:sz w:val="22"/>
          <w:szCs w:val="22"/>
        </w:rPr>
        <w:t xml:space="preserve">are to be </w:t>
      </w:r>
      <w:r w:rsidRPr="7CA06B1C">
        <w:rPr>
          <w:sz w:val="22"/>
          <w:szCs w:val="22"/>
        </w:rPr>
        <w:t>carried out by the Standing Committee or require its</w:t>
      </w:r>
      <w:r w:rsidR="0869C8D3" w:rsidRPr="7CA06B1C">
        <w:rPr>
          <w:sz w:val="22"/>
          <w:szCs w:val="22"/>
        </w:rPr>
        <w:t xml:space="preserve"> </w:t>
      </w:r>
      <w:r w:rsidR="00980B86" w:rsidRPr="7CA06B1C">
        <w:rPr>
          <w:sz w:val="22"/>
          <w:szCs w:val="22"/>
        </w:rPr>
        <w:t>participation</w:t>
      </w:r>
      <w:r w:rsidRPr="7CA06B1C">
        <w:rPr>
          <w:sz w:val="22"/>
          <w:szCs w:val="22"/>
        </w:rPr>
        <w:t xml:space="preserve"> are listed in the </w:t>
      </w:r>
      <w:r w:rsidR="00980B86" w:rsidRPr="7CA06B1C">
        <w:rPr>
          <w:sz w:val="22"/>
          <w:szCs w:val="22"/>
        </w:rPr>
        <w:t xml:space="preserve">following </w:t>
      </w:r>
      <w:r w:rsidRPr="7CA06B1C">
        <w:rPr>
          <w:sz w:val="22"/>
          <w:szCs w:val="22"/>
        </w:rPr>
        <w:t>table.</w:t>
      </w:r>
      <w:r w:rsidR="4A7518D7" w:rsidRPr="7CA06B1C">
        <w:rPr>
          <w:sz w:val="22"/>
          <w:szCs w:val="22"/>
        </w:rPr>
        <w:t xml:space="preserve"> The items which are shaded in </w:t>
      </w:r>
      <w:r w:rsidR="6B2E6D7D" w:rsidRPr="7CA06B1C">
        <w:rPr>
          <w:sz w:val="22"/>
          <w:szCs w:val="22"/>
        </w:rPr>
        <w:t xml:space="preserve">green </w:t>
      </w:r>
      <w:r w:rsidR="4A7518D7" w:rsidRPr="7CA06B1C">
        <w:rPr>
          <w:sz w:val="22"/>
          <w:szCs w:val="22"/>
        </w:rPr>
        <w:t xml:space="preserve">are included as Priority 1 activities in the draft Programme of Work for the Secretariat for the period 2026-2028 and </w:t>
      </w:r>
      <w:r w:rsidR="606A9758" w:rsidRPr="7CA06B1C">
        <w:rPr>
          <w:sz w:val="22"/>
          <w:szCs w:val="22"/>
        </w:rPr>
        <w:t>their implementation will be</w:t>
      </w:r>
      <w:r w:rsidR="790B5FB9" w:rsidRPr="7CA06B1C">
        <w:rPr>
          <w:sz w:val="22"/>
          <w:szCs w:val="22"/>
        </w:rPr>
        <w:t xml:space="preserve"> undertaken or</w:t>
      </w:r>
      <w:r w:rsidR="606A9758" w:rsidRPr="7CA06B1C">
        <w:rPr>
          <w:sz w:val="22"/>
          <w:szCs w:val="22"/>
        </w:rPr>
        <w:t xml:space="preserve"> facilitated by the Secretariat.</w:t>
      </w:r>
    </w:p>
    <w:p w14:paraId="6C0ABE5D" w14:textId="17F42875" w:rsidR="591E28DD" w:rsidRDefault="591E28DD" w:rsidP="005A36A3">
      <w:pPr>
        <w:tabs>
          <w:tab w:val="left" w:pos="1365"/>
        </w:tabs>
        <w:spacing w:line="276" w:lineRule="auto"/>
        <w:jc w:val="both"/>
        <w:rPr>
          <w:sz w:val="22"/>
          <w:szCs w:val="22"/>
        </w:rPr>
      </w:pPr>
    </w:p>
    <w:p w14:paraId="4A1CA069" w14:textId="5E66E846" w:rsidR="00980B86" w:rsidRDefault="00980B86" w:rsidP="005A36A3">
      <w:pPr>
        <w:suppressAutoHyphens/>
        <w:autoSpaceDN w:val="0"/>
        <w:spacing w:line="276" w:lineRule="auto"/>
        <w:jc w:val="both"/>
        <w:textAlignment w:val="baseline"/>
        <w:rPr>
          <w:b/>
          <w:bCs/>
          <w:sz w:val="22"/>
          <w:szCs w:val="22"/>
          <w:lang w:val="en-GB"/>
        </w:rPr>
      </w:pPr>
    </w:p>
    <w:p w14:paraId="422F0242" w14:textId="4DE0F4D0" w:rsidR="003C4EFD" w:rsidRPr="005A36A3" w:rsidRDefault="003C4EFD" w:rsidP="005A36A3">
      <w:pPr>
        <w:suppressAutoHyphens/>
        <w:autoSpaceDN w:val="0"/>
        <w:spacing w:after="120" w:line="276" w:lineRule="auto"/>
        <w:jc w:val="both"/>
        <w:textAlignment w:val="baseline"/>
        <w:rPr>
          <w:b/>
          <w:bCs/>
          <w:lang w:val="en-GB"/>
        </w:rPr>
      </w:pPr>
      <w:r w:rsidRPr="005A36A3">
        <w:rPr>
          <w:b/>
          <w:bCs/>
          <w:lang w:val="en-GB"/>
        </w:rPr>
        <w:t>Actions requested from the Standing Committee</w:t>
      </w:r>
    </w:p>
    <w:p w14:paraId="20766CA7" w14:textId="263731A4" w:rsidR="003C4EFD" w:rsidRPr="003C4EFD" w:rsidRDefault="003C4EFD" w:rsidP="005A36A3">
      <w:pPr>
        <w:suppressAutoHyphens/>
        <w:autoSpaceDN w:val="0"/>
        <w:spacing w:line="276" w:lineRule="auto"/>
        <w:jc w:val="both"/>
        <w:textAlignment w:val="baseline"/>
        <w:rPr>
          <w:sz w:val="22"/>
          <w:szCs w:val="22"/>
          <w:lang w:val="en-GB"/>
        </w:rPr>
      </w:pPr>
      <w:r w:rsidRPr="7CA06B1C">
        <w:rPr>
          <w:sz w:val="22"/>
          <w:szCs w:val="22"/>
          <w:lang w:val="en-GB"/>
        </w:rPr>
        <w:t>The Standing Committee is requested to</w:t>
      </w:r>
      <w:r w:rsidR="00D710BB" w:rsidRPr="7CA06B1C">
        <w:rPr>
          <w:sz w:val="22"/>
          <w:szCs w:val="22"/>
          <w:lang w:val="en-GB"/>
        </w:rPr>
        <w:t xml:space="preserve"> take note of </w:t>
      </w:r>
      <w:r w:rsidR="002B77EF" w:rsidRPr="7CA06B1C">
        <w:rPr>
          <w:sz w:val="22"/>
          <w:szCs w:val="22"/>
          <w:lang w:val="en-GB"/>
        </w:rPr>
        <w:t xml:space="preserve">the </w:t>
      </w:r>
      <w:r w:rsidR="1FE158CE" w:rsidRPr="7CA06B1C">
        <w:rPr>
          <w:sz w:val="22"/>
          <w:szCs w:val="22"/>
          <w:lang w:val="en-GB"/>
        </w:rPr>
        <w:t xml:space="preserve">implementation items </w:t>
      </w:r>
      <w:r w:rsidR="003C54EE" w:rsidRPr="7CA06B1C">
        <w:rPr>
          <w:sz w:val="22"/>
          <w:szCs w:val="22"/>
          <w:lang w:val="en-GB"/>
        </w:rPr>
        <w:t>assigned to it</w:t>
      </w:r>
      <w:r w:rsidR="002B77EF" w:rsidRPr="7CA06B1C">
        <w:rPr>
          <w:sz w:val="22"/>
          <w:szCs w:val="22"/>
          <w:lang w:val="en-GB"/>
        </w:rPr>
        <w:t xml:space="preserve"> by the </w:t>
      </w:r>
      <w:r w:rsidR="000C2A3F" w:rsidRPr="7CA06B1C">
        <w:rPr>
          <w:sz w:val="22"/>
          <w:szCs w:val="22"/>
          <w:lang w:val="en-GB"/>
        </w:rPr>
        <w:t>9</w:t>
      </w:r>
      <w:r w:rsidR="000C2A3F" w:rsidRPr="7CA06B1C">
        <w:rPr>
          <w:sz w:val="22"/>
          <w:szCs w:val="22"/>
          <w:vertAlign w:val="superscript"/>
          <w:lang w:val="en-GB"/>
        </w:rPr>
        <w:t>th</w:t>
      </w:r>
      <w:r w:rsidR="000C2A3F" w:rsidRPr="7CA06B1C">
        <w:rPr>
          <w:sz w:val="22"/>
          <w:szCs w:val="22"/>
          <w:lang w:val="en-GB"/>
        </w:rPr>
        <w:t xml:space="preserve"> Session of the Meeting of the Parties to AEWA and to discuss </w:t>
      </w:r>
      <w:r w:rsidR="52C8A51B" w:rsidRPr="7CA06B1C">
        <w:rPr>
          <w:sz w:val="22"/>
          <w:szCs w:val="22"/>
          <w:lang w:val="en-GB"/>
        </w:rPr>
        <w:t xml:space="preserve">and agree on </w:t>
      </w:r>
      <w:r w:rsidR="004356E5" w:rsidRPr="7CA06B1C">
        <w:rPr>
          <w:sz w:val="22"/>
          <w:szCs w:val="22"/>
          <w:lang w:val="en-GB"/>
        </w:rPr>
        <w:t xml:space="preserve">the process </w:t>
      </w:r>
      <w:r w:rsidR="00F00D58" w:rsidRPr="7CA06B1C">
        <w:rPr>
          <w:sz w:val="22"/>
          <w:szCs w:val="22"/>
          <w:lang w:val="en-GB"/>
        </w:rPr>
        <w:t xml:space="preserve">and workflow </w:t>
      </w:r>
      <w:r w:rsidR="004356E5" w:rsidRPr="7CA06B1C">
        <w:rPr>
          <w:sz w:val="22"/>
          <w:szCs w:val="22"/>
          <w:lang w:val="en-GB"/>
        </w:rPr>
        <w:t xml:space="preserve">for implementing these </w:t>
      </w:r>
      <w:r w:rsidR="32817BC3" w:rsidRPr="7CA06B1C">
        <w:rPr>
          <w:sz w:val="22"/>
          <w:szCs w:val="22"/>
          <w:lang w:val="en-GB"/>
        </w:rPr>
        <w:t>items</w:t>
      </w:r>
      <w:r w:rsidR="004356E5" w:rsidRPr="7CA06B1C">
        <w:rPr>
          <w:sz w:val="22"/>
          <w:szCs w:val="22"/>
          <w:lang w:val="en-GB"/>
        </w:rPr>
        <w:t xml:space="preserve"> </w:t>
      </w:r>
      <w:r w:rsidR="00EE49B7" w:rsidRPr="7CA06B1C">
        <w:rPr>
          <w:sz w:val="22"/>
          <w:szCs w:val="22"/>
          <w:lang w:val="en-GB"/>
        </w:rPr>
        <w:t>during</w:t>
      </w:r>
      <w:r w:rsidR="00805EBD" w:rsidRPr="7CA06B1C">
        <w:rPr>
          <w:sz w:val="22"/>
          <w:szCs w:val="22"/>
          <w:lang w:val="en-GB"/>
        </w:rPr>
        <w:t xml:space="preserve"> the period 2026-2028</w:t>
      </w:r>
      <w:r w:rsidR="004356E5" w:rsidRPr="7CA06B1C">
        <w:rPr>
          <w:sz w:val="22"/>
          <w:szCs w:val="22"/>
          <w:lang w:val="en-GB"/>
        </w:rPr>
        <w:t>.</w:t>
      </w:r>
    </w:p>
    <w:p w14:paraId="44157BFC" w14:textId="77777777" w:rsidR="003C4EFD" w:rsidRPr="003C4EFD" w:rsidRDefault="003C4EFD" w:rsidP="005A36A3">
      <w:pPr>
        <w:spacing w:line="276" w:lineRule="auto"/>
        <w:jc w:val="both"/>
        <w:rPr>
          <w:b/>
          <w:sz w:val="32"/>
          <w:szCs w:val="32"/>
          <w:lang w:val="en-GB"/>
        </w:rPr>
      </w:pPr>
    </w:p>
    <w:p w14:paraId="597C911E" w14:textId="77777777" w:rsidR="003C4EFD" w:rsidRDefault="003C4EFD" w:rsidP="00304E6D">
      <w:pPr>
        <w:jc w:val="center"/>
        <w:rPr>
          <w:b/>
          <w:sz w:val="32"/>
          <w:szCs w:val="32"/>
        </w:rPr>
      </w:pPr>
    </w:p>
    <w:p w14:paraId="6CB171B5" w14:textId="77777777" w:rsidR="003C4EFD" w:rsidRDefault="003C4EFD" w:rsidP="00304E6D">
      <w:pPr>
        <w:jc w:val="center"/>
        <w:rPr>
          <w:b/>
          <w:sz w:val="32"/>
          <w:szCs w:val="32"/>
        </w:rPr>
      </w:pPr>
    </w:p>
    <w:p w14:paraId="27880314" w14:textId="27EAD50F" w:rsidR="00F62CCB" w:rsidRDefault="00F62CCB">
      <w:pPr>
        <w:sectPr w:rsidR="00F62CCB" w:rsidSect="00921455">
          <w:headerReference w:type="default" r:id="rId12"/>
          <w:footerReference w:type="even" r:id="rId13"/>
          <w:pgSz w:w="11907" w:h="16840" w:code="9"/>
          <w:pgMar w:top="1440" w:right="850" w:bottom="1440" w:left="851" w:header="432" w:footer="432" w:gutter="0"/>
          <w:cols w:space="708"/>
          <w:docGrid w:linePitch="360"/>
        </w:sectPr>
      </w:pPr>
    </w:p>
    <w:p w14:paraId="05C7521F" w14:textId="41C07499" w:rsidR="004437BB" w:rsidRPr="00464425" w:rsidRDefault="00871105" w:rsidP="00871105">
      <w:pPr>
        <w:jc w:val="both"/>
        <w:rPr>
          <w:i/>
        </w:rPr>
      </w:pPr>
      <w:r w:rsidRPr="00464425">
        <w:rPr>
          <w:i/>
        </w:rPr>
        <w:lastRenderedPageBreak/>
        <w:t>The list bel</w:t>
      </w:r>
      <w:r w:rsidR="00BA359D" w:rsidRPr="00464425">
        <w:rPr>
          <w:i/>
        </w:rPr>
        <w:t>ow follows the numbering of MOP</w:t>
      </w:r>
      <w:r w:rsidR="00EA0E84">
        <w:rPr>
          <w:i/>
        </w:rPr>
        <w:t>9</w:t>
      </w:r>
      <w:r w:rsidRPr="00464425">
        <w:rPr>
          <w:i/>
        </w:rPr>
        <w:t xml:space="preserve"> resolutions, their full titles and relevant operative paragraphs numbered as in the resolutions</w:t>
      </w:r>
      <w:r w:rsidR="00A02DBC">
        <w:rPr>
          <w:i/>
        </w:rPr>
        <w:t>.</w:t>
      </w:r>
    </w:p>
    <w:p w14:paraId="4AA619E5" w14:textId="77777777" w:rsidR="00871105" w:rsidRPr="00957BD2" w:rsidRDefault="00871105" w:rsidP="00F16CE4">
      <w:pPr>
        <w:ind w:left="142" w:hanging="142"/>
        <w:rPr>
          <w:b/>
          <w:bCs/>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3"/>
      </w:tblGrid>
      <w:tr w:rsidR="00EC1A5A" w:rsidRPr="007C244E" w14:paraId="49ED7075" w14:textId="77777777" w:rsidTr="00934043">
        <w:trPr>
          <w:trHeight w:val="300"/>
          <w:jc w:val="center"/>
        </w:trPr>
        <w:tc>
          <w:tcPr>
            <w:tcW w:w="5000" w:type="pct"/>
            <w:shd w:val="clear" w:color="auto" w:fill="F6C5AC" w:themeFill="accent2" w:themeFillTint="66"/>
          </w:tcPr>
          <w:p w14:paraId="0F29995E" w14:textId="2B98648F" w:rsidR="00936141" w:rsidRPr="007C244E" w:rsidRDefault="00957BD2" w:rsidP="00341C72">
            <w:pPr>
              <w:spacing w:line="276" w:lineRule="auto"/>
              <w:jc w:val="both"/>
              <w:rPr>
                <w:b/>
                <w:bCs/>
                <w:sz w:val="22"/>
                <w:szCs w:val="22"/>
                <w:lang w:val="en-GB"/>
              </w:rPr>
            </w:pPr>
            <w:r w:rsidRPr="007C244E">
              <w:rPr>
                <w:b/>
                <w:bCs/>
                <w:sz w:val="22"/>
                <w:szCs w:val="22"/>
              </w:rPr>
              <w:t>R</w:t>
            </w:r>
            <w:r w:rsidR="00DB3FCA">
              <w:rPr>
                <w:b/>
                <w:bCs/>
                <w:sz w:val="22"/>
                <w:szCs w:val="22"/>
              </w:rPr>
              <w:t>ESOLUTION</w:t>
            </w:r>
            <w:r w:rsidRPr="007C244E">
              <w:rPr>
                <w:b/>
                <w:bCs/>
                <w:sz w:val="22"/>
                <w:szCs w:val="22"/>
              </w:rPr>
              <w:t xml:space="preserve"> 9.1: ADOPTION OF AMENDMENTS TO THE AEWA ANNEXES</w:t>
            </w:r>
          </w:p>
        </w:tc>
      </w:tr>
      <w:tr w:rsidR="00EC1A5A" w:rsidRPr="007C244E" w14:paraId="5EE66A7A" w14:textId="77777777" w:rsidTr="00934043">
        <w:trPr>
          <w:trHeight w:val="300"/>
          <w:jc w:val="center"/>
        </w:trPr>
        <w:tc>
          <w:tcPr>
            <w:tcW w:w="5000" w:type="pct"/>
            <w:shd w:val="clear" w:color="auto" w:fill="D9F2D0" w:themeFill="accent6" w:themeFillTint="33"/>
          </w:tcPr>
          <w:p w14:paraId="35001305" w14:textId="041F5E63" w:rsidR="00EC1A5A" w:rsidRPr="00A93C8D" w:rsidRDefault="001469C4" w:rsidP="00341C72">
            <w:pPr>
              <w:pStyle w:val="CommentText"/>
              <w:spacing w:line="276" w:lineRule="auto"/>
              <w:jc w:val="both"/>
              <w:rPr>
                <w:iCs/>
                <w:sz w:val="22"/>
                <w:szCs w:val="22"/>
              </w:rPr>
            </w:pPr>
            <w:r w:rsidRPr="007C244E">
              <w:rPr>
                <w:iCs/>
                <w:sz w:val="22"/>
                <w:szCs w:val="22"/>
              </w:rPr>
              <w:t xml:space="preserve">7. </w:t>
            </w:r>
            <w:r w:rsidRPr="00192042">
              <w:rPr>
                <w:i/>
                <w:sz w:val="22"/>
                <w:szCs w:val="22"/>
              </w:rPr>
              <w:t>Requests</w:t>
            </w:r>
            <w:r w:rsidRPr="007C244E">
              <w:rPr>
                <w:iCs/>
                <w:sz w:val="22"/>
                <w:szCs w:val="22"/>
              </w:rPr>
              <w:t xml:space="preserve"> the Secretariat, in consultation with the Technical and Standing Committees, following the 9</w:t>
            </w:r>
            <w:r w:rsidRPr="00A93C8D">
              <w:rPr>
                <w:iCs/>
                <w:sz w:val="22"/>
                <w:szCs w:val="22"/>
                <w:vertAlign w:val="superscript"/>
              </w:rPr>
              <w:t>th</w:t>
            </w:r>
            <w:r w:rsidRPr="007C244E">
              <w:rPr>
                <w:iCs/>
                <w:sz w:val="22"/>
                <w:szCs w:val="22"/>
              </w:rPr>
              <w:t xml:space="preserve"> Session of the Meeting of the Parties (MOP9) to review the Action Plan in Annex 3 to the Agreement in advance of the launch of the development of the Strategic Plan 2029-2037 and suggest possible optimisations to the Action Plan with a view to strengthening its coherence and providing for a more streamlined implementation, which are to be considered in the context of developing the next Strategic Plan, and to arrange for any resulting proposals for amendments to or interpretation of the Action Plan to be submitted to MOP10 for consideration and adoption; as part of this process the Secretariat should, inter alia, review the AEWA provisions on sustainable use with the objective of establishing consistency in the use of terminology and potentially additional definitions of terms to ensure coherence of the legal text and in undertaking this task, take into account terminology and definitions used under other relevant frameworks, including the European Union’s Birds Directive;</w:t>
            </w:r>
          </w:p>
        </w:tc>
      </w:tr>
      <w:tr w:rsidR="00ED31CC" w:rsidRPr="007C244E" w14:paraId="3DAE9DED" w14:textId="77777777" w:rsidTr="00934043">
        <w:trPr>
          <w:trHeight w:val="300"/>
          <w:jc w:val="center"/>
        </w:trPr>
        <w:tc>
          <w:tcPr>
            <w:tcW w:w="5000" w:type="pct"/>
            <w:shd w:val="clear" w:color="auto" w:fill="F6C5AC" w:themeFill="accent2" w:themeFillTint="66"/>
          </w:tcPr>
          <w:p w14:paraId="582279FC" w14:textId="65B5904A" w:rsidR="0042019B" w:rsidRPr="007C244E" w:rsidRDefault="009B7E23" w:rsidP="00341C72">
            <w:pPr>
              <w:autoSpaceDE w:val="0"/>
              <w:autoSpaceDN w:val="0"/>
              <w:adjustRightInd w:val="0"/>
              <w:spacing w:line="276" w:lineRule="auto"/>
              <w:jc w:val="both"/>
              <w:rPr>
                <w:b/>
                <w:bCs/>
                <w:sz w:val="22"/>
                <w:szCs w:val="22"/>
                <w:lang/>
              </w:rPr>
            </w:pPr>
            <w:bookmarkStart w:id="0" w:name="_Hlk534639555"/>
            <w:r w:rsidRPr="007C244E">
              <w:rPr>
                <w:b/>
                <w:bCs/>
                <w:sz w:val="22"/>
                <w:szCs w:val="22"/>
                <w:lang/>
              </w:rPr>
              <w:t>RESOLUTION 9.2: IMPLEMENTATION OF THE AGREEMENT AND ITS STRATEGIC PLAN</w:t>
            </w:r>
          </w:p>
        </w:tc>
      </w:tr>
      <w:bookmarkEnd w:id="0"/>
      <w:tr w:rsidR="00ED31CC" w:rsidRPr="007C244E" w14:paraId="24E912FB" w14:textId="77777777" w:rsidTr="00934043">
        <w:trPr>
          <w:jc w:val="center"/>
        </w:trPr>
        <w:tc>
          <w:tcPr>
            <w:tcW w:w="5000" w:type="pct"/>
          </w:tcPr>
          <w:p w14:paraId="7804059A" w14:textId="6F4C62DD" w:rsidR="00540283" w:rsidRPr="00540283" w:rsidRDefault="00540283" w:rsidP="00341C72">
            <w:pPr>
              <w:pStyle w:val="ListParagraph"/>
              <w:spacing w:line="276" w:lineRule="auto"/>
              <w:ind w:left="0"/>
              <w:jc w:val="both"/>
              <w:rPr>
                <w:rStyle w:val="cf01"/>
                <w:rFonts w:ascii="Times New Roman" w:hAnsi="Times New Roman" w:cs="Times New Roman"/>
                <w:b/>
                <w:bCs/>
                <w:i/>
                <w:iCs/>
                <w:sz w:val="22"/>
                <w:szCs w:val="22"/>
                <w:lang w:val="en-GB"/>
              </w:rPr>
            </w:pPr>
            <w:r w:rsidRPr="00540283">
              <w:rPr>
                <w:b/>
                <w:bCs/>
                <w:i/>
                <w:iCs/>
                <w:sz w:val="22"/>
                <w:szCs w:val="22"/>
              </w:rPr>
              <w:t>Implementation of the Agreement and its Strategic Plan 2019-2027 and associated Plan of Action for Africa 2019-2027, and development of the AEWA Strategic Plan 2029-2037</w:t>
            </w:r>
          </w:p>
          <w:p w14:paraId="6EED692F" w14:textId="3251A841" w:rsidR="00ED31CC" w:rsidRPr="00641B0D" w:rsidRDefault="00A72CC1" w:rsidP="00341C72">
            <w:pPr>
              <w:pStyle w:val="ListParagraph"/>
              <w:numPr>
                <w:ilvl w:val="0"/>
                <w:numId w:val="3"/>
              </w:numPr>
              <w:tabs>
                <w:tab w:val="left" w:pos="270"/>
              </w:tabs>
              <w:spacing w:line="276" w:lineRule="auto"/>
              <w:ind w:left="0" w:firstLine="0"/>
              <w:jc w:val="both"/>
              <w:rPr>
                <w:sz w:val="22"/>
                <w:szCs w:val="22"/>
                <w:lang w:val="en-GB"/>
              </w:rPr>
            </w:pPr>
            <w:r w:rsidRPr="007C244E">
              <w:rPr>
                <w:rStyle w:val="cf01"/>
                <w:rFonts w:ascii="Times New Roman" w:hAnsi="Times New Roman" w:cs="Times New Roman"/>
                <w:i/>
                <w:iCs/>
                <w:sz w:val="22"/>
                <w:szCs w:val="22"/>
                <w:lang w:val="en-GB"/>
              </w:rPr>
              <w:t xml:space="preserve">Directs </w:t>
            </w:r>
            <w:r w:rsidRPr="007C244E">
              <w:rPr>
                <w:rStyle w:val="cf01"/>
                <w:rFonts w:ascii="Times New Roman" w:hAnsi="Times New Roman" w:cs="Times New Roman"/>
                <w:sz w:val="22"/>
                <w:szCs w:val="22"/>
                <w:lang w:val="en-GB"/>
              </w:rPr>
              <w:t>the Standing Committee, with the support of the Secretariat and the assistance of Parties, as necessary, to ensure that the final evaluation Report on the Implementation of the Strategic Plan 2019-2027 is compiled and submitted to MOP10 subject to timely provision of financial resources and submission of comprehensive national reports;</w:t>
            </w:r>
          </w:p>
        </w:tc>
      </w:tr>
      <w:tr w:rsidR="001A4B56" w:rsidRPr="007C244E" w14:paraId="73FD245E" w14:textId="77777777" w:rsidTr="00934043">
        <w:trPr>
          <w:trHeight w:val="300"/>
          <w:jc w:val="center"/>
        </w:trPr>
        <w:tc>
          <w:tcPr>
            <w:tcW w:w="5000" w:type="pct"/>
            <w:shd w:val="clear" w:color="auto" w:fill="D9F2D0" w:themeFill="accent6" w:themeFillTint="33"/>
          </w:tcPr>
          <w:p w14:paraId="1C89F809" w14:textId="1D40535D" w:rsidR="001A4B56" w:rsidRPr="00641B0D" w:rsidRDefault="001C4CE7" w:rsidP="00341C72">
            <w:pPr>
              <w:pStyle w:val="ListParagraph"/>
              <w:numPr>
                <w:ilvl w:val="0"/>
                <w:numId w:val="11"/>
              </w:numPr>
              <w:tabs>
                <w:tab w:val="left" w:pos="285"/>
              </w:tabs>
              <w:spacing w:line="276" w:lineRule="auto"/>
              <w:ind w:left="0" w:firstLine="0"/>
              <w:jc w:val="both"/>
              <w:rPr>
                <w:sz w:val="22"/>
                <w:szCs w:val="22"/>
                <w:lang w:val="en-GB"/>
              </w:rPr>
            </w:pPr>
            <w:r w:rsidRPr="007C244E">
              <w:rPr>
                <w:rStyle w:val="cf01"/>
                <w:rFonts w:ascii="Times New Roman" w:hAnsi="Times New Roman" w:cs="Times New Roman"/>
                <w:i/>
                <w:iCs/>
                <w:sz w:val="22"/>
                <w:szCs w:val="22"/>
                <w:lang w:val="en-GB"/>
              </w:rPr>
              <w:t xml:space="preserve">Instructs </w:t>
            </w:r>
            <w:r w:rsidRPr="007C244E">
              <w:rPr>
                <w:rStyle w:val="cf01"/>
                <w:rFonts w:ascii="Times New Roman" w:hAnsi="Times New Roman" w:cs="Times New Roman"/>
                <w:sz w:val="22"/>
                <w:szCs w:val="22"/>
                <w:lang w:val="en-GB"/>
              </w:rPr>
              <w:t xml:space="preserve">the Standing Committee, working with the Technical Committee and supported by the Secretariat, to develop, building on the current Strategic Plan, a draft Strategic Plan for the period 2029-2037 and to submit it for consideration and adoption by MOP10; and in conjunction with this process, to compile guidance on relevant overarching and cross-cutting issues to be identified with respect to the Strategic Plan implementation, such as the interaction of livelihoods with the conservation of waterbirds and their habitats, while considering the applicability for AEWA of existing guidance and other relevant material already compiled and available under other relevant frameworks; </w:t>
            </w:r>
          </w:p>
        </w:tc>
      </w:tr>
      <w:tr w:rsidR="001A4B56" w:rsidRPr="007C244E" w14:paraId="49D85876" w14:textId="77777777" w:rsidTr="00934043">
        <w:trPr>
          <w:trHeight w:val="300"/>
          <w:jc w:val="center"/>
        </w:trPr>
        <w:tc>
          <w:tcPr>
            <w:tcW w:w="5000" w:type="pct"/>
            <w:shd w:val="clear" w:color="auto" w:fill="D9F2D0" w:themeFill="accent6" w:themeFillTint="33"/>
          </w:tcPr>
          <w:p w14:paraId="516925B4" w14:textId="710C12E3" w:rsidR="001A4B56" w:rsidRPr="00641B0D" w:rsidRDefault="00DC62EB" w:rsidP="00341C72">
            <w:pPr>
              <w:pStyle w:val="ListParagraph"/>
              <w:numPr>
                <w:ilvl w:val="0"/>
                <w:numId w:val="12"/>
              </w:numPr>
              <w:tabs>
                <w:tab w:val="left" w:pos="270"/>
              </w:tabs>
              <w:spacing w:line="276" w:lineRule="auto"/>
              <w:ind w:left="0" w:firstLine="0"/>
              <w:jc w:val="both"/>
              <w:rPr>
                <w:sz w:val="22"/>
                <w:szCs w:val="22"/>
                <w:lang w:val="en-GB"/>
              </w:rPr>
            </w:pPr>
            <w:r w:rsidRPr="007C244E">
              <w:rPr>
                <w:rStyle w:val="cf01"/>
                <w:rFonts w:ascii="Times New Roman" w:hAnsi="Times New Roman" w:cs="Times New Roman"/>
                <w:i/>
                <w:iCs/>
                <w:sz w:val="22"/>
                <w:szCs w:val="22"/>
                <w:lang w:val="en-GB"/>
              </w:rPr>
              <w:t>Decides</w:t>
            </w:r>
            <w:r w:rsidRPr="007C244E">
              <w:rPr>
                <w:rStyle w:val="cf01"/>
                <w:rFonts w:ascii="Times New Roman" w:hAnsi="Times New Roman" w:cs="Times New Roman"/>
                <w:sz w:val="22"/>
                <w:szCs w:val="22"/>
                <w:lang w:val="en-GB"/>
              </w:rPr>
              <w:t xml:space="preserve"> to replace the Plan of Action for Africa after MOP10 with a </w:t>
            </w:r>
            <w:r w:rsidRPr="007C244E">
              <w:rPr>
                <w:sz w:val="22"/>
                <w:szCs w:val="22"/>
                <w:lang w:val="en-GB"/>
              </w:rPr>
              <w:t xml:space="preserve">targeted, simplified and direct implementation support mechanism or approach based on the Strategic Plan 2029-2037 and </w:t>
            </w:r>
            <w:r w:rsidRPr="007C244E">
              <w:rPr>
                <w:i/>
                <w:iCs/>
                <w:sz w:val="22"/>
                <w:szCs w:val="22"/>
                <w:lang w:val="en-GB"/>
              </w:rPr>
              <w:t>requests</w:t>
            </w:r>
            <w:r w:rsidRPr="007C244E">
              <w:rPr>
                <w:sz w:val="22"/>
                <w:szCs w:val="22"/>
                <w:lang w:val="en-GB"/>
              </w:rPr>
              <w:t xml:space="preserve"> the Standing Committee, with support from the Secretariat, to conceptualise such a mechanism or approach once the draft Strategic Plan has been compiled and present it to MOP10 for consideration;</w:t>
            </w:r>
          </w:p>
        </w:tc>
      </w:tr>
      <w:tr w:rsidR="004F473C" w:rsidRPr="007C244E" w14:paraId="5FEB4BB6" w14:textId="77777777" w:rsidTr="00934043">
        <w:trPr>
          <w:trHeight w:val="300"/>
          <w:jc w:val="center"/>
        </w:trPr>
        <w:tc>
          <w:tcPr>
            <w:tcW w:w="5000" w:type="pct"/>
            <w:shd w:val="clear" w:color="auto" w:fill="D9F2D0" w:themeFill="accent6" w:themeFillTint="33"/>
          </w:tcPr>
          <w:p w14:paraId="43A3045D" w14:textId="5D1729DA" w:rsidR="004F473C" w:rsidRPr="00641B0D" w:rsidRDefault="00707128" w:rsidP="00341C72">
            <w:pPr>
              <w:numPr>
                <w:ilvl w:val="0"/>
                <w:numId w:val="14"/>
              </w:numPr>
              <w:tabs>
                <w:tab w:val="left" w:pos="285"/>
              </w:tabs>
              <w:spacing w:line="276" w:lineRule="auto"/>
              <w:ind w:left="0" w:firstLine="0"/>
              <w:jc w:val="both"/>
              <w:rPr>
                <w:sz w:val="22"/>
                <w:szCs w:val="22"/>
                <w:lang w:val="en-GB"/>
              </w:rPr>
            </w:pPr>
            <w:r w:rsidRPr="007C244E">
              <w:rPr>
                <w:i/>
                <w:iCs/>
                <w:sz w:val="22"/>
                <w:szCs w:val="22"/>
                <w:lang w:val="en-GB"/>
              </w:rPr>
              <w:t xml:space="preserve">Instructs </w:t>
            </w:r>
            <w:r w:rsidRPr="007C244E">
              <w:rPr>
                <w:sz w:val="22"/>
                <w:szCs w:val="22"/>
                <w:lang w:val="en-GB"/>
              </w:rPr>
              <w:t>the Secretariat, under the guidance of the Standing Committee and with support from the Technical Committee,  to consolidate all previously adopted MOP resolutions by subject area, including suggestions for repealing timebound decisions that extend beyond their respective deadlines and other decisions, as necessary and justified, to provide a streamlined basis for the Strategic Plan development process, and to submit the draft consolidated resolutions to MOP10 for consideration and adoption;</w:t>
            </w:r>
          </w:p>
        </w:tc>
      </w:tr>
      <w:tr w:rsidR="00492F40" w:rsidRPr="007C244E" w14:paraId="5809DF4E" w14:textId="77777777" w:rsidTr="00934043">
        <w:trPr>
          <w:trHeight w:val="300"/>
          <w:jc w:val="center"/>
        </w:trPr>
        <w:tc>
          <w:tcPr>
            <w:tcW w:w="5000" w:type="pct"/>
            <w:shd w:val="clear" w:color="auto" w:fill="D9F2D0" w:themeFill="accent6" w:themeFillTint="33"/>
          </w:tcPr>
          <w:p w14:paraId="36DD04B2" w14:textId="1B36794C" w:rsidR="00492F40" w:rsidRPr="007C244E" w:rsidRDefault="00492F40" w:rsidP="00341C72">
            <w:pPr>
              <w:pStyle w:val="ListParagraph"/>
              <w:numPr>
                <w:ilvl w:val="0"/>
                <w:numId w:val="14"/>
              </w:numPr>
              <w:tabs>
                <w:tab w:val="left" w:pos="346"/>
              </w:tabs>
              <w:spacing w:line="276" w:lineRule="auto"/>
              <w:ind w:left="0" w:firstLine="0"/>
              <w:jc w:val="both"/>
              <w:rPr>
                <w:sz w:val="22"/>
                <w:szCs w:val="22"/>
                <w:lang w:val="en-GB"/>
              </w:rPr>
            </w:pPr>
            <w:r w:rsidRPr="007C244E">
              <w:rPr>
                <w:rStyle w:val="cf01"/>
                <w:rFonts w:ascii="Times New Roman" w:hAnsi="Times New Roman" w:cs="Times New Roman"/>
                <w:i/>
                <w:iCs/>
                <w:sz w:val="22"/>
                <w:szCs w:val="22"/>
                <w:lang w:val="en-GB"/>
              </w:rPr>
              <w:t>Further instructs</w:t>
            </w:r>
            <w:r w:rsidRPr="007C244E">
              <w:rPr>
                <w:rStyle w:val="cf01"/>
                <w:rFonts w:ascii="Times New Roman" w:hAnsi="Times New Roman" w:cs="Times New Roman"/>
                <w:sz w:val="22"/>
                <w:szCs w:val="22"/>
                <w:lang w:val="en-GB"/>
              </w:rPr>
              <w:t xml:space="preserve"> the Secretariat, under the guidance of the Standing Committee, to compile a refined overview of its roles, responsibilities and tasks pursuant to Article VIII of the Agreement and based on the proposed optimisations of the AEWA Action Plan (as per Resolution 9.1), the draft consolidated resolutions and the draft Strategic Plan 2029-2037 for consideration by MOP10 which will focus the work of the Secretariat to facilitate the effective and efficient implementation of the Agreement and its Strategic Plan over the period 2029-2037 while taking into account the limited capacity and resources of the Secretariat;</w:t>
            </w:r>
          </w:p>
        </w:tc>
      </w:tr>
      <w:tr w:rsidR="00492F40" w:rsidRPr="007C244E" w14:paraId="446D9442" w14:textId="77777777" w:rsidTr="00934043">
        <w:trPr>
          <w:jc w:val="center"/>
        </w:trPr>
        <w:tc>
          <w:tcPr>
            <w:tcW w:w="5000" w:type="pct"/>
          </w:tcPr>
          <w:p w14:paraId="235952A4" w14:textId="2C853F5E" w:rsidR="00746916" w:rsidRPr="00641B0D" w:rsidRDefault="00746916" w:rsidP="00341C72">
            <w:pPr>
              <w:spacing w:line="276" w:lineRule="auto"/>
              <w:jc w:val="both"/>
              <w:rPr>
                <w:b/>
                <w:bCs/>
                <w:i/>
                <w:iCs/>
                <w:sz w:val="22"/>
                <w:szCs w:val="22"/>
                <w:lang w:val="en-GB"/>
              </w:rPr>
            </w:pPr>
            <w:r w:rsidRPr="00641B0D">
              <w:rPr>
                <w:b/>
                <w:bCs/>
                <w:i/>
                <w:iCs/>
                <w:sz w:val="22"/>
                <w:szCs w:val="22"/>
              </w:rPr>
              <w:t>Science-policy Interface</w:t>
            </w:r>
          </w:p>
          <w:p w14:paraId="5B96D4C6" w14:textId="5C548E7E" w:rsidR="00492F40" w:rsidRPr="00641B0D" w:rsidRDefault="00641B0D" w:rsidP="00341C72">
            <w:pPr>
              <w:pStyle w:val="ListParagraph"/>
              <w:numPr>
                <w:ilvl w:val="0"/>
                <w:numId w:val="15"/>
              </w:numPr>
              <w:tabs>
                <w:tab w:val="left" w:pos="346"/>
              </w:tabs>
              <w:spacing w:line="276" w:lineRule="auto"/>
              <w:ind w:left="0" w:firstLine="0"/>
              <w:jc w:val="both"/>
              <w:rPr>
                <w:rStyle w:val="cf01"/>
                <w:rFonts w:ascii="Times New Roman" w:hAnsi="Times New Roman" w:cs="Times New Roman"/>
                <w:sz w:val="22"/>
                <w:szCs w:val="22"/>
                <w:lang w:val="en-GB"/>
              </w:rPr>
            </w:pPr>
            <w:r>
              <w:rPr>
                <w:i/>
                <w:iCs/>
                <w:sz w:val="22"/>
                <w:szCs w:val="22"/>
                <w:lang w:val="en-GB"/>
              </w:rPr>
              <w:t xml:space="preserve"> </w:t>
            </w:r>
            <w:r w:rsidR="00746916">
              <w:rPr>
                <w:i/>
                <w:iCs/>
                <w:sz w:val="22"/>
                <w:szCs w:val="22"/>
                <w:lang w:val="en-GB"/>
              </w:rPr>
              <w:t>R</w:t>
            </w:r>
            <w:r w:rsidR="00740F6D" w:rsidRPr="007C244E">
              <w:rPr>
                <w:i/>
                <w:iCs/>
                <w:sz w:val="22"/>
                <w:szCs w:val="22"/>
                <w:lang w:val="en-GB"/>
              </w:rPr>
              <w:t>equests</w:t>
            </w:r>
            <w:r w:rsidR="00740F6D" w:rsidRPr="007C244E">
              <w:rPr>
                <w:sz w:val="22"/>
                <w:szCs w:val="22"/>
                <w:lang w:val="en-GB"/>
              </w:rPr>
              <w:t xml:space="preserve"> the Standing Committee and the Technical Committee, with the assistance of the Secretariat, subject to the availability of resources, and building on the work already undertaken to review AEWA’s workflow in the light of science-policy interface models under other Multilateral Environmental Agreements, to develop </w:t>
            </w:r>
            <w:r w:rsidR="00740F6D" w:rsidRPr="007C244E">
              <w:rPr>
                <w:sz w:val="22"/>
                <w:szCs w:val="22"/>
                <w:lang w:val="en-GB"/>
              </w:rPr>
              <w:lastRenderedPageBreak/>
              <w:t>and submit to MOP10 a proposal for improving the science-policy interface within AEWA’s processes taking into account the proposed optimisations of the AEWA Action Plan (as per Resolution 9.1) and the draft consolidated resolutions and the draft Strategic Plan 2029-2037;</w:t>
            </w:r>
          </w:p>
        </w:tc>
      </w:tr>
      <w:tr w:rsidR="00492F40" w:rsidRPr="007C244E" w14:paraId="263A57EB" w14:textId="77777777" w:rsidTr="00934043">
        <w:trPr>
          <w:jc w:val="center"/>
        </w:trPr>
        <w:tc>
          <w:tcPr>
            <w:tcW w:w="5000" w:type="pct"/>
          </w:tcPr>
          <w:p w14:paraId="3742D8A7" w14:textId="0AF2C8BA" w:rsidR="00C87997" w:rsidRPr="004249C2" w:rsidRDefault="004249C2" w:rsidP="00341C72">
            <w:pPr>
              <w:pStyle w:val="ListParagraph"/>
              <w:spacing w:line="276" w:lineRule="auto"/>
              <w:ind w:left="0"/>
              <w:jc w:val="both"/>
              <w:rPr>
                <w:b/>
                <w:bCs/>
                <w:i/>
                <w:iCs/>
                <w:sz w:val="22"/>
                <w:szCs w:val="22"/>
                <w:lang w:val="en-GB"/>
              </w:rPr>
            </w:pPr>
            <w:r w:rsidRPr="004249C2">
              <w:rPr>
                <w:b/>
                <w:bCs/>
                <w:i/>
                <w:iCs/>
                <w:sz w:val="22"/>
                <w:szCs w:val="22"/>
              </w:rPr>
              <w:lastRenderedPageBreak/>
              <w:t>AEWA Small Grants Fund</w:t>
            </w:r>
          </w:p>
          <w:p w14:paraId="0A602A10" w14:textId="6972E48A" w:rsidR="00492F40" w:rsidRPr="00641B0D" w:rsidRDefault="00641B0D" w:rsidP="00341C72">
            <w:pPr>
              <w:pStyle w:val="ListParagraph"/>
              <w:numPr>
                <w:ilvl w:val="0"/>
                <w:numId w:val="16"/>
              </w:numPr>
              <w:tabs>
                <w:tab w:val="left" w:pos="346"/>
              </w:tabs>
              <w:spacing w:line="276" w:lineRule="auto"/>
              <w:ind w:left="0" w:firstLine="0"/>
              <w:jc w:val="both"/>
              <w:rPr>
                <w:rStyle w:val="cf01"/>
                <w:rFonts w:ascii="Times New Roman" w:hAnsi="Times New Roman" w:cs="Times New Roman"/>
                <w:sz w:val="22"/>
                <w:szCs w:val="22"/>
                <w:lang w:val="en-GB"/>
              </w:rPr>
            </w:pPr>
            <w:r>
              <w:rPr>
                <w:i/>
                <w:iCs/>
                <w:sz w:val="22"/>
                <w:szCs w:val="22"/>
                <w:lang w:val="en-GB"/>
              </w:rPr>
              <w:t xml:space="preserve"> </w:t>
            </w:r>
            <w:r w:rsidR="00C87997" w:rsidRPr="007C244E">
              <w:rPr>
                <w:i/>
                <w:iCs/>
                <w:sz w:val="22"/>
                <w:szCs w:val="22"/>
                <w:lang w:val="en-GB"/>
              </w:rPr>
              <w:t>Instructs</w:t>
            </w:r>
            <w:r w:rsidR="00C87997" w:rsidRPr="007C244E">
              <w:rPr>
                <w:sz w:val="22"/>
                <w:szCs w:val="22"/>
                <w:lang w:val="en-GB"/>
              </w:rPr>
              <w:t xml:space="preserve"> the Standing Committee to develop, in consultation with the Secretariat and the Technical Committee, and subject to availability of capacity and resources, a modified or alternative/supplementary mechanism for funding AEWA relevant projects for eligible Parties, building on the conclusions in document AEWA/MOP9 Inf.7 and employing efficient and effective operational modality for consideration and adoption at MOP10 while taking into account the limitations and restricted capacity of the Secretariat to operate such a funding mechanism;</w:t>
            </w:r>
          </w:p>
        </w:tc>
      </w:tr>
      <w:tr w:rsidR="00492F40" w:rsidRPr="007C244E" w14:paraId="4E36BAEC" w14:textId="77777777" w:rsidTr="00934043">
        <w:trPr>
          <w:jc w:val="center"/>
        </w:trPr>
        <w:tc>
          <w:tcPr>
            <w:tcW w:w="5000" w:type="pct"/>
          </w:tcPr>
          <w:p w14:paraId="0DBD4DFF" w14:textId="3E0BAC7A" w:rsidR="00C87997" w:rsidRPr="007C244E" w:rsidRDefault="005A402F" w:rsidP="00341C72">
            <w:pPr>
              <w:widowControl w:val="0"/>
              <w:autoSpaceDE w:val="0"/>
              <w:spacing w:line="276" w:lineRule="auto"/>
              <w:jc w:val="both"/>
              <w:rPr>
                <w:b/>
                <w:bCs/>
                <w:i/>
                <w:iCs/>
                <w:sz w:val="22"/>
                <w:szCs w:val="22"/>
                <w:lang w:val="en-GB"/>
              </w:rPr>
            </w:pPr>
            <w:r w:rsidRPr="005A402F">
              <w:rPr>
                <w:b/>
                <w:bCs/>
                <w:i/>
                <w:iCs/>
                <w:sz w:val="22"/>
                <w:szCs w:val="22"/>
              </w:rPr>
              <w:t>AEWA Implementation Review Process (IRP)</w:t>
            </w:r>
          </w:p>
          <w:p w14:paraId="1AE13EE6" w14:textId="496928E0" w:rsidR="00492F40" w:rsidRPr="00641B0D" w:rsidRDefault="00641B0D" w:rsidP="00341C72">
            <w:pPr>
              <w:pStyle w:val="ListParagraph"/>
              <w:numPr>
                <w:ilvl w:val="0"/>
                <w:numId w:val="16"/>
              </w:numPr>
              <w:tabs>
                <w:tab w:val="left" w:pos="346"/>
              </w:tabs>
              <w:spacing w:line="276" w:lineRule="auto"/>
              <w:ind w:left="0" w:firstLine="0"/>
              <w:contextualSpacing w:val="0"/>
              <w:jc w:val="both"/>
              <w:rPr>
                <w:rStyle w:val="cf01"/>
                <w:rFonts w:ascii="Times New Roman" w:hAnsi="Times New Roman" w:cs="Times New Roman"/>
                <w:sz w:val="22"/>
                <w:szCs w:val="22"/>
                <w:lang w:val="en-GB"/>
              </w:rPr>
            </w:pPr>
            <w:r>
              <w:rPr>
                <w:i/>
                <w:iCs/>
                <w:sz w:val="22"/>
                <w:szCs w:val="22"/>
                <w:lang w:val="en-GB"/>
              </w:rPr>
              <w:t xml:space="preserve"> </w:t>
            </w:r>
            <w:r w:rsidR="00C87997" w:rsidRPr="007C244E">
              <w:rPr>
                <w:i/>
                <w:iCs/>
                <w:sz w:val="22"/>
                <w:szCs w:val="22"/>
                <w:lang w:val="en-GB"/>
              </w:rPr>
              <w:t xml:space="preserve">Instructs </w:t>
            </w:r>
            <w:r w:rsidR="00C87997" w:rsidRPr="007C244E">
              <w:rPr>
                <w:sz w:val="22"/>
                <w:szCs w:val="22"/>
                <w:lang w:val="en-GB"/>
              </w:rPr>
              <w:t xml:space="preserve">the Standing Committee, with support from the Secretariat and input from the Technical Committee, and subject to available capacity and resources, to develop in consultation with the Parties a comprehensive </w:t>
            </w:r>
            <w:r w:rsidR="00C87997" w:rsidRPr="007C244E">
              <w:rPr>
                <w:i/>
                <w:iCs/>
                <w:sz w:val="22"/>
                <w:szCs w:val="22"/>
                <w:lang w:val="en-GB"/>
              </w:rPr>
              <w:t>modus operandi</w:t>
            </w:r>
            <w:r w:rsidR="00C87997" w:rsidRPr="007C244E">
              <w:rPr>
                <w:sz w:val="22"/>
                <w:szCs w:val="22"/>
                <w:lang w:val="en-GB"/>
              </w:rPr>
              <w:t xml:space="preserve"> for the IRP and a proposal for a broader </w:t>
            </w:r>
            <w:r w:rsidR="00C87997" w:rsidRPr="007C244E">
              <w:rPr>
                <w:color w:val="000000" w:themeColor="text1"/>
                <w:sz w:val="22"/>
                <w:szCs w:val="22"/>
                <w:lang w:val="en-GB"/>
              </w:rPr>
              <w:t xml:space="preserve">framework </w:t>
            </w:r>
            <w:bookmarkStart w:id="1" w:name="_Hlk213955831"/>
            <w:r w:rsidR="00C87997" w:rsidRPr="007C244E">
              <w:rPr>
                <w:color w:val="000000" w:themeColor="text1"/>
                <w:sz w:val="22"/>
                <w:szCs w:val="22"/>
                <w:lang w:val="en-GB"/>
              </w:rPr>
              <w:t xml:space="preserve">that will support </w:t>
            </w:r>
            <w:bookmarkEnd w:id="1"/>
            <w:r w:rsidR="00C87997" w:rsidRPr="007C244E">
              <w:rPr>
                <w:sz w:val="22"/>
                <w:szCs w:val="22"/>
                <w:lang w:val="en-GB"/>
              </w:rPr>
              <w:t>Parties in complying with AEWA while taking into account the current capacity limitations of the Secretariat, to be submitted for consideration and adoption at MOP10.</w:t>
            </w:r>
          </w:p>
        </w:tc>
      </w:tr>
      <w:tr w:rsidR="00492F40" w:rsidRPr="007C244E" w14:paraId="147E4B86" w14:textId="77777777" w:rsidTr="00934043">
        <w:trPr>
          <w:jc w:val="center"/>
        </w:trPr>
        <w:tc>
          <w:tcPr>
            <w:tcW w:w="5000" w:type="pct"/>
          </w:tcPr>
          <w:p w14:paraId="38BF0DB9" w14:textId="7107BFB3" w:rsidR="00492F40" w:rsidRPr="00641B0D" w:rsidRDefault="00513D98" w:rsidP="00341C72">
            <w:pPr>
              <w:pStyle w:val="ListParagraph"/>
              <w:numPr>
                <w:ilvl w:val="0"/>
                <w:numId w:val="17"/>
              </w:numPr>
              <w:tabs>
                <w:tab w:val="left" w:pos="390"/>
              </w:tabs>
              <w:spacing w:line="276" w:lineRule="auto"/>
              <w:ind w:left="0" w:firstLine="0"/>
              <w:contextualSpacing w:val="0"/>
              <w:jc w:val="both"/>
              <w:rPr>
                <w:rStyle w:val="cf01"/>
                <w:rFonts w:ascii="Times New Roman" w:hAnsi="Times New Roman" w:cs="Times New Roman"/>
                <w:sz w:val="22"/>
                <w:szCs w:val="22"/>
                <w:lang w:val="en-GB"/>
              </w:rPr>
            </w:pPr>
            <w:r w:rsidRPr="007C244E">
              <w:rPr>
                <w:i/>
                <w:iCs/>
                <w:sz w:val="22"/>
                <w:szCs w:val="22"/>
                <w:lang w:val="en-GB"/>
              </w:rPr>
              <w:t>Instructs</w:t>
            </w:r>
            <w:r w:rsidRPr="007C244E">
              <w:rPr>
                <w:sz w:val="22"/>
                <w:szCs w:val="22"/>
                <w:lang w:val="en-GB"/>
              </w:rPr>
              <w:t xml:space="preserve"> the Standing Committee to ensure that relevant processes and experiences under other MEAs are duly considered, including the Case-file system under the Convention on the Conservation of European Wildlife and Natural Habitats and the Ramsar Advisory Missions under the Convention on Wetlands, and where appropriate ensure processes are complementary and reduce reporting burden on the part of Contracting Parties when a similar case is raised across multiple MEAs.</w:t>
            </w:r>
          </w:p>
        </w:tc>
      </w:tr>
      <w:tr w:rsidR="00DC6ADC" w:rsidRPr="007C244E" w14:paraId="35547DDD" w14:textId="77777777" w:rsidTr="00934043">
        <w:trPr>
          <w:trHeight w:val="300"/>
          <w:jc w:val="center"/>
        </w:trPr>
        <w:tc>
          <w:tcPr>
            <w:tcW w:w="5000" w:type="pct"/>
            <w:shd w:val="clear" w:color="auto" w:fill="F6C5AC" w:themeFill="accent2" w:themeFillTint="66"/>
          </w:tcPr>
          <w:p w14:paraId="5136908E" w14:textId="10D6D7C4" w:rsidR="00DC6ADC" w:rsidRPr="007C244E" w:rsidRDefault="001D5531" w:rsidP="00341C72">
            <w:pPr>
              <w:pStyle w:val="ListParagraph"/>
              <w:spacing w:line="276" w:lineRule="auto"/>
              <w:ind w:left="0"/>
              <w:jc w:val="both"/>
              <w:rPr>
                <w:rStyle w:val="cf01"/>
                <w:rFonts w:ascii="Times New Roman" w:hAnsi="Times New Roman" w:cs="Times New Roman"/>
                <w:sz w:val="22"/>
                <w:szCs w:val="22"/>
                <w:lang w:val="en-GB"/>
              </w:rPr>
            </w:pPr>
            <w:r w:rsidRPr="007C244E">
              <w:rPr>
                <w:b/>
                <w:bCs/>
                <w:sz w:val="22"/>
                <w:szCs w:val="22"/>
                <w:lang w:val="en-GB"/>
              </w:rPr>
              <w:t xml:space="preserve">Resolution 9.3: </w:t>
            </w:r>
            <w:r w:rsidRPr="007C244E">
              <w:rPr>
                <w:b/>
                <w:bCs/>
                <w:sz w:val="22"/>
                <w:szCs w:val="22"/>
              </w:rPr>
              <w:t>ADOPTION, RETIREMENT, REVISION, UPDATE, EXTENSION AND IMPLEMENTATION OF INTERNATIONAL SPECIES ACTION AND MANAGEMENT PLANS</w:t>
            </w:r>
          </w:p>
        </w:tc>
      </w:tr>
      <w:tr w:rsidR="00492F40" w:rsidRPr="007C244E" w14:paraId="0EDBE66B" w14:textId="77777777" w:rsidTr="00934043">
        <w:trPr>
          <w:jc w:val="center"/>
        </w:trPr>
        <w:tc>
          <w:tcPr>
            <w:tcW w:w="5000" w:type="pct"/>
            <w:tcBorders>
              <w:bottom w:val="single" w:sz="4" w:space="0" w:color="auto"/>
            </w:tcBorders>
          </w:tcPr>
          <w:p w14:paraId="202A3910" w14:textId="20883FA9" w:rsidR="00492F40" w:rsidRPr="007C244E" w:rsidRDefault="00DC6ADC" w:rsidP="00341C72">
            <w:pPr>
              <w:pStyle w:val="ListParagraph"/>
              <w:spacing w:line="276" w:lineRule="auto"/>
              <w:ind w:left="0"/>
              <w:jc w:val="both"/>
              <w:rPr>
                <w:rStyle w:val="cf01"/>
                <w:rFonts w:ascii="Times New Roman" w:hAnsi="Times New Roman" w:cs="Times New Roman"/>
                <w:sz w:val="22"/>
                <w:szCs w:val="22"/>
                <w:lang w:val="en-GB"/>
              </w:rPr>
            </w:pPr>
            <w:r w:rsidRPr="007C244E">
              <w:rPr>
                <w:sz w:val="22"/>
                <w:szCs w:val="22"/>
              </w:rPr>
              <w:t xml:space="preserve">15. </w:t>
            </w:r>
            <w:r w:rsidRPr="000A1C5E">
              <w:rPr>
                <w:i/>
                <w:iCs/>
                <w:sz w:val="22"/>
                <w:szCs w:val="22"/>
              </w:rPr>
              <w:t>Instructs</w:t>
            </w:r>
            <w:r w:rsidRPr="007C244E">
              <w:rPr>
                <w:sz w:val="22"/>
                <w:szCs w:val="22"/>
              </w:rPr>
              <w:t xml:space="preserve"> the Standing Committee, after receiving positive recommendations from the Technical Committee, to consider approving the conclusions of Evaluation Reports for International Species Action and Management Plans intersessionally where this is necessary to enable the processes to update or revise these Plans to commence before the next Meeting of the Parties;</w:t>
            </w:r>
          </w:p>
        </w:tc>
      </w:tr>
      <w:tr w:rsidR="00244C2A" w:rsidRPr="007C244E" w14:paraId="7AEC6443" w14:textId="77777777" w:rsidTr="00934043">
        <w:trPr>
          <w:trHeight w:val="300"/>
          <w:jc w:val="center"/>
        </w:trPr>
        <w:tc>
          <w:tcPr>
            <w:tcW w:w="5000" w:type="pct"/>
            <w:shd w:val="clear" w:color="auto" w:fill="F6C5AC" w:themeFill="accent2" w:themeFillTint="66"/>
          </w:tcPr>
          <w:p w14:paraId="2FC385AF" w14:textId="6B556A1D" w:rsidR="00244C2A" w:rsidRPr="007C244E" w:rsidRDefault="00244C2A" w:rsidP="00341C72">
            <w:pPr>
              <w:pStyle w:val="ListParagraph"/>
              <w:spacing w:line="276" w:lineRule="auto"/>
              <w:ind w:left="0"/>
              <w:jc w:val="both"/>
              <w:rPr>
                <w:b/>
                <w:bCs/>
                <w:sz w:val="22"/>
                <w:szCs w:val="22"/>
              </w:rPr>
            </w:pPr>
            <w:r w:rsidRPr="007C244E">
              <w:rPr>
                <w:b/>
                <w:bCs/>
                <w:sz w:val="22"/>
                <w:szCs w:val="22"/>
              </w:rPr>
              <w:t>R</w:t>
            </w:r>
            <w:r w:rsidR="00EF4FD6">
              <w:rPr>
                <w:b/>
                <w:bCs/>
                <w:sz w:val="22"/>
                <w:szCs w:val="22"/>
              </w:rPr>
              <w:t>ESOLUTION</w:t>
            </w:r>
            <w:r w:rsidRPr="007C244E">
              <w:rPr>
                <w:b/>
                <w:bCs/>
                <w:sz w:val="22"/>
                <w:szCs w:val="22"/>
              </w:rPr>
              <w:t xml:space="preserve"> 9.6: COMMUNICATION, EDUCATION AND PUBLIC AWARENESS (CEPA)</w:t>
            </w:r>
          </w:p>
        </w:tc>
      </w:tr>
      <w:tr w:rsidR="00244C2A" w:rsidRPr="007C244E" w14:paraId="20036144" w14:textId="77777777" w:rsidTr="00934043">
        <w:trPr>
          <w:jc w:val="center"/>
        </w:trPr>
        <w:tc>
          <w:tcPr>
            <w:tcW w:w="5000" w:type="pct"/>
          </w:tcPr>
          <w:p w14:paraId="001AD253" w14:textId="578103A1" w:rsidR="00244C2A" w:rsidRPr="007C244E" w:rsidRDefault="000B3252" w:rsidP="00341C72">
            <w:pPr>
              <w:pStyle w:val="ListParagraph"/>
              <w:spacing w:line="276" w:lineRule="auto"/>
              <w:ind w:left="0"/>
              <w:jc w:val="both"/>
              <w:rPr>
                <w:sz w:val="22"/>
                <w:szCs w:val="22"/>
              </w:rPr>
            </w:pPr>
            <w:r w:rsidRPr="007C244E">
              <w:rPr>
                <w:sz w:val="22"/>
                <w:szCs w:val="22"/>
              </w:rPr>
              <w:t xml:space="preserve">1. </w:t>
            </w:r>
            <w:r w:rsidRPr="00DB3FCA">
              <w:rPr>
                <w:i/>
                <w:iCs/>
                <w:sz w:val="22"/>
                <w:szCs w:val="22"/>
              </w:rPr>
              <w:t xml:space="preserve">Requests </w:t>
            </w:r>
            <w:r w:rsidRPr="007C244E">
              <w:rPr>
                <w:sz w:val="22"/>
                <w:szCs w:val="22"/>
              </w:rPr>
              <w:t>the Secretariat, in consultation with the Standing Committee and the Technical Committee, and subject to the availability of capacity and resources, to develop a CEPA Approach in line with Article III, paragraph 2 and Article VIII, paragraphs (c, d, e and j), which will support AEWA implementation and aid Contracting Parties, the Secretariat, non-governmental organizations, community‐based organizations, and other stakeholders to develop and carry out CEPA activities that encourage people to take action for the conservation of migratory waterbirds and their habitats across the African-Eurasian Flyways</w:t>
            </w:r>
          </w:p>
        </w:tc>
      </w:tr>
      <w:tr w:rsidR="00E725D2" w:rsidRPr="007C244E" w14:paraId="2435D2A9" w14:textId="77777777" w:rsidTr="00934043">
        <w:trPr>
          <w:jc w:val="center"/>
        </w:trPr>
        <w:tc>
          <w:tcPr>
            <w:tcW w:w="5000" w:type="pct"/>
          </w:tcPr>
          <w:p w14:paraId="69ACC606" w14:textId="050F0850" w:rsidR="00E725D2" w:rsidRPr="007C244E" w:rsidRDefault="00E725D2" w:rsidP="00341C72">
            <w:pPr>
              <w:pStyle w:val="ListParagraph"/>
              <w:spacing w:line="276" w:lineRule="auto"/>
              <w:ind w:left="0"/>
              <w:jc w:val="both"/>
              <w:rPr>
                <w:sz w:val="22"/>
                <w:szCs w:val="22"/>
              </w:rPr>
            </w:pPr>
            <w:r w:rsidRPr="00E725D2">
              <w:rPr>
                <w:sz w:val="22"/>
                <w:szCs w:val="22"/>
              </w:rPr>
              <w:t xml:space="preserve">2. </w:t>
            </w:r>
            <w:r w:rsidRPr="00DB3FCA">
              <w:rPr>
                <w:i/>
                <w:iCs/>
                <w:sz w:val="22"/>
                <w:szCs w:val="22"/>
              </w:rPr>
              <w:t>Instructs</w:t>
            </w:r>
            <w:r w:rsidRPr="00E725D2">
              <w:rPr>
                <w:sz w:val="22"/>
                <w:szCs w:val="22"/>
              </w:rPr>
              <w:t xml:space="preserve"> the Standing Committee, working with the Technical Committee and Secretariat, to produce a CEPA work plan alongside the draft Strategic Plan (2029-2037); the CEPA work plan should be a key part of putting the Strategic Plan into action and helping to achieve its goals;</w:t>
            </w:r>
          </w:p>
        </w:tc>
      </w:tr>
      <w:tr w:rsidR="00497D3F" w:rsidRPr="007C244E" w14:paraId="2DDBE55A" w14:textId="77777777" w:rsidTr="00934043">
        <w:trPr>
          <w:trHeight w:val="300"/>
          <w:jc w:val="center"/>
        </w:trPr>
        <w:tc>
          <w:tcPr>
            <w:tcW w:w="5000" w:type="pct"/>
            <w:shd w:val="clear" w:color="auto" w:fill="F6C5AC" w:themeFill="accent2" w:themeFillTint="66"/>
          </w:tcPr>
          <w:p w14:paraId="5B2ECF84" w14:textId="3CE8BAF5" w:rsidR="00497D3F" w:rsidRPr="00D4496E" w:rsidRDefault="00D4496E" w:rsidP="00341C72">
            <w:pPr>
              <w:pStyle w:val="ListParagraph"/>
              <w:spacing w:line="276" w:lineRule="auto"/>
              <w:ind w:left="0"/>
              <w:jc w:val="both"/>
              <w:rPr>
                <w:b/>
                <w:sz w:val="22"/>
                <w:szCs w:val="22"/>
                <w:lang/>
              </w:rPr>
            </w:pPr>
            <w:r w:rsidRPr="00D4496E">
              <w:rPr>
                <w:b/>
                <w:sz w:val="22"/>
                <w:szCs w:val="22"/>
                <w:lang/>
              </w:rPr>
              <w:t>RESOLUTION 9.9: FINANCIAL AND ADMINISTRATIVE MATTERS</w:t>
            </w:r>
          </w:p>
        </w:tc>
      </w:tr>
      <w:tr w:rsidR="00D4496E" w:rsidRPr="007C244E" w14:paraId="27F92A65" w14:textId="77777777" w:rsidTr="00934043">
        <w:trPr>
          <w:trHeight w:val="300"/>
          <w:jc w:val="center"/>
        </w:trPr>
        <w:tc>
          <w:tcPr>
            <w:tcW w:w="5000" w:type="pct"/>
            <w:shd w:val="clear" w:color="auto" w:fill="D9F2D0" w:themeFill="accent6" w:themeFillTint="33"/>
          </w:tcPr>
          <w:p w14:paraId="60E76421" w14:textId="66495D0B" w:rsidR="00D4496E" w:rsidRPr="00AD4B82" w:rsidRDefault="00AD4B82" w:rsidP="00341C72">
            <w:pPr>
              <w:pStyle w:val="ListParagraph"/>
              <w:spacing w:line="276" w:lineRule="auto"/>
              <w:ind w:left="0"/>
              <w:jc w:val="both"/>
              <w:rPr>
                <w:bCs/>
                <w:sz w:val="22"/>
                <w:szCs w:val="22"/>
                <w:lang/>
              </w:rPr>
            </w:pPr>
            <w:r w:rsidRPr="00AD4B82">
              <w:rPr>
                <w:bCs/>
                <w:sz w:val="22"/>
                <w:szCs w:val="22"/>
              </w:rPr>
              <w:t xml:space="preserve">5. </w:t>
            </w:r>
            <w:r w:rsidRPr="00DB3FCA">
              <w:rPr>
                <w:bCs/>
                <w:i/>
                <w:iCs/>
                <w:sz w:val="22"/>
                <w:szCs w:val="22"/>
              </w:rPr>
              <w:t>Requests</w:t>
            </w:r>
            <w:r w:rsidRPr="00AD4B82">
              <w:rPr>
                <w:bCs/>
                <w:sz w:val="22"/>
                <w:szCs w:val="22"/>
              </w:rPr>
              <w:t xml:space="preserve"> the Standing Committee to review and endorse the Programme of Work of the Secretariat for the period 2026-2028, taking account of the resources agreed by Parties;</w:t>
            </w:r>
          </w:p>
        </w:tc>
      </w:tr>
      <w:tr w:rsidR="00D4496E" w:rsidRPr="007C244E" w14:paraId="3BACA755" w14:textId="77777777" w:rsidTr="00934043">
        <w:trPr>
          <w:trHeight w:val="300"/>
          <w:jc w:val="center"/>
        </w:trPr>
        <w:tc>
          <w:tcPr>
            <w:tcW w:w="5000" w:type="pct"/>
            <w:shd w:val="clear" w:color="auto" w:fill="D9F2D0" w:themeFill="accent6" w:themeFillTint="33"/>
          </w:tcPr>
          <w:p w14:paraId="44E260E9" w14:textId="49134C81" w:rsidR="00D4496E" w:rsidRPr="00AD4B82" w:rsidRDefault="0017317E" w:rsidP="00341C72">
            <w:pPr>
              <w:pStyle w:val="ListParagraph"/>
              <w:spacing w:line="276" w:lineRule="auto"/>
              <w:ind w:left="0"/>
              <w:jc w:val="both"/>
              <w:rPr>
                <w:bCs/>
                <w:sz w:val="22"/>
                <w:szCs w:val="22"/>
                <w:lang/>
              </w:rPr>
            </w:pPr>
            <w:r w:rsidRPr="0017317E">
              <w:rPr>
                <w:bCs/>
                <w:sz w:val="22"/>
                <w:szCs w:val="22"/>
              </w:rPr>
              <w:t xml:space="preserve">29. </w:t>
            </w:r>
            <w:r w:rsidRPr="00DB3FCA">
              <w:rPr>
                <w:bCs/>
                <w:i/>
                <w:iCs/>
                <w:sz w:val="22"/>
                <w:szCs w:val="22"/>
              </w:rPr>
              <w:t>Instructs</w:t>
            </w:r>
            <w:r w:rsidRPr="0017317E">
              <w:rPr>
                <w:bCs/>
                <w:sz w:val="22"/>
                <w:szCs w:val="22"/>
              </w:rPr>
              <w:t xml:space="preserve"> the Standing Committee to examine the implications of the UN Staff Mobility Policy for the Secretariat and the Agreement and to submit a report and recommendations to MOP10;</w:t>
            </w:r>
          </w:p>
        </w:tc>
      </w:tr>
      <w:tr w:rsidR="005830FB" w:rsidRPr="007C244E" w14:paraId="0EF70F1B" w14:textId="77777777" w:rsidTr="00934043">
        <w:trPr>
          <w:trHeight w:val="300"/>
          <w:jc w:val="center"/>
        </w:trPr>
        <w:tc>
          <w:tcPr>
            <w:tcW w:w="5000" w:type="pct"/>
            <w:shd w:val="clear" w:color="auto" w:fill="D9F2D0" w:themeFill="accent6" w:themeFillTint="33"/>
          </w:tcPr>
          <w:p w14:paraId="68A4A266" w14:textId="4E128F18" w:rsidR="005830FB" w:rsidRPr="0017317E" w:rsidRDefault="005830FB" w:rsidP="00341C72">
            <w:pPr>
              <w:pStyle w:val="ListParagraph"/>
              <w:spacing w:line="276" w:lineRule="auto"/>
              <w:ind w:left="0"/>
              <w:jc w:val="both"/>
              <w:rPr>
                <w:bCs/>
                <w:sz w:val="22"/>
                <w:szCs w:val="22"/>
              </w:rPr>
            </w:pPr>
            <w:r w:rsidRPr="005830FB">
              <w:rPr>
                <w:bCs/>
                <w:sz w:val="22"/>
                <w:szCs w:val="22"/>
              </w:rPr>
              <w:t>30.</w:t>
            </w:r>
            <w:r w:rsidRPr="00DB3FCA">
              <w:rPr>
                <w:bCs/>
                <w:i/>
                <w:iCs/>
                <w:sz w:val="22"/>
                <w:szCs w:val="22"/>
              </w:rPr>
              <w:t xml:space="preserve"> Instructs </w:t>
            </w:r>
            <w:r w:rsidRPr="005830FB">
              <w:rPr>
                <w:bCs/>
                <w:sz w:val="22"/>
                <w:szCs w:val="22"/>
              </w:rPr>
              <w:t>the Secretariat, under the guidance of the Standing Committee and, as far as possible, in cooperation with the Secretariat of the Convention on Migratory Species, to develop an AEWA partnership policy with associated procedures which are tailored to the Agreement’s activities and processes</w:t>
            </w:r>
          </w:p>
        </w:tc>
      </w:tr>
      <w:tr w:rsidR="005830FB" w:rsidRPr="007C244E" w14:paraId="5B73C346" w14:textId="77777777" w:rsidTr="00934043">
        <w:trPr>
          <w:trHeight w:val="300"/>
          <w:jc w:val="center"/>
        </w:trPr>
        <w:tc>
          <w:tcPr>
            <w:tcW w:w="5000" w:type="pct"/>
            <w:tcBorders>
              <w:bottom w:val="single" w:sz="4" w:space="0" w:color="auto"/>
            </w:tcBorders>
            <w:shd w:val="clear" w:color="auto" w:fill="D9F2D0" w:themeFill="accent6" w:themeFillTint="33"/>
          </w:tcPr>
          <w:p w14:paraId="09855753" w14:textId="240B9D04" w:rsidR="005830FB" w:rsidRPr="0017317E" w:rsidRDefault="00154ECB" w:rsidP="00341C72">
            <w:pPr>
              <w:pStyle w:val="ListParagraph"/>
              <w:spacing w:line="276" w:lineRule="auto"/>
              <w:ind w:left="0"/>
              <w:jc w:val="both"/>
              <w:rPr>
                <w:bCs/>
                <w:sz w:val="22"/>
                <w:szCs w:val="22"/>
              </w:rPr>
            </w:pPr>
            <w:r w:rsidRPr="00154ECB">
              <w:rPr>
                <w:bCs/>
                <w:sz w:val="22"/>
                <w:szCs w:val="22"/>
              </w:rPr>
              <w:t xml:space="preserve">31. </w:t>
            </w:r>
            <w:r w:rsidRPr="00DB3FCA">
              <w:rPr>
                <w:bCs/>
                <w:i/>
                <w:iCs/>
                <w:sz w:val="22"/>
                <w:szCs w:val="22"/>
              </w:rPr>
              <w:t>Authorises</w:t>
            </w:r>
            <w:r w:rsidRPr="00154ECB">
              <w:rPr>
                <w:bCs/>
                <w:sz w:val="22"/>
                <w:szCs w:val="22"/>
              </w:rPr>
              <w:t xml:space="preserve"> the Standing Committee to approve for implementation the AEWA partnership policy and associated procedures on behalf of the Meeting of Parties prior to MOP10.</w:t>
            </w:r>
          </w:p>
        </w:tc>
      </w:tr>
      <w:tr w:rsidR="008903DD" w:rsidRPr="007C244E" w14:paraId="33D0FEDE" w14:textId="77777777" w:rsidTr="00934043">
        <w:trPr>
          <w:trHeight w:val="300"/>
          <w:jc w:val="center"/>
        </w:trPr>
        <w:tc>
          <w:tcPr>
            <w:tcW w:w="5000" w:type="pct"/>
            <w:tcBorders>
              <w:bottom w:val="single" w:sz="4" w:space="0" w:color="auto"/>
            </w:tcBorders>
            <w:shd w:val="clear" w:color="auto" w:fill="F6C5AC" w:themeFill="accent2" w:themeFillTint="66"/>
          </w:tcPr>
          <w:p w14:paraId="1733A86C" w14:textId="5D6B9868" w:rsidR="008903DD" w:rsidRPr="008903DD" w:rsidRDefault="008903DD" w:rsidP="00341C72">
            <w:pPr>
              <w:pStyle w:val="ListParagraph"/>
              <w:spacing w:line="276" w:lineRule="auto"/>
              <w:ind w:left="0"/>
              <w:jc w:val="both"/>
              <w:rPr>
                <w:b/>
                <w:sz w:val="22"/>
                <w:szCs w:val="22"/>
                <w:lang/>
              </w:rPr>
            </w:pPr>
            <w:r w:rsidRPr="008903DD">
              <w:rPr>
                <w:b/>
                <w:sz w:val="22"/>
                <w:szCs w:val="22"/>
                <w:lang/>
              </w:rPr>
              <w:lastRenderedPageBreak/>
              <w:t>RESOLUTION 9.10: DATE, VENUE AND FUNDING OF THE 10th SESSION OF THE MEETING OF THE PARTIES TO AEWA</w:t>
            </w:r>
          </w:p>
        </w:tc>
      </w:tr>
      <w:tr w:rsidR="008903DD" w:rsidRPr="007C244E" w14:paraId="340A5EF2" w14:textId="77777777" w:rsidTr="00934043">
        <w:trPr>
          <w:trHeight w:val="300"/>
          <w:jc w:val="center"/>
        </w:trPr>
        <w:tc>
          <w:tcPr>
            <w:tcW w:w="5000" w:type="pct"/>
            <w:shd w:val="clear" w:color="auto" w:fill="D9F2D0" w:themeFill="accent6" w:themeFillTint="33"/>
          </w:tcPr>
          <w:p w14:paraId="6981CFB6" w14:textId="089658AB" w:rsidR="008903DD" w:rsidRPr="00F00D58" w:rsidRDefault="00F96C09" w:rsidP="00341C72">
            <w:pPr>
              <w:pStyle w:val="ListParagraph"/>
              <w:spacing w:line="276" w:lineRule="auto"/>
              <w:ind w:left="0"/>
              <w:jc w:val="both"/>
              <w:rPr>
                <w:bCs/>
                <w:sz w:val="22"/>
                <w:szCs w:val="22"/>
              </w:rPr>
            </w:pPr>
            <w:r w:rsidRPr="00D136C6">
              <w:rPr>
                <w:bCs/>
                <w:sz w:val="22"/>
                <w:szCs w:val="22"/>
              </w:rPr>
              <w:t xml:space="preserve">2. </w:t>
            </w:r>
            <w:r w:rsidRPr="00DB3FCA">
              <w:rPr>
                <w:bCs/>
                <w:i/>
                <w:iCs/>
                <w:sz w:val="22"/>
                <w:szCs w:val="22"/>
              </w:rPr>
              <w:t>Requests</w:t>
            </w:r>
            <w:r w:rsidRPr="00D136C6">
              <w:rPr>
                <w:bCs/>
                <w:sz w:val="22"/>
                <w:szCs w:val="22"/>
              </w:rPr>
              <w:t xml:space="preserve"> the Standing Committee to decide on behalf of the Meeting of the Parties, the venue of the 10</w:t>
            </w:r>
            <w:r w:rsidRPr="00F00D58">
              <w:rPr>
                <w:bCs/>
                <w:sz w:val="22"/>
                <w:szCs w:val="22"/>
                <w:vertAlign w:val="superscript"/>
              </w:rPr>
              <w:t>th</w:t>
            </w:r>
            <w:r w:rsidRPr="00D136C6">
              <w:rPr>
                <w:bCs/>
                <w:sz w:val="22"/>
                <w:szCs w:val="22"/>
              </w:rPr>
              <w:t xml:space="preserve"> Session of the Meeting of the Parties, taking into account the expressions of interest received from Parties;</w:t>
            </w:r>
          </w:p>
        </w:tc>
      </w:tr>
    </w:tbl>
    <w:p w14:paraId="60C45C7B" w14:textId="77777777" w:rsidR="00D17E60" w:rsidRPr="007C244E" w:rsidRDefault="00D17E60" w:rsidP="00192042">
      <w:pPr>
        <w:jc w:val="both"/>
        <w:rPr>
          <w:sz w:val="22"/>
          <w:szCs w:val="22"/>
        </w:rPr>
      </w:pPr>
    </w:p>
    <w:sectPr w:rsidR="00D17E60" w:rsidRPr="007C244E" w:rsidSect="00341C72">
      <w:headerReference w:type="default" r:id="rId14"/>
      <w:pgSz w:w="11907" w:h="16840" w:code="9"/>
      <w:pgMar w:top="1440" w:right="85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3027" w14:textId="77777777" w:rsidR="009C21A4" w:rsidRDefault="009C21A4">
      <w:r>
        <w:separator/>
      </w:r>
    </w:p>
  </w:endnote>
  <w:endnote w:type="continuationSeparator" w:id="0">
    <w:p w14:paraId="49D95210" w14:textId="77777777" w:rsidR="009C21A4" w:rsidRDefault="009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D8EF" w14:textId="77777777" w:rsidR="004C6422" w:rsidRDefault="004C6422" w:rsidP="000367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A6B">
      <w:rPr>
        <w:rStyle w:val="PageNumber"/>
        <w:noProof/>
      </w:rPr>
      <w:t>1</w:t>
    </w:r>
    <w:r>
      <w:rPr>
        <w:rStyle w:val="PageNumber"/>
      </w:rPr>
      <w:fldChar w:fldCharType="end"/>
    </w:r>
  </w:p>
  <w:p w14:paraId="6AED3099" w14:textId="77777777" w:rsidR="004C6422" w:rsidRDefault="004C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5F4F" w14:textId="77777777" w:rsidR="009C21A4" w:rsidRDefault="009C21A4">
      <w:r>
        <w:separator/>
      </w:r>
    </w:p>
  </w:footnote>
  <w:footnote w:type="continuationSeparator" w:id="0">
    <w:p w14:paraId="15B35AC8" w14:textId="77777777" w:rsidR="009C21A4" w:rsidRDefault="009C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42" w:type="dxa"/>
      <w:tblBorders>
        <w:bottom w:val="single" w:sz="8" w:space="0" w:color="auto"/>
      </w:tblBorders>
      <w:tblLayout w:type="fixed"/>
      <w:tblLook w:val="0000" w:firstRow="0" w:lastRow="0" w:firstColumn="0" w:lastColumn="0" w:noHBand="0" w:noVBand="0"/>
    </w:tblPr>
    <w:tblGrid>
      <w:gridCol w:w="2406"/>
      <w:gridCol w:w="5580"/>
      <w:gridCol w:w="2505"/>
    </w:tblGrid>
    <w:tr w:rsidR="009E5606" w:rsidRPr="009E5606" w14:paraId="5971A502" w14:textId="77777777" w:rsidTr="000C2AC7">
      <w:trPr>
        <w:trHeight w:val="1256"/>
      </w:trPr>
      <w:tc>
        <w:tcPr>
          <w:tcW w:w="2406" w:type="dxa"/>
        </w:tcPr>
        <w:p w14:paraId="09963695" w14:textId="77777777" w:rsidR="009E5606" w:rsidRPr="009E5606" w:rsidRDefault="009E5606" w:rsidP="009E5606">
          <w:r w:rsidRPr="009E5606">
            <w:rPr>
              <w:noProof/>
              <w:lang w:val="de-DE" w:eastAsia="de-DE"/>
            </w:rPr>
            <w:drawing>
              <wp:inline distT="0" distB="0" distL="0" distR="0" wp14:anchorId="4CE6CF1C" wp14:editId="4DA43C8A">
                <wp:extent cx="857250" cy="714375"/>
                <wp:effectExtent l="0" t="0" r="0" b="9525"/>
                <wp:docPr id="1725339821" name="Picture 1"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14375"/>
                        </a:xfrm>
                        <a:prstGeom prst="rect">
                          <a:avLst/>
                        </a:prstGeom>
                        <a:noFill/>
                        <a:ln>
                          <a:noFill/>
                        </a:ln>
                      </pic:spPr>
                    </pic:pic>
                  </a:graphicData>
                </a:graphic>
              </wp:inline>
            </w:drawing>
          </w:r>
        </w:p>
      </w:tc>
      <w:tc>
        <w:tcPr>
          <w:tcW w:w="5580" w:type="dxa"/>
        </w:tcPr>
        <w:p w14:paraId="62B8A933" w14:textId="77777777" w:rsidR="009E5606" w:rsidRPr="009E5606" w:rsidRDefault="009E5606" w:rsidP="009E5606">
          <w:pPr>
            <w:jc w:val="center"/>
            <w:rPr>
              <w:i/>
              <w:sz w:val="22"/>
              <w:szCs w:val="22"/>
              <w:lang w:val="en-GB"/>
            </w:rPr>
          </w:pPr>
          <w:r w:rsidRPr="009E5606">
            <w:rPr>
              <w:i/>
              <w:sz w:val="22"/>
              <w:szCs w:val="22"/>
              <w:lang w:val="en-GB"/>
            </w:rPr>
            <w:t>AGREEMENT ON THE CONSERVATION OF</w:t>
          </w:r>
        </w:p>
        <w:p w14:paraId="613FF6C5" w14:textId="77777777" w:rsidR="009E5606" w:rsidRPr="009E5606" w:rsidRDefault="009E5606" w:rsidP="009E5606">
          <w:pPr>
            <w:jc w:val="center"/>
          </w:pPr>
          <w:r w:rsidRPr="009E5606">
            <w:rPr>
              <w:i/>
              <w:sz w:val="22"/>
              <w:szCs w:val="22"/>
              <w:lang w:val="en-GB"/>
            </w:rPr>
            <w:t>AFRICAN-EURASIAN MIGRATORY WATERBIRDS</w:t>
          </w:r>
        </w:p>
      </w:tc>
      <w:tc>
        <w:tcPr>
          <w:tcW w:w="2505" w:type="dxa"/>
        </w:tcPr>
        <w:p w14:paraId="6DEADD53" w14:textId="3B3824FB" w:rsidR="009E5606" w:rsidRPr="009E5606" w:rsidRDefault="009E5606" w:rsidP="009E5606">
          <w:pPr>
            <w:jc w:val="right"/>
            <w:rPr>
              <w:bCs/>
              <w:i/>
              <w:iCs/>
              <w:sz w:val="20"/>
              <w:szCs w:val="20"/>
              <w:lang w:val="pt-PT"/>
            </w:rPr>
          </w:pPr>
          <w:r w:rsidRPr="009E5606">
            <w:rPr>
              <w:i/>
              <w:iCs/>
              <w:sz w:val="20"/>
              <w:szCs w:val="20"/>
              <w:lang w:val="pt-PT"/>
            </w:rPr>
            <w:t>Doc. AEWA/StC 28.</w:t>
          </w:r>
          <w:r w:rsidR="00962331">
            <w:rPr>
              <w:i/>
              <w:iCs/>
              <w:sz w:val="20"/>
              <w:szCs w:val="20"/>
              <w:lang w:val="pt-PT"/>
            </w:rPr>
            <w:t>6</w:t>
          </w:r>
        </w:p>
        <w:p w14:paraId="6639995C" w14:textId="41EB442F" w:rsidR="009E5606" w:rsidRPr="009E5606" w:rsidRDefault="009E5606" w:rsidP="009E5606">
          <w:pPr>
            <w:jc w:val="right"/>
            <w:rPr>
              <w:bCs/>
              <w:i/>
              <w:iCs/>
              <w:sz w:val="20"/>
              <w:szCs w:val="20"/>
              <w:lang w:val="pt-PT"/>
            </w:rPr>
          </w:pPr>
          <w:r w:rsidRPr="009E5606">
            <w:rPr>
              <w:i/>
              <w:iCs/>
              <w:sz w:val="20"/>
              <w:szCs w:val="20"/>
              <w:lang w:val="pt-PT"/>
            </w:rPr>
            <w:t xml:space="preserve">Agenda item </w:t>
          </w:r>
          <w:r w:rsidR="00FC5F21">
            <w:rPr>
              <w:i/>
              <w:iCs/>
              <w:sz w:val="20"/>
              <w:szCs w:val="20"/>
              <w:lang w:val="pt-PT"/>
            </w:rPr>
            <w:t>6</w:t>
          </w:r>
        </w:p>
        <w:p w14:paraId="4ABD40F4" w14:textId="00065499" w:rsidR="009E5606" w:rsidRPr="009E5606" w:rsidRDefault="009E5606" w:rsidP="009E5606">
          <w:pPr>
            <w:jc w:val="right"/>
          </w:pPr>
          <w:r w:rsidRPr="009E5606">
            <w:rPr>
              <w:i/>
              <w:iCs/>
              <w:sz w:val="20"/>
              <w:szCs w:val="20"/>
              <w:lang w:val="pt-PT"/>
            </w:rPr>
            <w:t xml:space="preserve"> </w:t>
          </w:r>
          <w:r w:rsidR="00FC5F21">
            <w:rPr>
              <w:i/>
              <w:iCs/>
              <w:sz w:val="20"/>
              <w:szCs w:val="20"/>
              <w:lang w:val="pt-PT"/>
            </w:rPr>
            <w:t>1</w:t>
          </w:r>
          <w:r w:rsidR="00B80255">
            <w:rPr>
              <w:i/>
              <w:iCs/>
              <w:sz w:val="20"/>
              <w:szCs w:val="20"/>
              <w:lang w:val="pt-PT"/>
            </w:rPr>
            <w:t>1</w:t>
          </w:r>
          <w:r w:rsidRPr="009E5606">
            <w:rPr>
              <w:i/>
              <w:iCs/>
              <w:sz w:val="20"/>
              <w:szCs w:val="20"/>
            </w:rPr>
            <w:t xml:space="preserve"> February 2026</w:t>
          </w:r>
        </w:p>
      </w:tc>
    </w:tr>
    <w:tr w:rsidR="009E5606" w:rsidRPr="009E5606" w14:paraId="3933C934" w14:textId="77777777" w:rsidTr="000C2AC7">
      <w:tc>
        <w:tcPr>
          <w:tcW w:w="10491" w:type="dxa"/>
          <w:gridSpan w:val="3"/>
        </w:tcPr>
        <w:p w14:paraId="77D42BCB" w14:textId="77777777" w:rsidR="009E5606" w:rsidRPr="009E5606" w:rsidRDefault="009E5606" w:rsidP="009E5606">
          <w:pPr>
            <w:jc w:val="center"/>
            <w:rPr>
              <w:b/>
              <w:bCs/>
              <w:caps/>
              <w:sz w:val="26"/>
              <w:szCs w:val="26"/>
              <w:lang w:val="en-GB"/>
            </w:rPr>
          </w:pPr>
          <w:r w:rsidRPr="009E5606">
            <w:rPr>
              <w:b/>
              <w:bCs/>
              <w:caps/>
              <w:sz w:val="26"/>
              <w:szCs w:val="26"/>
              <w:lang w:val="en-GB"/>
            </w:rPr>
            <w:t>28</w:t>
          </w:r>
          <w:r w:rsidRPr="009E5606">
            <w:rPr>
              <w:b/>
              <w:bCs/>
              <w:sz w:val="26"/>
              <w:szCs w:val="26"/>
              <w:vertAlign w:val="superscript"/>
              <w:lang w:val="en-GB"/>
            </w:rPr>
            <w:t>th</w:t>
          </w:r>
          <w:r w:rsidRPr="009E5606">
            <w:rPr>
              <w:b/>
              <w:bCs/>
              <w:caps/>
              <w:sz w:val="26"/>
              <w:szCs w:val="26"/>
              <w:lang w:val="en-GB"/>
            </w:rPr>
            <w:t xml:space="preserve"> Meeting of the STANDING COMMITTEE</w:t>
          </w:r>
        </w:p>
        <w:p w14:paraId="21A1046F" w14:textId="77777777" w:rsidR="009E5606" w:rsidRPr="009E5606" w:rsidRDefault="009E5606" w:rsidP="009E5606">
          <w:pPr>
            <w:jc w:val="center"/>
            <w:rPr>
              <w:i/>
              <w:iCs/>
            </w:rPr>
          </w:pPr>
          <w:r w:rsidRPr="009E5606">
            <w:rPr>
              <w:i/>
              <w:iCs/>
            </w:rPr>
            <w:t>12 March 2026, Virtual Meeting Format</w:t>
          </w:r>
        </w:p>
      </w:tc>
    </w:tr>
    <w:tr w:rsidR="009E5606" w:rsidRPr="009E5606" w14:paraId="1A3A08B5" w14:textId="77777777" w:rsidTr="000C2AC7">
      <w:trPr>
        <w:trHeight w:val="270"/>
      </w:trPr>
      <w:tc>
        <w:tcPr>
          <w:tcW w:w="10491" w:type="dxa"/>
          <w:gridSpan w:val="3"/>
          <w:vAlign w:val="center"/>
        </w:tcPr>
        <w:p w14:paraId="12BA902F" w14:textId="77777777" w:rsidR="009E5606" w:rsidRPr="009E5606" w:rsidRDefault="009E5606" w:rsidP="009E5606">
          <w:pPr>
            <w:rPr>
              <w:bCs/>
              <w:i/>
            </w:rPr>
          </w:pPr>
        </w:p>
      </w:tc>
    </w:tr>
  </w:tbl>
  <w:p w14:paraId="3F6CD2FB" w14:textId="77777777" w:rsidR="009E5606" w:rsidRPr="009E5606" w:rsidRDefault="009E5606" w:rsidP="009E5606">
    <w:pPr>
      <w:tabs>
        <w:tab w:val="center" w:pos="4320"/>
        <w:tab w:val="right" w:pos="8640"/>
      </w:tabs>
    </w:pPr>
  </w:p>
  <w:p w14:paraId="43CFAFAA" w14:textId="77777777" w:rsidR="009E5606" w:rsidRDefault="009E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14DB" w14:textId="77777777" w:rsidR="00DD3528" w:rsidRPr="00DD3528" w:rsidRDefault="00DD3528" w:rsidP="00DD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9DF"/>
    <w:multiLevelType w:val="hybridMultilevel"/>
    <w:tmpl w:val="552AA07A"/>
    <w:lvl w:ilvl="0" w:tplc="E084B166">
      <w:start w:val="9"/>
      <w:numFmt w:val="decimal"/>
      <w:lvlText w:val="%1."/>
      <w:lvlJc w:val="left"/>
      <w:pPr>
        <w:ind w:left="423"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B847CA"/>
    <w:multiLevelType w:val="hybridMultilevel"/>
    <w:tmpl w:val="AAA4EDBE"/>
    <w:lvl w:ilvl="0" w:tplc="44BE79D8">
      <w:start w:val="7"/>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E343A2"/>
    <w:multiLevelType w:val="hybridMultilevel"/>
    <w:tmpl w:val="BE9CD9D0"/>
    <w:lvl w:ilvl="0" w:tplc="0407000F">
      <w:start w:val="1"/>
      <w:numFmt w:val="decimal"/>
      <w:pStyle w:val="TOC4"/>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3" w15:restartNumberingAfterBreak="0">
    <w:nsid w:val="37671D69"/>
    <w:multiLevelType w:val="hybridMultilevel"/>
    <w:tmpl w:val="AA3654E2"/>
    <w:lvl w:ilvl="0" w:tplc="0194C1CE">
      <w:start w:val="15"/>
      <w:numFmt w:val="decimal"/>
      <w:lvlText w:val="%1."/>
      <w:lvlJc w:val="left"/>
      <w:pPr>
        <w:ind w:left="423"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8491098"/>
    <w:multiLevelType w:val="multilevel"/>
    <w:tmpl w:val="F8902E3E"/>
    <w:lvl w:ilvl="0">
      <w:start w:val="2"/>
      <w:numFmt w:val="decimal"/>
      <w:lvlText w:val="%1."/>
      <w:lvlJc w:val="left"/>
      <w:pPr>
        <w:ind w:left="0" w:firstLine="0"/>
      </w:pPr>
      <w:rPr>
        <w:rFonts w:ascii="Times New Roman" w:hAnsi="Times New Roman"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5" w15:restartNumberingAfterBreak="0">
    <w:nsid w:val="39CE46DB"/>
    <w:multiLevelType w:val="hybridMultilevel"/>
    <w:tmpl w:val="0FF0D90A"/>
    <w:lvl w:ilvl="0" w:tplc="34368882">
      <w:start w:val="11"/>
      <w:numFmt w:val="decimal"/>
      <w:lvlText w:val="%1."/>
      <w:lvlJc w:val="left"/>
      <w:pPr>
        <w:ind w:left="423"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D360DD1"/>
    <w:multiLevelType w:val="hybridMultilevel"/>
    <w:tmpl w:val="818AFB3E"/>
    <w:lvl w:ilvl="0" w:tplc="8B780686">
      <w:start w:val="3"/>
      <w:numFmt w:val="decimal"/>
      <w:lvlText w:val="%1."/>
      <w:lvlJc w:val="left"/>
      <w:pPr>
        <w:ind w:left="423" w:hanging="360"/>
      </w:pPr>
      <w:rPr>
        <w:rFonts w:hint="default"/>
        <w:b w:val="0"/>
        <w:i w:val="0"/>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 w15:restartNumberingAfterBreak="0">
    <w:nsid w:val="3EA75DB3"/>
    <w:multiLevelType w:val="hybridMultilevel"/>
    <w:tmpl w:val="AA2A8ED0"/>
    <w:lvl w:ilvl="0" w:tplc="90A8F79E">
      <w:start w:val="23"/>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0717AF"/>
    <w:multiLevelType w:val="hybridMultilevel"/>
    <w:tmpl w:val="9834AD1C"/>
    <w:lvl w:ilvl="0" w:tplc="5AE809A6">
      <w:start w:val="27"/>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DE0DCE"/>
    <w:multiLevelType w:val="multilevel"/>
    <w:tmpl w:val="169C9D18"/>
    <w:lvl w:ilvl="0">
      <w:start w:val="5"/>
      <w:numFmt w:val="decimal"/>
      <w:lvlText w:val="%1."/>
      <w:lvlJc w:val="left"/>
      <w:pPr>
        <w:ind w:left="0" w:firstLine="0"/>
      </w:pPr>
      <w:rPr>
        <w:rFonts w:ascii="Times New Roman" w:hAnsi="Times New Roman"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10" w15:restartNumberingAfterBreak="0">
    <w:nsid w:val="5513703B"/>
    <w:multiLevelType w:val="hybridMultilevel"/>
    <w:tmpl w:val="B796AADE"/>
    <w:lvl w:ilvl="0" w:tplc="B7500D4C">
      <w:start w:val="10"/>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88B07D1"/>
    <w:multiLevelType w:val="hybridMultilevel"/>
    <w:tmpl w:val="9ABCC9EE"/>
    <w:lvl w:ilvl="0" w:tplc="BDC024B4">
      <w:start w:val="4"/>
      <w:numFmt w:val="decimal"/>
      <w:lvlText w:val="%1."/>
      <w:lvlJc w:val="left"/>
      <w:pPr>
        <w:ind w:left="360" w:hanging="360"/>
      </w:pPr>
      <w:rPr>
        <w:rFonts w:hint="default"/>
        <w:i w:val="0"/>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E604BC9"/>
    <w:multiLevelType w:val="hybridMultilevel"/>
    <w:tmpl w:val="E07800FE"/>
    <w:lvl w:ilvl="0" w:tplc="FFFFFFFF">
      <w:start w:val="4"/>
      <w:numFmt w:val="decimal"/>
      <w:lvlText w:val="%1."/>
      <w:lvlJc w:val="left"/>
      <w:pPr>
        <w:ind w:left="360" w:hanging="360"/>
      </w:pPr>
      <w:rPr>
        <w:rFonts w:hint="default"/>
        <w:i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6D036A5F"/>
    <w:multiLevelType w:val="hybridMultilevel"/>
    <w:tmpl w:val="16E00012"/>
    <w:lvl w:ilvl="0" w:tplc="0E34461E">
      <w:start w:val="6"/>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E162005"/>
    <w:multiLevelType w:val="hybridMultilevel"/>
    <w:tmpl w:val="4E3CC01A"/>
    <w:lvl w:ilvl="0" w:tplc="01A2F9D4">
      <w:start w:val="13"/>
      <w:numFmt w:val="decimal"/>
      <w:lvlText w:val="%1."/>
      <w:lvlJc w:val="left"/>
      <w:pPr>
        <w:ind w:left="423"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20E4B94"/>
    <w:multiLevelType w:val="hybridMultilevel"/>
    <w:tmpl w:val="871EF386"/>
    <w:lvl w:ilvl="0" w:tplc="8E54D5E6">
      <w:start w:val="25"/>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D03C26"/>
    <w:multiLevelType w:val="multilevel"/>
    <w:tmpl w:val="7F6CE3D4"/>
    <w:lvl w:ilvl="0">
      <w:start w:val="11"/>
      <w:numFmt w:val="decimal"/>
      <w:lvlText w:val="%1."/>
      <w:lvlJc w:val="left"/>
      <w:pPr>
        <w:ind w:left="0" w:firstLine="0"/>
      </w:pPr>
      <w:rPr>
        <w:rFonts w:ascii="Times New Roman" w:hAnsi="Times New Roman"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17" w15:restartNumberingAfterBreak="0">
    <w:nsid w:val="7D976AE7"/>
    <w:multiLevelType w:val="hybridMultilevel"/>
    <w:tmpl w:val="EA02EF9C"/>
    <w:lvl w:ilvl="0" w:tplc="F1248B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7766376">
    <w:abstractNumId w:val="2"/>
  </w:num>
  <w:num w:numId="2" w16cid:durableId="961106678">
    <w:abstractNumId w:val="6"/>
  </w:num>
  <w:num w:numId="3" w16cid:durableId="1909997514">
    <w:abstractNumId w:val="11"/>
  </w:num>
  <w:num w:numId="4" w16cid:durableId="2001420750">
    <w:abstractNumId w:val="0"/>
  </w:num>
  <w:num w:numId="5" w16cid:durableId="1321274889">
    <w:abstractNumId w:val="5"/>
  </w:num>
  <w:num w:numId="6" w16cid:durableId="320549110">
    <w:abstractNumId w:val="14"/>
  </w:num>
  <w:num w:numId="7" w16cid:durableId="260839817">
    <w:abstractNumId w:val="3"/>
  </w:num>
  <w:num w:numId="8" w16cid:durableId="1624919741">
    <w:abstractNumId w:val="9"/>
  </w:num>
  <w:num w:numId="9" w16cid:durableId="1899322708">
    <w:abstractNumId w:val="16"/>
  </w:num>
  <w:num w:numId="10" w16cid:durableId="478376297">
    <w:abstractNumId w:val="4"/>
  </w:num>
  <w:num w:numId="11" w16cid:durableId="996878077">
    <w:abstractNumId w:val="13"/>
  </w:num>
  <w:num w:numId="12" w16cid:durableId="1980374328">
    <w:abstractNumId w:val="1"/>
  </w:num>
  <w:num w:numId="13" w16cid:durableId="839153220">
    <w:abstractNumId w:val="12"/>
  </w:num>
  <w:num w:numId="14" w16cid:durableId="1139375417">
    <w:abstractNumId w:val="10"/>
  </w:num>
  <w:num w:numId="15" w16cid:durableId="213856056">
    <w:abstractNumId w:val="7"/>
  </w:num>
  <w:num w:numId="16" w16cid:durableId="1057822470">
    <w:abstractNumId w:val="15"/>
  </w:num>
  <w:num w:numId="17" w16cid:durableId="950164971">
    <w:abstractNumId w:val="8"/>
  </w:num>
  <w:num w:numId="18" w16cid:durableId="113718649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DC"/>
    <w:rsid w:val="000049AA"/>
    <w:rsid w:val="0001309F"/>
    <w:rsid w:val="00013D4F"/>
    <w:rsid w:val="000174CB"/>
    <w:rsid w:val="0003218D"/>
    <w:rsid w:val="00033FA4"/>
    <w:rsid w:val="00035C1C"/>
    <w:rsid w:val="00036762"/>
    <w:rsid w:val="000368BE"/>
    <w:rsid w:val="000410DB"/>
    <w:rsid w:val="000411AB"/>
    <w:rsid w:val="0004721A"/>
    <w:rsid w:val="000515EE"/>
    <w:rsid w:val="0005283B"/>
    <w:rsid w:val="000573BC"/>
    <w:rsid w:val="0005767B"/>
    <w:rsid w:val="00057B65"/>
    <w:rsid w:val="00064121"/>
    <w:rsid w:val="000658A2"/>
    <w:rsid w:val="0006611A"/>
    <w:rsid w:val="00070A83"/>
    <w:rsid w:val="00074454"/>
    <w:rsid w:val="00077A8F"/>
    <w:rsid w:val="0008039B"/>
    <w:rsid w:val="000817EF"/>
    <w:rsid w:val="000917DE"/>
    <w:rsid w:val="00091EF2"/>
    <w:rsid w:val="00093D7F"/>
    <w:rsid w:val="00093EC8"/>
    <w:rsid w:val="00097A00"/>
    <w:rsid w:val="000A1BD6"/>
    <w:rsid w:val="000A1C5E"/>
    <w:rsid w:val="000A2CF9"/>
    <w:rsid w:val="000A4F4C"/>
    <w:rsid w:val="000B16D6"/>
    <w:rsid w:val="000B308E"/>
    <w:rsid w:val="000B3252"/>
    <w:rsid w:val="000B3FF1"/>
    <w:rsid w:val="000B6395"/>
    <w:rsid w:val="000B6435"/>
    <w:rsid w:val="000B7709"/>
    <w:rsid w:val="000C1F1F"/>
    <w:rsid w:val="000C229E"/>
    <w:rsid w:val="000C2A3F"/>
    <w:rsid w:val="000C2AC7"/>
    <w:rsid w:val="000C46F4"/>
    <w:rsid w:val="000C5C89"/>
    <w:rsid w:val="000C6BB0"/>
    <w:rsid w:val="000D1062"/>
    <w:rsid w:val="000E0804"/>
    <w:rsid w:val="000E7A75"/>
    <w:rsid w:val="000F4341"/>
    <w:rsid w:val="000F6B17"/>
    <w:rsid w:val="00103A80"/>
    <w:rsid w:val="00107A86"/>
    <w:rsid w:val="00107DD2"/>
    <w:rsid w:val="00113AB8"/>
    <w:rsid w:val="00114117"/>
    <w:rsid w:val="00116FB2"/>
    <w:rsid w:val="00126CED"/>
    <w:rsid w:val="00127278"/>
    <w:rsid w:val="001279B8"/>
    <w:rsid w:val="00131FB1"/>
    <w:rsid w:val="001326C8"/>
    <w:rsid w:val="001347EA"/>
    <w:rsid w:val="001354B0"/>
    <w:rsid w:val="00135CE3"/>
    <w:rsid w:val="00140C01"/>
    <w:rsid w:val="0014497A"/>
    <w:rsid w:val="00144F0B"/>
    <w:rsid w:val="00145483"/>
    <w:rsid w:val="001469C4"/>
    <w:rsid w:val="00150F72"/>
    <w:rsid w:val="00151A42"/>
    <w:rsid w:val="00154ECB"/>
    <w:rsid w:val="00157B0B"/>
    <w:rsid w:val="00161B5A"/>
    <w:rsid w:val="001632F3"/>
    <w:rsid w:val="001633A6"/>
    <w:rsid w:val="0017317E"/>
    <w:rsid w:val="00175708"/>
    <w:rsid w:val="001778D6"/>
    <w:rsid w:val="00187495"/>
    <w:rsid w:val="001901B3"/>
    <w:rsid w:val="00192042"/>
    <w:rsid w:val="00192337"/>
    <w:rsid w:val="001A0C2B"/>
    <w:rsid w:val="001A1BFB"/>
    <w:rsid w:val="001A4B55"/>
    <w:rsid w:val="001A4B56"/>
    <w:rsid w:val="001A51F5"/>
    <w:rsid w:val="001A535E"/>
    <w:rsid w:val="001A5740"/>
    <w:rsid w:val="001B36CE"/>
    <w:rsid w:val="001B4099"/>
    <w:rsid w:val="001C2C9F"/>
    <w:rsid w:val="001C3701"/>
    <w:rsid w:val="001C4CE7"/>
    <w:rsid w:val="001D0E95"/>
    <w:rsid w:val="001D5531"/>
    <w:rsid w:val="001E34F6"/>
    <w:rsid w:val="001E75C2"/>
    <w:rsid w:val="001F1FE7"/>
    <w:rsid w:val="001F5947"/>
    <w:rsid w:val="001F5B2E"/>
    <w:rsid w:val="001F6CA4"/>
    <w:rsid w:val="001F6D5E"/>
    <w:rsid w:val="00202EE8"/>
    <w:rsid w:val="00203371"/>
    <w:rsid w:val="00205518"/>
    <w:rsid w:val="002056AB"/>
    <w:rsid w:val="00205FB5"/>
    <w:rsid w:val="002078B3"/>
    <w:rsid w:val="00211A4B"/>
    <w:rsid w:val="002262D3"/>
    <w:rsid w:val="00230DAC"/>
    <w:rsid w:val="002353E9"/>
    <w:rsid w:val="00237B72"/>
    <w:rsid w:val="00237D33"/>
    <w:rsid w:val="00244C2A"/>
    <w:rsid w:val="002454A0"/>
    <w:rsid w:val="0025124B"/>
    <w:rsid w:val="00253C16"/>
    <w:rsid w:val="00255365"/>
    <w:rsid w:val="002678D6"/>
    <w:rsid w:val="0027010B"/>
    <w:rsid w:val="00270D13"/>
    <w:rsid w:val="00273D7D"/>
    <w:rsid w:val="00276FA0"/>
    <w:rsid w:val="0028112C"/>
    <w:rsid w:val="00283747"/>
    <w:rsid w:val="00283BC6"/>
    <w:rsid w:val="00284D42"/>
    <w:rsid w:val="002869D7"/>
    <w:rsid w:val="00293936"/>
    <w:rsid w:val="002956CE"/>
    <w:rsid w:val="0029581F"/>
    <w:rsid w:val="00295A61"/>
    <w:rsid w:val="00295C58"/>
    <w:rsid w:val="002A394F"/>
    <w:rsid w:val="002A5FDF"/>
    <w:rsid w:val="002B449F"/>
    <w:rsid w:val="002B60B1"/>
    <w:rsid w:val="002B77EF"/>
    <w:rsid w:val="002C0A5D"/>
    <w:rsid w:val="002C0BB6"/>
    <w:rsid w:val="002C0D35"/>
    <w:rsid w:val="002C173D"/>
    <w:rsid w:val="002C1A12"/>
    <w:rsid w:val="002C3198"/>
    <w:rsid w:val="002C5BC8"/>
    <w:rsid w:val="002D0E0B"/>
    <w:rsid w:val="002D30BA"/>
    <w:rsid w:val="002D65ED"/>
    <w:rsid w:val="002E5B9B"/>
    <w:rsid w:val="002F086E"/>
    <w:rsid w:val="00304E6D"/>
    <w:rsid w:val="00305DF8"/>
    <w:rsid w:val="00306908"/>
    <w:rsid w:val="00312BA7"/>
    <w:rsid w:val="00313565"/>
    <w:rsid w:val="00324BE5"/>
    <w:rsid w:val="00331DB1"/>
    <w:rsid w:val="0033266C"/>
    <w:rsid w:val="0033382D"/>
    <w:rsid w:val="00334223"/>
    <w:rsid w:val="0033732F"/>
    <w:rsid w:val="00341524"/>
    <w:rsid w:val="0034175B"/>
    <w:rsid w:val="00341C72"/>
    <w:rsid w:val="00343D91"/>
    <w:rsid w:val="0034464A"/>
    <w:rsid w:val="00345851"/>
    <w:rsid w:val="0034783F"/>
    <w:rsid w:val="0035203A"/>
    <w:rsid w:val="00354C83"/>
    <w:rsid w:val="00365423"/>
    <w:rsid w:val="0037055D"/>
    <w:rsid w:val="00373532"/>
    <w:rsid w:val="00373BD4"/>
    <w:rsid w:val="003765A8"/>
    <w:rsid w:val="00376D5C"/>
    <w:rsid w:val="0038106F"/>
    <w:rsid w:val="003810BE"/>
    <w:rsid w:val="003857D1"/>
    <w:rsid w:val="003872F6"/>
    <w:rsid w:val="00387B09"/>
    <w:rsid w:val="00391C9E"/>
    <w:rsid w:val="003930D6"/>
    <w:rsid w:val="003948B4"/>
    <w:rsid w:val="00395544"/>
    <w:rsid w:val="003A0F78"/>
    <w:rsid w:val="003A1B7F"/>
    <w:rsid w:val="003A3615"/>
    <w:rsid w:val="003A6408"/>
    <w:rsid w:val="003B0886"/>
    <w:rsid w:val="003B6EA8"/>
    <w:rsid w:val="003B70BD"/>
    <w:rsid w:val="003C4EFD"/>
    <w:rsid w:val="003C54EE"/>
    <w:rsid w:val="003D0576"/>
    <w:rsid w:val="003D2C60"/>
    <w:rsid w:val="003D4DFA"/>
    <w:rsid w:val="003D58F8"/>
    <w:rsid w:val="003E0991"/>
    <w:rsid w:val="003E1CF8"/>
    <w:rsid w:val="003E42BC"/>
    <w:rsid w:val="003F143B"/>
    <w:rsid w:val="003F2B0B"/>
    <w:rsid w:val="003F308B"/>
    <w:rsid w:val="003F5C56"/>
    <w:rsid w:val="003F6522"/>
    <w:rsid w:val="003F7105"/>
    <w:rsid w:val="00417CC1"/>
    <w:rsid w:val="0042019B"/>
    <w:rsid w:val="00423096"/>
    <w:rsid w:val="004249C2"/>
    <w:rsid w:val="004255F9"/>
    <w:rsid w:val="00425BE9"/>
    <w:rsid w:val="00431543"/>
    <w:rsid w:val="00433F4E"/>
    <w:rsid w:val="004356E5"/>
    <w:rsid w:val="0043706E"/>
    <w:rsid w:val="0043723C"/>
    <w:rsid w:val="004411CA"/>
    <w:rsid w:val="004437BB"/>
    <w:rsid w:val="00464425"/>
    <w:rsid w:val="004734FB"/>
    <w:rsid w:val="00475A6E"/>
    <w:rsid w:val="00477EBF"/>
    <w:rsid w:val="00481FC5"/>
    <w:rsid w:val="00483861"/>
    <w:rsid w:val="004843B3"/>
    <w:rsid w:val="0048627F"/>
    <w:rsid w:val="00492F40"/>
    <w:rsid w:val="004931FF"/>
    <w:rsid w:val="004966BC"/>
    <w:rsid w:val="00497D3F"/>
    <w:rsid w:val="004A10E2"/>
    <w:rsid w:val="004A7157"/>
    <w:rsid w:val="004B1CC3"/>
    <w:rsid w:val="004B28F3"/>
    <w:rsid w:val="004B41CE"/>
    <w:rsid w:val="004C0108"/>
    <w:rsid w:val="004C1E7B"/>
    <w:rsid w:val="004C4EFF"/>
    <w:rsid w:val="004C6422"/>
    <w:rsid w:val="004C6F12"/>
    <w:rsid w:val="004D0E6A"/>
    <w:rsid w:val="004D4683"/>
    <w:rsid w:val="004E0BA3"/>
    <w:rsid w:val="004E350D"/>
    <w:rsid w:val="004E4A56"/>
    <w:rsid w:val="004E504A"/>
    <w:rsid w:val="004E5FCD"/>
    <w:rsid w:val="004F0352"/>
    <w:rsid w:val="004F0435"/>
    <w:rsid w:val="004F0DC4"/>
    <w:rsid w:val="004F473C"/>
    <w:rsid w:val="004F48FB"/>
    <w:rsid w:val="005024D5"/>
    <w:rsid w:val="0050599F"/>
    <w:rsid w:val="0050794E"/>
    <w:rsid w:val="00510375"/>
    <w:rsid w:val="00513D98"/>
    <w:rsid w:val="005147A7"/>
    <w:rsid w:val="005166C4"/>
    <w:rsid w:val="0052016D"/>
    <w:rsid w:val="00520F49"/>
    <w:rsid w:val="005214E9"/>
    <w:rsid w:val="00525683"/>
    <w:rsid w:val="00526352"/>
    <w:rsid w:val="0052651F"/>
    <w:rsid w:val="005313F0"/>
    <w:rsid w:val="005318FF"/>
    <w:rsid w:val="0053297A"/>
    <w:rsid w:val="00540283"/>
    <w:rsid w:val="005404D0"/>
    <w:rsid w:val="005410D8"/>
    <w:rsid w:val="00542EFD"/>
    <w:rsid w:val="00550D72"/>
    <w:rsid w:val="005555BE"/>
    <w:rsid w:val="0055792C"/>
    <w:rsid w:val="005633E8"/>
    <w:rsid w:val="00564A66"/>
    <w:rsid w:val="005744B1"/>
    <w:rsid w:val="005828B2"/>
    <w:rsid w:val="005830FB"/>
    <w:rsid w:val="005912A1"/>
    <w:rsid w:val="0059192B"/>
    <w:rsid w:val="00594225"/>
    <w:rsid w:val="00596953"/>
    <w:rsid w:val="0059725E"/>
    <w:rsid w:val="005A1098"/>
    <w:rsid w:val="005A1A9F"/>
    <w:rsid w:val="005A22FE"/>
    <w:rsid w:val="005A36A3"/>
    <w:rsid w:val="005A402F"/>
    <w:rsid w:val="005A5DA1"/>
    <w:rsid w:val="005B04A5"/>
    <w:rsid w:val="005B053F"/>
    <w:rsid w:val="005B3BA0"/>
    <w:rsid w:val="005C12D2"/>
    <w:rsid w:val="005C396F"/>
    <w:rsid w:val="005C5C27"/>
    <w:rsid w:val="005D0E38"/>
    <w:rsid w:val="005D0F90"/>
    <w:rsid w:val="005D13C9"/>
    <w:rsid w:val="005D2D64"/>
    <w:rsid w:val="005D46F8"/>
    <w:rsid w:val="006007FB"/>
    <w:rsid w:val="006075F4"/>
    <w:rsid w:val="006104CE"/>
    <w:rsid w:val="00612B80"/>
    <w:rsid w:val="00612CC3"/>
    <w:rsid w:val="00612F26"/>
    <w:rsid w:val="00615F6B"/>
    <w:rsid w:val="00621E5D"/>
    <w:rsid w:val="006222B2"/>
    <w:rsid w:val="00622CDC"/>
    <w:rsid w:val="00624109"/>
    <w:rsid w:val="00624AD8"/>
    <w:rsid w:val="00625DF0"/>
    <w:rsid w:val="00630530"/>
    <w:rsid w:val="006314C4"/>
    <w:rsid w:val="00636A67"/>
    <w:rsid w:val="0064196B"/>
    <w:rsid w:val="00641B0D"/>
    <w:rsid w:val="00642410"/>
    <w:rsid w:val="0064340F"/>
    <w:rsid w:val="0064369C"/>
    <w:rsid w:val="00646037"/>
    <w:rsid w:val="0064718C"/>
    <w:rsid w:val="006527C8"/>
    <w:rsid w:val="00654A7F"/>
    <w:rsid w:val="00654EA0"/>
    <w:rsid w:val="00661A0D"/>
    <w:rsid w:val="00663A5B"/>
    <w:rsid w:val="00664582"/>
    <w:rsid w:val="0066519F"/>
    <w:rsid w:val="00667906"/>
    <w:rsid w:val="006777E4"/>
    <w:rsid w:val="00683AD5"/>
    <w:rsid w:val="00683C1A"/>
    <w:rsid w:val="00683E74"/>
    <w:rsid w:val="00686629"/>
    <w:rsid w:val="0069042C"/>
    <w:rsid w:val="006954B5"/>
    <w:rsid w:val="00697C50"/>
    <w:rsid w:val="006A3A91"/>
    <w:rsid w:val="006A3B8F"/>
    <w:rsid w:val="006B17CC"/>
    <w:rsid w:val="006B2914"/>
    <w:rsid w:val="006B6B79"/>
    <w:rsid w:val="006C65AF"/>
    <w:rsid w:val="006C67EB"/>
    <w:rsid w:val="006C6874"/>
    <w:rsid w:val="006C7CCC"/>
    <w:rsid w:val="006D0E7D"/>
    <w:rsid w:val="006D4E3F"/>
    <w:rsid w:val="006D73E2"/>
    <w:rsid w:val="006D7C14"/>
    <w:rsid w:val="006E0064"/>
    <w:rsid w:val="006E769E"/>
    <w:rsid w:val="006F6563"/>
    <w:rsid w:val="006F7126"/>
    <w:rsid w:val="00702A36"/>
    <w:rsid w:val="0070358B"/>
    <w:rsid w:val="00707128"/>
    <w:rsid w:val="00717FEA"/>
    <w:rsid w:val="0072113F"/>
    <w:rsid w:val="00722957"/>
    <w:rsid w:val="0072361E"/>
    <w:rsid w:val="00730A85"/>
    <w:rsid w:val="00733AF4"/>
    <w:rsid w:val="00734B43"/>
    <w:rsid w:val="00737D5B"/>
    <w:rsid w:val="00740F6D"/>
    <w:rsid w:val="00741BB0"/>
    <w:rsid w:val="0074344F"/>
    <w:rsid w:val="00745B13"/>
    <w:rsid w:val="00746916"/>
    <w:rsid w:val="00752AD5"/>
    <w:rsid w:val="00757D27"/>
    <w:rsid w:val="007665CE"/>
    <w:rsid w:val="00767C17"/>
    <w:rsid w:val="0077200C"/>
    <w:rsid w:val="00777034"/>
    <w:rsid w:val="007811F7"/>
    <w:rsid w:val="00781F9E"/>
    <w:rsid w:val="00784914"/>
    <w:rsid w:val="00784EA0"/>
    <w:rsid w:val="0078664B"/>
    <w:rsid w:val="00792EED"/>
    <w:rsid w:val="00795DA1"/>
    <w:rsid w:val="00797FEC"/>
    <w:rsid w:val="007A3953"/>
    <w:rsid w:val="007A559D"/>
    <w:rsid w:val="007A642A"/>
    <w:rsid w:val="007B4D89"/>
    <w:rsid w:val="007B601F"/>
    <w:rsid w:val="007B61CA"/>
    <w:rsid w:val="007C2006"/>
    <w:rsid w:val="007C244E"/>
    <w:rsid w:val="007C436C"/>
    <w:rsid w:val="007C49A4"/>
    <w:rsid w:val="007C4F2B"/>
    <w:rsid w:val="007C5D0A"/>
    <w:rsid w:val="007C68D6"/>
    <w:rsid w:val="007C7410"/>
    <w:rsid w:val="007D4B67"/>
    <w:rsid w:val="007D6DC2"/>
    <w:rsid w:val="007E0956"/>
    <w:rsid w:val="007E27EB"/>
    <w:rsid w:val="007E2DA9"/>
    <w:rsid w:val="007E3F22"/>
    <w:rsid w:val="007E79A6"/>
    <w:rsid w:val="007F195E"/>
    <w:rsid w:val="007F46D5"/>
    <w:rsid w:val="007F639D"/>
    <w:rsid w:val="00804215"/>
    <w:rsid w:val="00804F98"/>
    <w:rsid w:val="00805A0E"/>
    <w:rsid w:val="00805EBD"/>
    <w:rsid w:val="00805F78"/>
    <w:rsid w:val="00810909"/>
    <w:rsid w:val="00813EE8"/>
    <w:rsid w:val="008178A5"/>
    <w:rsid w:val="00817B31"/>
    <w:rsid w:val="00817CA6"/>
    <w:rsid w:val="008205D5"/>
    <w:rsid w:val="00824A50"/>
    <w:rsid w:val="008258DE"/>
    <w:rsid w:val="00836FDF"/>
    <w:rsid w:val="0084018F"/>
    <w:rsid w:val="00846F90"/>
    <w:rsid w:val="0086582B"/>
    <w:rsid w:val="00866827"/>
    <w:rsid w:val="008679BB"/>
    <w:rsid w:val="00871105"/>
    <w:rsid w:val="00871442"/>
    <w:rsid w:val="0087615A"/>
    <w:rsid w:val="0087667D"/>
    <w:rsid w:val="00881794"/>
    <w:rsid w:val="00881922"/>
    <w:rsid w:val="00881A43"/>
    <w:rsid w:val="00881D48"/>
    <w:rsid w:val="0088725A"/>
    <w:rsid w:val="008903DD"/>
    <w:rsid w:val="00891035"/>
    <w:rsid w:val="00891D46"/>
    <w:rsid w:val="00893534"/>
    <w:rsid w:val="00897A10"/>
    <w:rsid w:val="008A36B6"/>
    <w:rsid w:val="008A50BD"/>
    <w:rsid w:val="008A71D9"/>
    <w:rsid w:val="008B39D2"/>
    <w:rsid w:val="008C0188"/>
    <w:rsid w:val="008C25B3"/>
    <w:rsid w:val="008C4735"/>
    <w:rsid w:val="008D124C"/>
    <w:rsid w:val="008D4A71"/>
    <w:rsid w:val="008D72DE"/>
    <w:rsid w:val="008D7614"/>
    <w:rsid w:val="008E4156"/>
    <w:rsid w:val="008E4586"/>
    <w:rsid w:val="008F00F2"/>
    <w:rsid w:val="008F3EE1"/>
    <w:rsid w:val="008F5CE6"/>
    <w:rsid w:val="009026DC"/>
    <w:rsid w:val="00906BF3"/>
    <w:rsid w:val="00911D64"/>
    <w:rsid w:val="009154E8"/>
    <w:rsid w:val="00915F46"/>
    <w:rsid w:val="00916685"/>
    <w:rsid w:val="0091780F"/>
    <w:rsid w:val="00921455"/>
    <w:rsid w:val="0092322C"/>
    <w:rsid w:val="009266BA"/>
    <w:rsid w:val="00927440"/>
    <w:rsid w:val="00927A02"/>
    <w:rsid w:val="00931F10"/>
    <w:rsid w:val="00934043"/>
    <w:rsid w:val="009340EB"/>
    <w:rsid w:val="00934836"/>
    <w:rsid w:val="00936141"/>
    <w:rsid w:val="00937F34"/>
    <w:rsid w:val="0094248D"/>
    <w:rsid w:val="009468FB"/>
    <w:rsid w:val="00955AD2"/>
    <w:rsid w:val="00957BD2"/>
    <w:rsid w:val="00962331"/>
    <w:rsid w:val="009639D7"/>
    <w:rsid w:val="009661E6"/>
    <w:rsid w:val="009762D8"/>
    <w:rsid w:val="00980B86"/>
    <w:rsid w:val="0098206A"/>
    <w:rsid w:val="0098216A"/>
    <w:rsid w:val="00991DA9"/>
    <w:rsid w:val="009923A0"/>
    <w:rsid w:val="00994EAE"/>
    <w:rsid w:val="0099595A"/>
    <w:rsid w:val="009A00C6"/>
    <w:rsid w:val="009A2B6C"/>
    <w:rsid w:val="009A4A37"/>
    <w:rsid w:val="009B1386"/>
    <w:rsid w:val="009B335F"/>
    <w:rsid w:val="009B401B"/>
    <w:rsid w:val="009B5767"/>
    <w:rsid w:val="009B67B9"/>
    <w:rsid w:val="009B7E23"/>
    <w:rsid w:val="009C21A4"/>
    <w:rsid w:val="009C382A"/>
    <w:rsid w:val="009C780D"/>
    <w:rsid w:val="009D29E2"/>
    <w:rsid w:val="009D5345"/>
    <w:rsid w:val="009D6865"/>
    <w:rsid w:val="009E4DF6"/>
    <w:rsid w:val="009E5606"/>
    <w:rsid w:val="009E586B"/>
    <w:rsid w:val="009E6B74"/>
    <w:rsid w:val="009E7AB1"/>
    <w:rsid w:val="009E7AF1"/>
    <w:rsid w:val="009F0CE8"/>
    <w:rsid w:val="009F0D87"/>
    <w:rsid w:val="009F4CEA"/>
    <w:rsid w:val="00A02A6B"/>
    <w:rsid w:val="00A02DBC"/>
    <w:rsid w:val="00A03F48"/>
    <w:rsid w:val="00A063A4"/>
    <w:rsid w:val="00A106B0"/>
    <w:rsid w:val="00A10916"/>
    <w:rsid w:val="00A14759"/>
    <w:rsid w:val="00A156FB"/>
    <w:rsid w:val="00A23234"/>
    <w:rsid w:val="00A26B36"/>
    <w:rsid w:val="00A30147"/>
    <w:rsid w:val="00A43D75"/>
    <w:rsid w:val="00A44E62"/>
    <w:rsid w:val="00A46277"/>
    <w:rsid w:val="00A527C6"/>
    <w:rsid w:val="00A53939"/>
    <w:rsid w:val="00A54D24"/>
    <w:rsid w:val="00A5565C"/>
    <w:rsid w:val="00A56EEC"/>
    <w:rsid w:val="00A56F5E"/>
    <w:rsid w:val="00A60D7B"/>
    <w:rsid w:val="00A726A0"/>
    <w:rsid w:val="00A72CC1"/>
    <w:rsid w:val="00A730B0"/>
    <w:rsid w:val="00A93108"/>
    <w:rsid w:val="00A93C8D"/>
    <w:rsid w:val="00A952C6"/>
    <w:rsid w:val="00A962A8"/>
    <w:rsid w:val="00A965BC"/>
    <w:rsid w:val="00A96AA5"/>
    <w:rsid w:val="00AB4D62"/>
    <w:rsid w:val="00AB503B"/>
    <w:rsid w:val="00AC1960"/>
    <w:rsid w:val="00AC5F85"/>
    <w:rsid w:val="00AD0834"/>
    <w:rsid w:val="00AD48B1"/>
    <w:rsid w:val="00AD4B82"/>
    <w:rsid w:val="00AD6B16"/>
    <w:rsid w:val="00AE2590"/>
    <w:rsid w:val="00AE3459"/>
    <w:rsid w:val="00AE766E"/>
    <w:rsid w:val="00AF309E"/>
    <w:rsid w:val="00AF31B0"/>
    <w:rsid w:val="00AF4098"/>
    <w:rsid w:val="00AF41B9"/>
    <w:rsid w:val="00AF49C0"/>
    <w:rsid w:val="00AF4D96"/>
    <w:rsid w:val="00B0714B"/>
    <w:rsid w:val="00B07794"/>
    <w:rsid w:val="00B1027F"/>
    <w:rsid w:val="00B12CF2"/>
    <w:rsid w:val="00B13860"/>
    <w:rsid w:val="00B1426A"/>
    <w:rsid w:val="00B2749B"/>
    <w:rsid w:val="00B339D2"/>
    <w:rsid w:val="00B34C77"/>
    <w:rsid w:val="00B36286"/>
    <w:rsid w:val="00B375B5"/>
    <w:rsid w:val="00B4212C"/>
    <w:rsid w:val="00B46CBE"/>
    <w:rsid w:val="00B500AD"/>
    <w:rsid w:val="00B50DF9"/>
    <w:rsid w:val="00B53353"/>
    <w:rsid w:val="00B56003"/>
    <w:rsid w:val="00B62BC8"/>
    <w:rsid w:val="00B64306"/>
    <w:rsid w:val="00B705EF"/>
    <w:rsid w:val="00B74E9E"/>
    <w:rsid w:val="00B75D77"/>
    <w:rsid w:val="00B77664"/>
    <w:rsid w:val="00B80255"/>
    <w:rsid w:val="00B81894"/>
    <w:rsid w:val="00B82121"/>
    <w:rsid w:val="00B85A80"/>
    <w:rsid w:val="00B91F03"/>
    <w:rsid w:val="00B92583"/>
    <w:rsid w:val="00BA359D"/>
    <w:rsid w:val="00BB1A25"/>
    <w:rsid w:val="00BB43D2"/>
    <w:rsid w:val="00BC046F"/>
    <w:rsid w:val="00BC2E15"/>
    <w:rsid w:val="00BD3794"/>
    <w:rsid w:val="00BD37FA"/>
    <w:rsid w:val="00BD5902"/>
    <w:rsid w:val="00BE4B95"/>
    <w:rsid w:val="00BE5668"/>
    <w:rsid w:val="00BE65F6"/>
    <w:rsid w:val="00BE66C5"/>
    <w:rsid w:val="00BF2EE1"/>
    <w:rsid w:val="00BF658B"/>
    <w:rsid w:val="00BF78AB"/>
    <w:rsid w:val="00C037AD"/>
    <w:rsid w:val="00C04A95"/>
    <w:rsid w:val="00C065A5"/>
    <w:rsid w:val="00C1041D"/>
    <w:rsid w:val="00C173F9"/>
    <w:rsid w:val="00C204E4"/>
    <w:rsid w:val="00C2444B"/>
    <w:rsid w:val="00C32CF1"/>
    <w:rsid w:val="00C3559D"/>
    <w:rsid w:val="00C37FFD"/>
    <w:rsid w:val="00C42A86"/>
    <w:rsid w:val="00C4326A"/>
    <w:rsid w:val="00C43F8C"/>
    <w:rsid w:val="00C45B4D"/>
    <w:rsid w:val="00C46075"/>
    <w:rsid w:val="00C46E1E"/>
    <w:rsid w:val="00C476B2"/>
    <w:rsid w:val="00C515CE"/>
    <w:rsid w:val="00C568F9"/>
    <w:rsid w:val="00C60DEF"/>
    <w:rsid w:val="00C61468"/>
    <w:rsid w:val="00C61D01"/>
    <w:rsid w:val="00C65AE1"/>
    <w:rsid w:val="00C66EBB"/>
    <w:rsid w:val="00C67DB4"/>
    <w:rsid w:val="00C7045B"/>
    <w:rsid w:val="00C70640"/>
    <w:rsid w:val="00C710C8"/>
    <w:rsid w:val="00C71876"/>
    <w:rsid w:val="00C71B2A"/>
    <w:rsid w:val="00C8034D"/>
    <w:rsid w:val="00C8281B"/>
    <w:rsid w:val="00C83C3A"/>
    <w:rsid w:val="00C87997"/>
    <w:rsid w:val="00C91A1D"/>
    <w:rsid w:val="00C9490B"/>
    <w:rsid w:val="00C97791"/>
    <w:rsid w:val="00C97C08"/>
    <w:rsid w:val="00C97DC3"/>
    <w:rsid w:val="00CA267B"/>
    <w:rsid w:val="00CA2F5E"/>
    <w:rsid w:val="00CA50BC"/>
    <w:rsid w:val="00CA5AF5"/>
    <w:rsid w:val="00CA664C"/>
    <w:rsid w:val="00CB606E"/>
    <w:rsid w:val="00CC0E70"/>
    <w:rsid w:val="00CC2BCF"/>
    <w:rsid w:val="00CC2DD3"/>
    <w:rsid w:val="00CC65A4"/>
    <w:rsid w:val="00CE0018"/>
    <w:rsid w:val="00CE390E"/>
    <w:rsid w:val="00CF3CF3"/>
    <w:rsid w:val="00CF48E7"/>
    <w:rsid w:val="00CF549E"/>
    <w:rsid w:val="00CF7AC2"/>
    <w:rsid w:val="00D02A32"/>
    <w:rsid w:val="00D05BC0"/>
    <w:rsid w:val="00D1007D"/>
    <w:rsid w:val="00D11564"/>
    <w:rsid w:val="00D11D8A"/>
    <w:rsid w:val="00D11F1A"/>
    <w:rsid w:val="00D12D82"/>
    <w:rsid w:val="00D136C6"/>
    <w:rsid w:val="00D14341"/>
    <w:rsid w:val="00D179AC"/>
    <w:rsid w:val="00D17E60"/>
    <w:rsid w:val="00D2071C"/>
    <w:rsid w:val="00D2115D"/>
    <w:rsid w:val="00D23E28"/>
    <w:rsid w:val="00D246AA"/>
    <w:rsid w:val="00D24ECB"/>
    <w:rsid w:val="00D25429"/>
    <w:rsid w:val="00D305E8"/>
    <w:rsid w:val="00D3063F"/>
    <w:rsid w:val="00D321E2"/>
    <w:rsid w:val="00D4496E"/>
    <w:rsid w:val="00D44F34"/>
    <w:rsid w:val="00D50625"/>
    <w:rsid w:val="00D55124"/>
    <w:rsid w:val="00D62A17"/>
    <w:rsid w:val="00D63097"/>
    <w:rsid w:val="00D6473E"/>
    <w:rsid w:val="00D6587A"/>
    <w:rsid w:val="00D66B2F"/>
    <w:rsid w:val="00D710BB"/>
    <w:rsid w:val="00D71935"/>
    <w:rsid w:val="00D750FD"/>
    <w:rsid w:val="00D77387"/>
    <w:rsid w:val="00D875B8"/>
    <w:rsid w:val="00D87C35"/>
    <w:rsid w:val="00D90AE3"/>
    <w:rsid w:val="00D91B9D"/>
    <w:rsid w:val="00D95B92"/>
    <w:rsid w:val="00DA32B1"/>
    <w:rsid w:val="00DA3A23"/>
    <w:rsid w:val="00DA5B7B"/>
    <w:rsid w:val="00DA5C79"/>
    <w:rsid w:val="00DA6D69"/>
    <w:rsid w:val="00DB3FCA"/>
    <w:rsid w:val="00DC4B29"/>
    <w:rsid w:val="00DC62EB"/>
    <w:rsid w:val="00DC6ADC"/>
    <w:rsid w:val="00DD3528"/>
    <w:rsid w:val="00DD35DF"/>
    <w:rsid w:val="00DD55B9"/>
    <w:rsid w:val="00DD607F"/>
    <w:rsid w:val="00DD78AF"/>
    <w:rsid w:val="00DE5779"/>
    <w:rsid w:val="00DE61C1"/>
    <w:rsid w:val="00DE6266"/>
    <w:rsid w:val="00DE7AA8"/>
    <w:rsid w:val="00E03DF1"/>
    <w:rsid w:val="00E04067"/>
    <w:rsid w:val="00E0432E"/>
    <w:rsid w:val="00E0596C"/>
    <w:rsid w:val="00E11FFB"/>
    <w:rsid w:val="00E129C2"/>
    <w:rsid w:val="00E20DC6"/>
    <w:rsid w:val="00E222C2"/>
    <w:rsid w:val="00E23829"/>
    <w:rsid w:val="00E24D98"/>
    <w:rsid w:val="00E271C7"/>
    <w:rsid w:val="00E279A5"/>
    <w:rsid w:val="00E34C17"/>
    <w:rsid w:val="00E37243"/>
    <w:rsid w:val="00E37983"/>
    <w:rsid w:val="00E46CCF"/>
    <w:rsid w:val="00E52A85"/>
    <w:rsid w:val="00E5676C"/>
    <w:rsid w:val="00E6128B"/>
    <w:rsid w:val="00E63900"/>
    <w:rsid w:val="00E725D2"/>
    <w:rsid w:val="00E7413C"/>
    <w:rsid w:val="00E74D97"/>
    <w:rsid w:val="00E7598F"/>
    <w:rsid w:val="00E804B5"/>
    <w:rsid w:val="00E81347"/>
    <w:rsid w:val="00E87228"/>
    <w:rsid w:val="00E873C7"/>
    <w:rsid w:val="00E916DC"/>
    <w:rsid w:val="00E935F0"/>
    <w:rsid w:val="00E95298"/>
    <w:rsid w:val="00E97031"/>
    <w:rsid w:val="00EA0264"/>
    <w:rsid w:val="00EA0E84"/>
    <w:rsid w:val="00EA3B2D"/>
    <w:rsid w:val="00EA3B42"/>
    <w:rsid w:val="00EA6929"/>
    <w:rsid w:val="00EB0D6B"/>
    <w:rsid w:val="00EB2FCA"/>
    <w:rsid w:val="00EB6107"/>
    <w:rsid w:val="00EC184C"/>
    <w:rsid w:val="00EC1A5A"/>
    <w:rsid w:val="00EC4E6F"/>
    <w:rsid w:val="00EC6450"/>
    <w:rsid w:val="00EC7F6E"/>
    <w:rsid w:val="00ED31CC"/>
    <w:rsid w:val="00ED39CF"/>
    <w:rsid w:val="00ED63C2"/>
    <w:rsid w:val="00ED7D17"/>
    <w:rsid w:val="00EE2307"/>
    <w:rsid w:val="00EE49B7"/>
    <w:rsid w:val="00EF2C0D"/>
    <w:rsid w:val="00EF4FD6"/>
    <w:rsid w:val="00F0078A"/>
    <w:rsid w:val="00F00D58"/>
    <w:rsid w:val="00F10079"/>
    <w:rsid w:val="00F12596"/>
    <w:rsid w:val="00F14896"/>
    <w:rsid w:val="00F15025"/>
    <w:rsid w:val="00F16CE4"/>
    <w:rsid w:val="00F2080A"/>
    <w:rsid w:val="00F20E4D"/>
    <w:rsid w:val="00F239FA"/>
    <w:rsid w:val="00F2537E"/>
    <w:rsid w:val="00F27CB7"/>
    <w:rsid w:val="00F30B04"/>
    <w:rsid w:val="00F3205D"/>
    <w:rsid w:val="00F32999"/>
    <w:rsid w:val="00F411CC"/>
    <w:rsid w:val="00F41DA4"/>
    <w:rsid w:val="00F52173"/>
    <w:rsid w:val="00F5277C"/>
    <w:rsid w:val="00F56C21"/>
    <w:rsid w:val="00F577B5"/>
    <w:rsid w:val="00F57A9D"/>
    <w:rsid w:val="00F611CC"/>
    <w:rsid w:val="00F6204C"/>
    <w:rsid w:val="00F62CCB"/>
    <w:rsid w:val="00F660D4"/>
    <w:rsid w:val="00F761EC"/>
    <w:rsid w:val="00F85DE1"/>
    <w:rsid w:val="00F86F38"/>
    <w:rsid w:val="00F96C09"/>
    <w:rsid w:val="00FA1A19"/>
    <w:rsid w:val="00FA56BB"/>
    <w:rsid w:val="00FA59E6"/>
    <w:rsid w:val="00FB1111"/>
    <w:rsid w:val="00FB50C6"/>
    <w:rsid w:val="00FB5D6F"/>
    <w:rsid w:val="00FC40F7"/>
    <w:rsid w:val="00FC426A"/>
    <w:rsid w:val="00FC5F21"/>
    <w:rsid w:val="00FD5E85"/>
    <w:rsid w:val="00FD5E89"/>
    <w:rsid w:val="00FD70ED"/>
    <w:rsid w:val="00FD7ED8"/>
    <w:rsid w:val="00FE23D8"/>
    <w:rsid w:val="00FE2E7D"/>
    <w:rsid w:val="00FE3C09"/>
    <w:rsid w:val="00FE663B"/>
    <w:rsid w:val="00FF07C7"/>
    <w:rsid w:val="00FF0954"/>
    <w:rsid w:val="00FF147F"/>
    <w:rsid w:val="0869C8D3"/>
    <w:rsid w:val="0D2F2866"/>
    <w:rsid w:val="1009BF90"/>
    <w:rsid w:val="149D7602"/>
    <w:rsid w:val="15F56BB9"/>
    <w:rsid w:val="17304056"/>
    <w:rsid w:val="1964B3D3"/>
    <w:rsid w:val="1FE158CE"/>
    <w:rsid w:val="226F8C81"/>
    <w:rsid w:val="258B9D4E"/>
    <w:rsid w:val="2CD59D3B"/>
    <w:rsid w:val="2EBA43B1"/>
    <w:rsid w:val="2FB8F2B2"/>
    <w:rsid w:val="304E3A3A"/>
    <w:rsid w:val="32817BC3"/>
    <w:rsid w:val="41B2AB73"/>
    <w:rsid w:val="4A7518D7"/>
    <w:rsid w:val="4B8E98F2"/>
    <w:rsid w:val="4F70F0E6"/>
    <w:rsid w:val="50740AD7"/>
    <w:rsid w:val="52C8A51B"/>
    <w:rsid w:val="546BD7B7"/>
    <w:rsid w:val="58984410"/>
    <w:rsid w:val="591E28DD"/>
    <w:rsid w:val="5B9060FA"/>
    <w:rsid w:val="5C632FC1"/>
    <w:rsid w:val="606A9758"/>
    <w:rsid w:val="6A5F5D50"/>
    <w:rsid w:val="6ACCD077"/>
    <w:rsid w:val="6B2E6D7D"/>
    <w:rsid w:val="6D95CF40"/>
    <w:rsid w:val="705B3627"/>
    <w:rsid w:val="71FCDCC3"/>
    <w:rsid w:val="790B5FB9"/>
    <w:rsid w:val="7C297AA9"/>
    <w:rsid w:val="7CA06B1C"/>
    <w:rsid w:val="7EC987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221C"/>
  <w15:chartTrackingRefBased/>
  <w15:docId w15:val="{296EF6E1-8AF7-46D8-9F2B-58D42CF4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295A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6E1E"/>
    <w:pPr>
      <w:keepNext/>
      <w:tabs>
        <w:tab w:val="num" w:pos="720"/>
      </w:tabs>
      <w:spacing w:before="240" w:after="60"/>
      <w:ind w:left="360" w:hanging="360"/>
      <w:outlineLvl w:val="1"/>
    </w:pPr>
    <w:rPr>
      <w:rFonts w:ascii="Arial" w:hAnsi="Arial"/>
      <w:b/>
      <w:bCs/>
      <w:i/>
      <w:iCs/>
      <w:sz w:val="28"/>
      <w:szCs w:val="28"/>
    </w:rPr>
  </w:style>
  <w:style w:type="paragraph" w:styleId="Heading9">
    <w:name w:val="heading 9"/>
    <w:basedOn w:val="Normal"/>
    <w:next w:val="Normal"/>
    <w:link w:val="Heading9Char"/>
    <w:uiPriority w:val="99"/>
    <w:qFormat/>
    <w:rsid w:val="001632F3"/>
    <w:pPr>
      <w:keepNext/>
      <w:widowControl w:val="0"/>
      <w:tabs>
        <w:tab w:val="left" w:pos="720"/>
      </w:tabs>
      <w:spacing w:line="260" w:lineRule="atLeast"/>
      <w:ind w:left="720" w:right="-427" w:hanging="720"/>
      <w:jc w:val="center"/>
      <w:outlineLvl w:val="8"/>
    </w:pPr>
    <w:rPr>
      <w:b/>
      <w:kern w:val="14"/>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D65ED"/>
    <w:pPr>
      <w:jc w:val="center"/>
    </w:pPr>
    <w:rPr>
      <w:b/>
      <w:bCs/>
      <w:sz w:val="28"/>
      <w:lang w:val="en-GB"/>
    </w:rPr>
  </w:style>
  <w:style w:type="character" w:customStyle="1" w:styleId="BodyText3Char">
    <w:name w:val="Body Text 3 Char"/>
    <w:link w:val="BodyText3"/>
    <w:rsid w:val="006D0E7D"/>
    <w:rPr>
      <w:b/>
      <w:bCs/>
      <w:sz w:val="28"/>
      <w:szCs w:val="24"/>
      <w:lang w:val="en-GB" w:eastAsia="en-US" w:bidi="ar-SA"/>
    </w:rPr>
  </w:style>
  <w:style w:type="paragraph" w:customStyle="1" w:styleId="Default">
    <w:name w:val="Default"/>
    <w:rsid w:val="00387B09"/>
    <w:pPr>
      <w:widowControl w:val="0"/>
      <w:autoSpaceDE w:val="0"/>
      <w:autoSpaceDN w:val="0"/>
      <w:adjustRightInd w:val="0"/>
    </w:pPr>
    <w:rPr>
      <w:color w:val="000000"/>
      <w:sz w:val="24"/>
      <w:szCs w:val="24"/>
      <w:lang w:val="en-US" w:eastAsia="en-US"/>
    </w:rPr>
  </w:style>
  <w:style w:type="character" w:styleId="Hyperlink">
    <w:name w:val="Hyperlink"/>
    <w:uiPriority w:val="99"/>
    <w:rsid w:val="00B92583"/>
    <w:rPr>
      <w:color w:val="0000FF"/>
      <w:u w:val="single"/>
    </w:rPr>
  </w:style>
  <w:style w:type="paragraph" w:styleId="FootnoteText">
    <w:name w:val="footnote text"/>
    <w:basedOn w:val="Normal"/>
    <w:link w:val="FootnoteTextChar"/>
    <w:rsid w:val="002869D7"/>
    <w:rPr>
      <w:sz w:val="20"/>
      <w:szCs w:val="20"/>
    </w:rPr>
  </w:style>
  <w:style w:type="character" w:styleId="FootnoteReference">
    <w:name w:val="footnote reference"/>
    <w:uiPriority w:val="99"/>
    <w:semiHidden/>
    <w:rsid w:val="002869D7"/>
    <w:rPr>
      <w:vertAlign w:val="superscript"/>
    </w:rPr>
  </w:style>
  <w:style w:type="paragraph" w:styleId="Title">
    <w:name w:val="Title"/>
    <w:basedOn w:val="Normal"/>
    <w:link w:val="TitleChar"/>
    <w:qFormat/>
    <w:rsid w:val="00D246AA"/>
    <w:pPr>
      <w:jc w:val="center"/>
    </w:pPr>
    <w:rPr>
      <w:rFonts w:ascii="Arial" w:hAnsi="Arial" w:cs="Arial"/>
      <w:b/>
      <w:bCs/>
      <w:sz w:val="28"/>
    </w:rPr>
  </w:style>
  <w:style w:type="paragraph" w:styleId="TOC4">
    <w:name w:val="toc 4"/>
    <w:basedOn w:val="Normal"/>
    <w:next w:val="Normal"/>
    <w:autoRedefine/>
    <w:semiHidden/>
    <w:rsid w:val="006D4E3F"/>
    <w:pPr>
      <w:numPr>
        <w:numId w:val="1"/>
      </w:numPr>
      <w:jc w:val="both"/>
    </w:pPr>
    <w:rPr>
      <w:sz w:val="22"/>
    </w:rPr>
  </w:style>
  <w:style w:type="paragraph" w:styleId="BodyText2">
    <w:name w:val="Body Text 2"/>
    <w:basedOn w:val="Normal"/>
    <w:rsid w:val="00C46075"/>
    <w:pPr>
      <w:spacing w:after="120" w:line="480" w:lineRule="auto"/>
    </w:pPr>
  </w:style>
  <w:style w:type="table" w:styleId="TableGrid">
    <w:name w:val="Table Grid"/>
    <w:basedOn w:val="TableNormal"/>
    <w:rsid w:val="0087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C0D35"/>
    <w:pPr>
      <w:tabs>
        <w:tab w:val="center" w:pos="4320"/>
        <w:tab w:val="right" w:pos="8640"/>
      </w:tabs>
    </w:pPr>
  </w:style>
  <w:style w:type="character" w:styleId="PageNumber">
    <w:name w:val="page number"/>
    <w:basedOn w:val="DefaultParagraphFont"/>
    <w:rsid w:val="002C0D35"/>
  </w:style>
  <w:style w:type="paragraph" w:styleId="ListParagraph">
    <w:name w:val="List Paragraph"/>
    <w:basedOn w:val="Normal"/>
    <w:uiPriority w:val="34"/>
    <w:qFormat/>
    <w:rsid w:val="00612CC3"/>
    <w:pPr>
      <w:ind w:left="720"/>
      <w:contextualSpacing/>
    </w:pPr>
  </w:style>
  <w:style w:type="character" w:customStyle="1" w:styleId="FootnoteTextChar">
    <w:name w:val="Footnote Text Char"/>
    <w:link w:val="FootnoteText"/>
    <w:rsid w:val="00C568F9"/>
  </w:style>
  <w:style w:type="character" w:customStyle="1" w:styleId="Heading9Char">
    <w:name w:val="Heading 9 Char"/>
    <w:link w:val="Heading9"/>
    <w:uiPriority w:val="99"/>
    <w:rsid w:val="00E23829"/>
    <w:rPr>
      <w:b/>
      <w:kern w:val="14"/>
      <w:sz w:val="22"/>
    </w:rPr>
  </w:style>
  <w:style w:type="character" w:customStyle="1" w:styleId="TitleChar">
    <w:name w:val="Title Char"/>
    <w:link w:val="Title"/>
    <w:rsid w:val="007A3953"/>
    <w:rPr>
      <w:rFonts w:ascii="Arial" w:hAnsi="Arial" w:cs="Arial"/>
      <w:b/>
      <w:bCs/>
      <w:sz w:val="28"/>
      <w:szCs w:val="24"/>
    </w:rPr>
  </w:style>
  <w:style w:type="paragraph" w:styleId="BodyText">
    <w:name w:val="Body Text"/>
    <w:basedOn w:val="Normal"/>
    <w:link w:val="BodyTextChar"/>
    <w:rsid w:val="004843B3"/>
    <w:pPr>
      <w:spacing w:after="120"/>
    </w:pPr>
  </w:style>
  <w:style w:type="character" w:customStyle="1" w:styleId="BodyTextChar">
    <w:name w:val="Body Text Char"/>
    <w:link w:val="BodyText"/>
    <w:rsid w:val="004843B3"/>
    <w:rPr>
      <w:sz w:val="24"/>
      <w:szCs w:val="24"/>
    </w:rPr>
  </w:style>
  <w:style w:type="paragraph" w:styleId="Header">
    <w:name w:val="header"/>
    <w:basedOn w:val="Normal"/>
    <w:link w:val="HeaderChar"/>
    <w:rsid w:val="00237B72"/>
    <w:pPr>
      <w:tabs>
        <w:tab w:val="center" w:pos="4680"/>
        <w:tab w:val="right" w:pos="9360"/>
      </w:tabs>
    </w:pPr>
  </w:style>
  <w:style w:type="character" w:customStyle="1" w:styleId="HeaderChar">
    <w:name w:val="Header Char"/>
    <w:link w:val="Header"/>
    <w:rsid w:val="00237B72"/>
    <w:rPr>
      <w:sz w:val="24"/>
      <w:szCs w:val="24"/>
    </w:rPr>
  </w:style>
  <w:style w:type="paragraph" w:customStyle="1" w:styleId="ColorfulList-Accent11">
    <w:name w:val="Colorful List - Accent 11"/>
    <w:basedOn w:val="Normal"/>
    <w:uiPriority w:val="34"/>
    <w:qFormat/>
    <w:rsid w:val="00B500AD"/>
    <w:pPr>
      <w:ind w:left="720"/>
    </w:pPr>
  </w:style>
  <w:style w:type="paragraph" w:styleId="CommentText">
    <w:name w:val="annotation text"/>
    <w:basedOn w:val="Normal"/>
    <w:link w:val="CommentTextChar"/>
    <w:uiPriority w:val="99"/>
    <w:unhideWhenUsed/>
    <w:rsid w:val="00B81894"/>
    <w:rPr>
      <w:sz w:val="20"/>
      <w:szCs w:val="20"/>
    </w:rPr>
  </w:style>
  <w:style w:type="character" w:customStyle="1" w:styleId="CommentTextChar">
    <w:name w:val="Comment Text Char"/>
    <w:basedOn w:val="DefaultParagraphFont"/>
    <w:link w:val="CommentText"/>
    <w:uiPriority w:val="99"/>
    <w:rsid w:val="00B81894"/>
  </w:style>
  <w:style w:type="character" w:customStyle="1" w:styleId="Heading2Char">
    <w:name w:val="Heading 2 Char"/>
    <w:link w:val="Heading2"/>
    <w:rsid w:val="00C46E1E"/>
    <w:rPr>
      <w:rFonts w:ascii="Arial" w:hAnsi="Arial"/>
      <w:b/>
      <w:bCs/>
      <w:i/>
      <w:iCs/>
      <w:sz w:val="28"/>
      <w:szCs w:val="28"/>
    </w:rPr>
  </w:style>
  <w:style w:type="paragraph" w:styleId="BalloonText">
    <w:name w:val="Balloon Text"/>
    <w:basedOn w:val="Normal"/>
    <w:link w:val="BalloonTextChar"/>
    <w:rsid w:val="00304E6D"/>
    <w:rPr>
      <w:rFonts w:ascii="Segoe UI" w:hAnsi="Segoe UI" w:cs="Segoe UI"/>
      <w:sz w:val="18"/>
      <w:szCs w:val="18"/>
    </w:rPr>
  </w:style>
  <w:style w:type="character" w:customStyle="1" w:styleId="BalloonTextChar">
    <w:name w:val="Balloon Text Char"/>
    <w:link w:val="BalloonText"/>
    <w:rsid w:val="00304E6D"/>
    <w:rPr>
      <w:rFonts w:ascii="Segoe UI" w:hAnsi="Segoe UI" w:cs="Segoe UI"/>
      <w:sz w:val="18"/>
      <w:szCs w:val="18"/>
    </w:rPr>
  </w:style>
  <w:style w:type="character" w:customStyle="1" w:styleId="cf01">
    <w:name w:val="cf01"/>
    <w:basedOn w:val="DefaultParagraphFont"/>
    <w:rsid w:val="00A72C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80">
      <w:bodyDiv w:val="1"/>
      <w:marLeft w:val="0"/>
      <w:marRight w:val="0"/>
      <w:marTop w:val="0"/>
      <w:marBottom w:val="0"/>
      <w:divBdr>
        <w:top w:val="none" w:sz="0" w:space="0" w:color="auto"/>
        <w:left w:val="none" w:sz="0" w:space="0" w:color="auto"/>
        <w:bottom w:val="none" w:sz="0" w:space="0" w:color="auto"/>
        <w:right w:val="none" w:sz="0" w:space="0" w:color="auto"/>
      </w:divBdr>
    </w:div>
    <w:div w:id="119344485">
      <w:bodyDiv w:val="1"/>
      <w:marLeft w:val="0"/>
      <w:marRight w:val="0"/>
      <w:marTop w:val="0"/>
      <w:marBottom w:val="0"/>
      <w:divBdr>
        <w:top w:val="none" w:sz="0" w:space="0" w:color="auto"/>
        <w:left w:val="none" w:sz="0" w:space="0" w:color="auto"/>
        <w:bottom w:val="none" w:sz="0" w:space="0" w:color="auto"/>
        <w:right w:val="none" w:sz="0" w:space="0" w:color="auto"/>
      </w:divBdr>
    </w:div>
    <w:div w:id="130636067">
      <w:bodyDiv w:val="1"/>
      <w:marLeft w:val="0"/>
      <w:marRight w:val="0"/>
      <w:marTop w:val="0"/>
      <w:marBottom w:val="0"/>
      <w:divBdr>
        <w:top w:val="none" w:sz="0" w:space="0" w:color="auto"/>
        <w:left w:val="none" w:sz="0" w:space="0" w:color="auto"/>
        <w:bottom w:val="none" w:sz="0" w:space="0" w:color="auto"/>
        <w:right w:val="none" w:sz="0" w:space="0" w:color="auto"/>
      </w:divBdr>
    </w:div>
    <w:div w:id="194583608">
      <w:bodyDiv w:val="1"/>
      <w:marLeft w:val="0"/>
      <w:marRight w:val="0"/>
      <w:marTop w:val="0"/>
      <w:marBottom w:val="0"/>
      <w:divBdr>
        <w:top w:val="none" w:sz="0" w:space="0" w:color="auto"/>
        <w:left w:val="none" w:sz="0" w:space="0" w:color="auto"/>
        <w:bottom w:val="none" w:sz="0" w:space="0" w:color="auto"/>
        <w:right w:val="none" w:sz="0" w:space="0" w:color="auto"/>
      </w:divBdr>
    </w:div>
    <w:div w:id="219559756">
      <w:bodyDiv w:val="1"/>
      <w:marLeft w:val="0"/>
      <w:marRight w:val="0"/>
      <w:marTop w:val="0"/>
      <w:marBottom w:val="0"/>
      <w:divBdr>
        <w:top w:val="none" w:sz="0" w:space="0" w:color="auto"/>
        <w:left w:val="none" w:sz="0" w:space="0" w:color="auto"/>
        <w:bottom w:val="none" w:sz="0" w:space="0" w:color="auto"/>
        <w:right w:val="none" w:sz="0" w:space="0" w:color="auto"/>
      </w:divBdr>
    </w:div>
    <w:div w:id="267662795">
      <w:bodyDiv w:val="1"/>
      <w:marLeft w:val="0"/>
      <w:marRight w:val="0"/>
      <w:marTop w:val="0"/>
      <w:marBottom w:val="0"/>
      <w:divBdr>
        <w:top w:val="none" w:sz="0" w:space="0" w:color="auto"/>
        <w:left w:val="none" w:sz="0" w:space="0" w:color="auto"/>
        <w:bottom w:val="none" w:sz="0" w:space="0" w:color="auto"/>
        <w:right w:val="none" w:sz="0" w:space="0" w:color="auto"/>
      </w:divBdr>
    </w:div>
    <w:div w:id="278295300">
      <w:bodyDiv w:val="1"/>
      <w:marLeft w:val="0"/>
      <w:marRight w:val="0"/>
      <w:marTop w:val="0"/>
      <w:marBottom w:val="0"/>
      <w:divBdr>
        <w:top w:val="none" w:sz="0" w:space="0" w:color="auto"/>
        <w:left w:val="none" w:sz="0" w:space="0" w:color="auto"/>
        <w:bottom w:val="none" w:sz="0" w:space="0" w:color="auto"/>
        <w:right w:val="none" w:sz="0" w:space="0" w:color="auto"/>
      </w:divBdr>
    </w:div>
    <w:div w:id="281233248">
      <w:bodyDiv w:val="1"/>
      <w:marLeft w:val="0"/>
      <w:marRight w:val="0"/>
      <w:marTop w:val="0"/>
      <w:marBottom w:val="0"/>
      <w:divBdr>
        <w:top w:val="none" w:sz="0" w:space="0" w:color="auto"/>
        <w:left w:val="none" w:sz="0" w:space="0" w:color="auto"/>
        <w:bottom w:val="none" w:sz="0" w:space="0" w:color="auto"/>
        <w:right w:val="none" w:sz="0" w:space="0" w:color="auto"/>
      </w:divBdr>
    </w:div>
    <w:div w:id="307590741">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343291631">
      <w:bodyDiv w:val="1"/>
      <w:marLeft w:val="0"/>
      <w:marRight w:val="0"/>
      <w:marTop w:val="0"/>
      <w:marBottom w:val="0"/>
      <w:divBdr>
        <w:top w:val="none" w:sz="0" w:space="0" w:color="auto"/>
        <w:left w:val="none" w:sz="0" w:space="0" w:color="auto"/>
        <w:bottom w:val="none" w:sz="0" w:space="0" w:color="auto"/>
        <w:right w:val="none" w:sz="0" w:space="0" w:color="auto"/>
      </w:divBdr>
    </w:div>
    <w:div w:id="361173231">
      <w:bodyDiv w:val="1"/>
      <w:marLeft w:val="0"/>
      <w:marRight w:val="0"/>
      <w:marTop w:val="0"/>
      <w:marBottom w:val="0"/>
      <w:divBdr>
        <w:top w:val="none" w:sz="0" w:space="0" w:color="auto"/>
        <w:left w:val="none" w:sz="0" w:space="0" w:color="auto"/>
        <w:bottom w:val="none" w:sz="0" w:space="0" w:color="auto"/>
        <w:right w:val="none" w:sz="0" w:space="0" w:color="auto"/>
      </w:divBdr>
    </w:div>
    <w:div w:id="438330733">
      <w:bodyDiv w:val="1"/>
      <w:marLeft w:val="0"/>
      <w:marRight w:val="0"/>
      <w:marTop w:val="0"/>
      <w:marBottom w:val="0"/>
      <w:divBdr>
        <w:top w:val="none" w:sz="0" w:space="0" w:color="auto"/>
        <w:left w:val="none" w:sz="0" w:space="0" w:color="auto"/>
        <w:bottom w:val="none" w:sz="0" w:space="0" w:color="auto"/>
        <w:right w:val="none" w:sz="0" w:space="0" w:color="auto"/>
      </w:divBdr>
    </w:div>
    <w:div w:id="523904002">
      <w:bodyDiv w:val="1"/>
      <w:marLeft w:val="0"/>
      <w:marRight w:val="0"/>
      <w:marTop w:val="0"/>
      <w:marBottom w:val="0"/>
      <w:divBdr>
        <w:top w:val="none" w:sz="0" w:space="0" w:color="auto"/>
        <w:left w:val="none" w:sz="0" w:space="0" w:color="auto"/>
        <w:bottom w:val="none" w:sz="0" w:space="0" w:color="auto"/>
        <w:right w:val="none" w:sz="0" w:space="0" w:color="auto"/>
      </w:divBdr>
    </w:div>
    <w:div w:id="529343558">
      <w:bodyDiv w:val="1"/>
      <w:marLeft w:val="0"/>
      <w:marRight w:val="0"/>
      <w:marTop w:val="0"/>
      <w:marBottom w:val="0"/>
      <w:divBdr>
        <w:top w:val="none" w:sz="0" w:space="0" w:color="auto"/>
        <w:left w:val="none" w:sz="0" w:space="0" w:color="auto"/>
        <w:bottom w:val="none" w:sz="0" w:space="0" w:color="auto"/>
        <w:right w:val="none" w:sz="0" w:space="0" w:color="auto"/>
      </w:divBdr>
    </w:div>
    <w:div w:id="534268159">
      <w:bodyDiv w:val="1"/>
      <w:marLeft w:val="0"/>
      <w:marRight w:val="0"/>
      <w:marTop w:val="0"/>
      <w:marBottom w:val="0"/>
      <w:divBdr>
        <w:top w:val="none" w:sz="0" w:space="0" w:color="auto"/>
        <w:left w:val="none" w:sz="0" w:space="0" w:color="auto"/>
        <w:bottom w:val="none" w:sz="0" w:space="0" w:color="auto"/>
        <w:right w:val="none" w:sz="0" w:space="0" w:color="auto"/>
      </w:divBdr>
    </w:div>
    <w:div w:id="538711876">
      <w:bodyDiv w:val="1"/>
      <w:marLeft w:val="0"/>
      <w:marRight w:val="0"/>
      <w:marTop w:val="0"/>
      <w:marBottom w:val="0"/>
      <w:divBdr>
        <w:top w:val="none" w:sz="0" w:space="0" w:color="auto"/>
        <w:left w:val="none" w:sz="0" w:space="0" w:color="auto"/>
        <w:bottom w:val="none" w:sz="0" w:space="0" w:color="auto"/>
        <w:right w:val="none" w:sz="0" w:space="0" w:color="auto"/>
      </w:divBdr>
    </w:div>
    <w:div w:id="557135590">
      <w:bodyDiv w:val="1"/>
      <w:marLeft w:val="0"/>
      <w:marRight w:val="0"/>
      <w:marTop w:val="0"/>
      <w:marBottom w:val="0"/>
      <w:divBdr>
        <w:top w:val="none" w:sz="0" w:space="0" w:color="auto"/>
        <w:left w:val="none" w:sz="0" w:space="0" w:color="auto"/>
        <w:bottom w:val="none" w:sz="0" w:space="0" w:color="auto"/>
        <w:right w:val="none" w:sz="0" w:space="0" w:color="auto"/>
      </w:divBdr>
    </w:div>
    <w:div w:id="573781305">
      <w:bodyDiv w:val="1"/>
      <w:marLeft w:val="0"/>
      <w:marRight w:val="0"/>
      <w:marTop w:val="0"/>
      <w:marBottom w:val="0"/>
      <w:divBdr>
        <w:top w:val="none" w:sz="0" w:space="0" w:color="auto"/>
        <w:left w:val="none" w:sz="0" w:space="0" w:color="auto"/>
        <w:bottom w:val="none" w:sz="0" w:space="0" w:color="auto"/>
        <w:right w:val="none" w:sz="0" w:space="0" w:color="auto"/>
      </w:divBdr>
    </w:div>
    <w:div w:id="673186789">
      <w:bodyDiv w:val="1"/>
      <w:marLeft w:val="0"/>
      <w:marRight w:val="0"/>
      <w:marTop w:val="0"/>
      <w:marBottom w:val="0"/>
      <w:divBdr>
        <w:top w:val="none" w:sz="0" w:space="0" w:color="auto"/>
        <w:left w:val="none" w:sz="0" w:space="0" w:color="auto"/>
        <w:bottom w:val="none" w:sz="0" w:space="0" w:color="auto"/>
        <w:right w:val="none" w:sz="0" w:space="0" w:color="auto"/>
      </w:divBdr>
    </w:div>
    <w:div w:id="696927539">
      <w:bodyDiv w:val="1"/>
      <w:marLeft w:val="0"/>
      <w:marRight w:val="0"/>
      <w:marTop w:val="0"/>
      <w:marBottom w:val="0"/>
      <w:divBdr>
        <w:top w:val="none" w:sz="0" w:space="0" w:color="auto"/>
        <w:left w:val="none" w:sz="0" w:space="0" w:color="auto"/>
        <w:bottom w:val="none" w:sz="0" w:space="0" w:color="auto"/>
        <w:right w:val="none" w:sz="0" w:space="0" w:color="auto"/>
      </w:divBdr>
    </w:div>
    <w:div w:id="741412449">
      <w:bodyDiv w:val="1"/>
      <w:marLeft w:val="0"/>
      <w:marRight w:val="0"/>
      <w:marTop w:val="0"/>
      <w:marBottom w:val="0"/>
      <w:divBdr>
        <w:top w:val="none" w:sz="0" w:space="0" w:color="auto"/>
        <w:left w:val="none" w:sz="0" w:space="0" w:color="auto"/>
        <w:bottom w:val="none" w:sz="0" w:space="0" w:color="auto"/>
        <w:right w:val="none" w:sz="0" w:space="0" w:color="auto"/>
      </w:divBdr>
    </w:div>
    <w:div w:id="788427464">
      <w:bodyDiv w:val="1"/>
      <w:marLeft w:val="0"/>
      <w:marRight w:val="0"/>
      <w:marTop w:val="0"/>
      <w:marBottom w:val="0"/>
      <w:divBdr>
        <w:top w:val="none" w:sz="0" w:space="0" w:color="auto"/>
        <w:left w:val="none" w:sz="0" w:space="0" w:color="auto"/>
        <w:bottom w:val="none" w:sz="0" w:space="0" w:color="auto"/>
        <w:right w:val="none" w:sz="0" w:space="0" w:color="auto"/>
      </w:divBdr>
    </w:div>
    <w:div w:id="804084352">
      <w:bodyDiv w:val="1"/>
      <w:marLeft w:val="0"/>
      <w:marRight w:val="0"/>
      <w:marTop w:val="0"/>
      <w:marBottom w:val="0"/>
      <w:divBdr>
        <w:top w:val="none" w:sz="0" w:space="0" w:color="auto"/>
        <w:left w:val="none" w:sz="0" w:space="0" w:color="auto"/>
        <w:bottom w:val="none" w:sz="0" w:space="0" w:color="auto"/>
        <w:right w:val="none" w:sz="0" w:space="0" w:color="auto"/>
      </w:divBdr>
    </w:div>
    <w:div w:id="826745184">
      <w:bodyDiv w:val="1"/>
      <w:marLeft w:val="0"/>
      <w:marRight w:val="0"/>
      <w:marTop w:val="0"/>
      <w:marBottom w:val="0"/>
      <w:divBdr>
        <w:top w:val="none" w:sz="0" w:space="0" w:color="auto"/>
        <w:left w:val="none" w:sz="0" w:space="0" w:color="auto"/>
        <w:bottom w:val="none" w:sz="0" w:space="0" w:color="auto"/>
        <w:right w:val="none" w:sz="0" w:space="0" w:color="auto"/>
      </w:divBdr>
    </w:div>
    <w:div w:id="924189046">
      <w:bodyDiv w:val="1"/>
      <w:marLeft w:val="0"/>
      <w:marRight w:val="0"/>
      <w:marTop w:val="0"/>
      <w:marBottom w:val="0"/>
      <w:divBdr>
        <w:top w:val="none" w:sz="0" w:space="0" w:color="auto"/>
        <w:left w:val="none" w:sz="0" w:space="0" w:color="auto"/>
        <w:bottom w:val="none" w:sz="0" w:space="0" w:color="auto"/>
        <w:right w:val="none" w:sz="0" w:space="0" w:color="auto"/>
      </w:divBdr>
    </w:div>
    <w:div w:id="958335388">
      <w:bodyDiv w:val="1"/>
      <w:marLeft w:val="0"/>
      <w:marRight w:val="0"/>
      <w:marTop w:val="0"/>
      <w:marBottom w:val="0"/>
      <w:divBdr>
        <w:top w:val="none" w:sz="0" w:space="0" w:color="auto"/>
        <w:left w:val="none" w:sz="0" w:space="0" w:color="auto"/>
        <w:bottom w:val="none" w:sz="0" w:space="0" w:color="auto"/>
        <w:right w:val="none" w:sz="0" w:space="0" w:color="auto"/>
      </w:divBdr>
    </w:div>
    <w:div w:id="962617935">
      <w:bodyDiv w:val="1"/>
      <w:marLeft w:val="0"/>
      <w:marRight w:val="0"/>
      <w:marTop w:val="0"/>
      <w:marBottom w:val="0"/>
      <w:divBdr>
        <w:top w:val="none" w:sz="0" w:space="0" w:color="auto"/>
        <w:left w:val="none" w:sz="0" w:space="0" w:color="auto"/>
        <w:bottom w:val="none" w:sz="0" w:space="0" w:color="auto"/>
        <w:right w:val="none" w:sz="0" w:space="0" w:color="auto"/>
      </w:divBdr>
    </w:div>
    <w:div w:id="987132611">
      <w:bodyDiv w:val="1"/>
      <w:marLeft w:val="0"/>
      <w:marRight w:val="0"/>
      <w:marTop w:val="0"/>
      <w:marBottom w:val="0"/>
      <w:divBdr>
        <w:top w:val="none" w:sz="0" w:space="0" w:color="auto"/>
        <w:left w:val="none" w:sz="0" w:space="0" w:color="auto"/>
        <w:bottom w:val="none" w:sz="0" w:space="0" w:color="auto"/>
        <w:right w:val="none" w:sz="0" w:space="0" w:color="auto"/>
      </w:divBdr>
    </w:div>
    <w:div w:id="995037209">
      <w:bodyDiv w:val="1"/>
      <w:marLeft w:val="0"/>
      <w:marRight w:val="0"/>
      <w:marTop w:val="0"/>
      <w:marBottom w:val="0"/>
      <w:divBdr>
        <w:top w:val="none" w:sz="0" w:space="0" w:color="auto"/>
        <w:left w:val="none" w:sz="0" w:space="0" w:color="auto"/>
        <w:bottom w:val="none" w:sz="0" w:space="0" w:color="auto"/>
        <w:right w:val="none" w:sz="0" w:space="0" w:color="auto"/>
      </w:divBdr>
    </w:div>
    <w:div w:id="1028335033">
      <w:bodyDiv w:val="1"/>
      <w:marLeft w:val="0"/>
      <w:marRight w:val="0"/>
      <w:marTop w:val="0"/>
      <w:marBottom w:val="0"/>
      <w:divBdr>
        <w:top w:val="none" w:sz="0" w:space="0" w:color="auto"/>
        <w:left w:val="none" w:sz="0" w:space="0" w:color="auto"/>
        <w:bottom w:val="none" w:sz="0" w:space="0" w:color="auto"/>
        <w:right w:val="none" w:sz="0" w:space="0" w:color="auto"/>
      </w:divBdr>
    </w:div>
    <w:div w:id="1029530001">
      <w:bodyDiv w:val="1"/>
      <w:marLeft w:val="0"/>
      <w:marRight w:val="0"/>
      <w:marTop w:val="0"/>
      <w:marBottom w:val="0"/>
      <w:divBdr>
        <w:top w:val="none" w:sz="0" w:space="0" w:color="auto"/>
        <w:left w:val="none" w:sz="0" w:space="0" w:color="auto"/>
        <w:bottom w:val="none" w:sz="0" w:space="0" w:color="auto"/>
        <w:right w:val="none" w:sz="0" w:space="0" w:color="auto"/>
      </w:divBdr>
    </w:div>
    <w:div w:id="1062556147">
      <w:bodyDiv w:val="1"/>
      <w:marLeft w:val="0"/>
      <w:marRight w:val="0"/>
      <w:marTop w:val="0"/>
      <w:marBottom w:val="0"/>
      <w:divBdr>
        <w:top w:val="none" w:sz="0" w:space="0" w:color="auto"/>
        <w:left w:val="none" w:sz="0" w:space="0" w:color="auto"/>
        <w:bottom w:val="none" w:sz="0" w:space="0" w:color="auto"/>
        <w:right w:val="none" w:sz="0" w:space="0" w:color="auto"/>
      </w:divBdr>
    </w:div>
    <w:div w:id="1085688301">
      <w:bodyDiv w:val="1"/>
      <w:marLeft w:val="0"/>
      <w:marRight w:val="0"/>
      <w:marTop w:val="0"/>
      <w:marBottom w:val="0"/>
      <w:divBdr>
        <w:top w:val="none" w:sz="0" w:space="0" w:color="auto"/>
        <w:left w:val="none" w:sz="0" w:space="0" w:color="auto"/>
        <w:bottom w:val="none" w:sz="0" w:space="0" w:color="auto"/>
        <w:right w:val="none" w:sz="0" w:space="0" w:color="auto"/>
      </w:divBdr>
    </w:div>
    <w:div w:id="1121386811">
      <w:bodyDiv w:val="1"/>
      <w:marLeft w:val="0"/>
      <w:marRight w:val="0"/>
      <w:marTop w:val="0"/>
      <w:marBottom w:val="0"/>
      <w:divBdr>
        <w:top w:val="none" w:sz="0" w:space="0" w:color="auto"/>
        <w:left w:val="none" w:sz="0" w:space="0" w:color="auto"/>
        <w:bottom w:val="none" w:sz="0" w:space="0" w:color="auto"/>
        <w:right w:val="none" w:sz="0" w:space="0" w:color="auto"/>
      </w:divBdr>
    </w:div>
    <w:div w:id="1148089278">
      <w:bodyDiv w:val="1"/>
      <w:marLeft w:val="0"/>
      <w:marRight w:val="0"/>
      <w:marTop w:val="0"/>
      <w:marBottom w:val="0"/>
      <w:divBdr>
        <w:top w:val="none" w:sz="0" w:space="0" w:color="auto"/>
        <w:left w:val="none" w:sz="0" w:space="0" w:color="auto"/>
        <w:bottom w:val="none" w:sz="0" w:space="0" w:color="auto"/>
        <w:right w:val="none" w:sz="0" w:space="0" w:color="auto"/>
      </w:divBdr>
    </w:div>
    <w:div w:id="1166358736">
      <w:bodyDiv w:val="1"/>
      <w:marLeft w:val="0"/>
      <w:marRight w:val="0"/>
      <w:marTop w:val="0"/>
      <w:marBottom w:val="0"/>
      <w:divBdr>
        <w:top w:val="none" w:sz="0" w:space="0" w:color="auto"/>
        <w:left w:val="none" w:sz="0" w:space="0" w:color="auto"/>
        <w:bottom w:val="none" w:sz="0" w:space="0" w:color="auto"/>
        <w:right w:val="none" w:sz="0" w:space="0" w:color="auto"/>
      </w:divBdr>
    </w:div>
    <w:div w:id="1172068561">
      <w:bodyDiv w:val="1"/>
      <w:marLeft w:val="0"/>
      <w:marRight w:val="0"/>
      <w:marTop w:val="0"/>
      <w:marBottom w:val="0"/>
      <w:divBdr>
        <w:top w:val="none" w:sz="0" w:space="0" w:color="auto"/>
        <w:left w:val="none" w:sz="0" w:space="0" w:color="auto"/>
        <w:bottom w:val="none" w:sz="0" w:space="0" w:color="auto"/>
        <w:right w:val="none" w:sz="0" w:space="0" w:color="auto"/>
      </w:divBdr>
    </w:div>
    <w:div w:id="1292249082">
      <w:bodyDiv w:val="1"/>
      <w:marLeft w:val="0"/>
      <w:marRight w:val="0"/>
      <w:marTop w:val="0"/>
      <w:marBottom w:val="0"/>
      <w:divBdr>
        <w:top w:val="none" w:sz="0" w:space="0" w:color="auto"/>
        <w:left w:val="none" w:sz="0" w:space="0" w:color="auto"/>
        <w:bottom w:val="none" w:sz="0" w:space="0" w:color="auto"/>
        <w:right w:val="none" w:sz="0" w:space="0" w:color="auto"/>
      </w:divBdr>
    </w:div>
    <w:div w:id="1320310898">
      <w:bodyDiv w:val="1"/>
      <w:marLeft w:val="0"/>
      <w:marRight w:val="0"/>
      <w:marTop w:val="0"/>
      <w:marBottom w:val="0"/>
      <w:divBdr>
        <w:top w:val="none" w:sz="0" w:space="0" w:color="auto"/>
        <w:left w:val="none" w:sz="0" w:space="0" w:color="auto"/>
        <w:bottom w:val="none" w:sz="0" w:space="0" w:color="auto"/>
        <w:right w:val="none" w:sz="0" w:space="0" w:color="auto"/>
      </w:divBdr>
    </w:div>
    <w:div w:id="1330060538">
      <w:bodyDiv w:val="1"/>
      <w:marLeft w:val="0"/>
      <w:marRight w:val="0"/>
      <w:marTop w:val="0"/>
      <w:marBottom w:val="0"/>
      <w:divBdr>
        <w:top w:val="none" w:sz="0" w:space="0" w:color="auto"/>
        <w:left w:val="none" w:sz="0" w:space="0" w:color="auto"/>
        <w:bottom w:val="none" w:sz="0" w:space="0" w:color="auto"/>
        <w:right w:val="none" w:sz="0" w:space="0" w:color="auto"/>
      </w:divBdr>
    </w:div>
    <w:div w:id="1374185938">
      <w:bodyDiv w:val="1"/>
      <w:marLeft w:val="0"/>
      <w:marRight w:val="0"/>
      <w:marTop w:val="0"/>
      <w:marBottom w:val="0"/>
      <w:divBdr>
        <w:top w:val="none" w:sz="0" w:space="0" w:color="auto"/>
        <w:left w:val="none" w:sz="0" w:space="0" w:color="auto"/>
        <w:bottom w:val="none" w:sz="0" w:space="0" w:color="auto"/>
        <w:right w:val="none" w:sz="0" w:space="0" w:color="auto"/>
      </w:divBdr>
    </w:div>
    <w:div w:id="1432819177">
      <w:bodyDiv w:val="1"/>
      <w:marLeft w:val="0"/>
      <w:marRight w:val="0"/>
      <w:marTop w:val="0"/>
      <w:marBottom w:val="0"/>
      <w:divBdr>
        <w:top w:val="none" w:sz="0" w:space="0" w:color="auto"/>
        <w:left w:val="none" w:sz="0" w:space="0" w:color="auto"/>
        <w:bottom w:val="none" w:sz="0" w:space="0" w:color="auto"/>
        <w:right w:val="none" w:sz="0" w:space="0" w:color="auto"/>
      </w:divBdr>
    </w:div>
    <w:div w:id="1446533426">
      <w:bodyDiv w:val="1"/>
      <w:marLeft w:val="0"/>
      <w:marRight w:val="0"/>
      <w:marTop w:val="0"/>
      <w:marBottom w:val="0"/>
      <w:divBdr>
        <w:top w:val="none" w:sz="0" w:space="0" w:color="auto"/>
        <w:left w:val="none" w:sz="0" w:space="0" w:color="auto"/>
        <w:bottom w:val="none" w:sz="0" w:space="0" w:color="auto"/>
        <w:right w:val="none" w:sz="0" w:space="0" w:color="auto"/>
      </w:divBdr>
    </w:div>
    <w:div w:id="1535145555">
      <w:bodyDiv w:val="1"/>
      <w:marLeft w:val="0"/>
      <w:marRight w:val="0"/>
      <w:marTop w:val="0"/>
      <w:marBottom w:val="0"/>
      <w:divBdr>
        <w:top w:val="none" w:sz="0" w:space="0" w:color="auto"/>
        <w:left w:val="none" w:sz="0" w:space="0" w:color="auto"/>
        <w:bottom w:val="none" w:sz="0" w:space="0" w:color="auto"/>
        <w:right w:val="none" w:sz="0" w:space="0" w:color="auto"/>
      </w:divBdr>
    </w:div>
    <w:div w:id="1545605369">
      <w:bodyDiv w:val="1"/>
      <w:marLeft w:val="0"/>
      <w:marRight w:val="0"/>
      <w:marTop w:val="0"/>
      <w:marBottom w:val="0"/>
      <w:divBdr>
        <w:top w:val="none" w:sz="0" w:space="0" w:color="auto"/>
        <w:left w:val="none" w:sz="0" w:space="0" w:color="auto"/>
        <w:bottom w:val="none" w:sz="0" w:space="0" w:color="auto"/>
        <w:right w:val="none" w:sz="0" w:space="0" w:color="auto"/>
      </w:divBdr>
    </w:div>
    <w:div w:id="1626035191">
      <w:bodyDiv w:val="1"/>
      <w:marLeft w:val="0"/>
      <w:marRight w:val="0"/>
      <w:marTop w:val="0"/>
      <w:marBottom w:val="0"/>
      <w:divBdr>
        <w:top w:val="none" w:sz="0" w:space="0" w:color="auto"/>
        <w:left w:val="none" w:sz="0" w:space="0" w:color="auto"/>
        <w:bottom w:val="none" w:sz="0" w:space="0" w:color="auto"/>
        <w:right w:val="none" w:sz="0" w:space="0" w:color="auto"/>
      </w:divBdr>
    </w:div>
    <w:div w:id="1686636798">
      <w:bodyDiv w:val="1"/>
      <w:marLeft w:val="0"/>
      <w:marRight w:val="0"/>
      <w:marTop w:val="0"/>
      <w:marBottom w:val="0"/>
      <w:divBdr>
        <w:top w:val="none" w:sz="0" w:space="0" w:color="auto"/>
        <w:left w:val="none" w:sz="0" w:space="0" w:color="auto"/>
        <w:bottom w:val="none" w:sz="0" w:space="0" w:color="auto"/>
        <w:right w:val="none" w:sz="0" w:space="0" w:color="auto"/>
      </w:divBdr>
    </w:div>
    <w:div w:id="1698583650">
      <w:bodyDiv w:val="1"/>
      <w:marLeft w:val="0"/>
      <w:marRight w:val="0"/>
      <w:marTop w:val="0"/>
      <w:marBottom w:val="0"/>
      <w:divBdr>
        <w:top w:val="none" w:sz="0" w:space="0" w:color="auto"/>
        <w:left w:val="none" w:sz="0" w:space="0" w:color="auto"/>
        <w:bottom w:val="none" w:sz="0" w:space="0" w:color="auto"/>
        <w:right w:val="none" w:sz="0" w:space="0" w:color="auto"/>
      </w:divBdr>
    </w:div>
    <w:div w:id="1706521377">
      <w:bodyDiv w:val="1"/>
      <w:marLeft w:val="0"/>
      <w:marRight w:val="0"/>
      <w:marTop w:val="0"/>
      <w:marBottom w:val="0"/>
      <w:divBdr>
        <w:top w:val="none" w:sz="0" w:space="0" w:color="auto"/>
        <w:left w:val="none" w:sz="0" w:space="0" w:color="auto"/>
        <w:bottom w:val="none" w:sz="0" w:space="0" w:color="auto"/>
        <w:right w:val="none" w:sz="0" w:space="0" w:color="auto"/>
      </w:divBdr>
    </w:div>
    <w:div w:id="1812864146">
      <w:bodyDiv w:val="1"/>
      <w:marLeft w:val="0"/>
      <w:marRight w:val="0"/>
      <w:marTop w:val="0"/>
      <w:marBottom w:val="0"/>
      <w:divBdr>
        <w:top w:val="none" w:sz="0" w:space="0" w:color="auto"/>
        <w:left w:val="none" w:sz="0" w:space="0" w:color="auto"/>
        <w:bottom w:val="none" w:sz="0" w:space="0" w:color="auto"/>
        <w:right w:val="none" w:sz="0" w:space="0" w:color="auto"/>
      </w:divBdr>
    </w:div>
    <w:div w:id="1844855891">
      <w:bodyDiv w:val="1"/>
      <w:marLeft w:val="0"/>
      <w:marRight w:val="0"/>
      <w:marTop w:val="0"/>
      <w:marBottom w:val="0"/>
      <w:divBdr>
        <w:top w:val="none" w:sz="0" w:space="0" w:color="auto"/>
        <w:left w:val="none" w:sz="0" w:space="0" w:color="auto"/>
        <w:bottom w:val="none" w:sz="0" w:space="0" w:color="auto"/>
        <w:right w:val="none" w:sz="0" w:space="0" w:color="auto"/>
      </w:divBdr>
    </w:div>
    <w:div w:id="1900314399">
      <w:bodyDiv w:val="1"/>
      <w:marLeft w:val="0"/>
      <w:marRight w:val="0"/>
      <w:marTop w:val="0"/>
      <w:marBottom w:val="0"/>
      <w:divBdr>
        <w:top w:val="none" w:sz="0" w:space="0" w:color="auto"/>
        <w:left w:val="none" w:sz="0" w:space="0" w:color="auto"/>
        <w:bottom w:val="none" w:sz="0" w:space="0" w:color="auto"/>
        <w:right w:val="none" w:sz="0" w:space="0" w:color="auto"/>
      </w:divBdr>
    </w:div>
    <w:div w:id="1933397006">
      <w:bodyDiv w:val="1"/>
      <w:marLeft w:val="0"/>
      <w:marRight w:val="0"/>
      <w:marTop w:val="0"/>
      <w:marBottom w:val="0"/>
      <w:divBdr>
        <w:top w:val="none" w:sz="0" w:space="0" w:color="auto"/>
        <w:left w:val="none" w:sz="0" w:space="0" w:color="auto"/>
        <w:bottom w:val="none" w:sz="0" w:space="0" w:color="auto"/>
        <w:right w:val="none" w:sz="0" w:space="0" w:color="auto"/>
      </w:divBdr>
    </w:div>
    <w:div w:id="2001470395">
      <w:bodyDiv w:val="1"/>
      <w:marLeft w:val="0"/>
      <w:marRight w:val="0"/>
      <w:marTop w:val="0"/>
      <w:marBottom w:val="0"/>
      <w:divBdr>
        <w:top w:val="none" w:sz="0" w:space="0" w:color="auto"/>
        <w:left w:val="none" w:sz="0" w:space="0" w:color="auto"/>
        <w:bottom w:val="none" w:sz="0" w:space="0" w:color="auto"/>
        <w:right w:val="none" w:sz="0" w:space="0" w:color="auto"/>
      </w:divBdr>
    </w:div>
    <w:div w:id="2007322184">
      <w:bodyDiv w:val="1"/>
      <w:marLeft w:val="0"/>
      <w:marRight w:val="0"/>
      <w:marTop w:val="0"/>
      <w:marBottom w:val="0"/>
      <w:divBdr>
        <w:top w:val="none" w:sz="0" w:space="0" w:color="auto"/>
        <w:left w:val="none" w:sz="0" w:space="0" w:color="auto"/>
        <w:bottom w:val="none" w:sz="0" w:space="0" w:color="auto"/>
        <w:right w:val="none" w:sz="0" w:space="0" w:color="auto"/>
      </w:divBdr>
    </w:div>
    <w:div w:id="2014141898">
      <w:bodyDiv w:val="1"/>
      <w:marLeft w:val="0"/>
      <w:marRight w:val="0"/>
      <w:marTop w:val="0"/>
      <w:marBottom w:val="0"/>
      <w:divBdr>
        <w:top w:val="none" w:sz="0" w:space="0" w:color="auto"/>
        <w:left w:val="none" w:sz="0" w:space="0" w:color="auto"/>
        <w:bottom w:val="none" w:sz="0" w:space="0" w:color="auto"/>
        <w:right w:val="none" w:sz="0" w:space="0" w:color="auto"/>
      </w:divBdr>
    </w:div>
    <w:div w:id="209126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C2546F9-56C4-40A1-8AE9-FA4215A3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2E5A3-BD5D-4609-AC5E-40D53E5402D6}">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3.xml><?xml version="1.0" encoding="utf-8"?>
<ds:datastoreItem xmlns:ds="http://schemas.openxmlformats.org/officeDocument/2006/customXml" ds:itemID="{196F0D84-309D-4B4F-9D3C-F8CEA550FA70}">
  <ds:schemaRefs>
    <ds:schemaRef ds:uri="http://schemas.microsoft.com/sharepoint/v3/contenttype/forms"/>
  </ds:schemaRefs>
</ds:datastoreItem>
</file>

<file path=customXml/itemProps4.xml><?xml version="1.0" encoding="utf-8"?>
<ds:datastoreItem xmlns:ds="http://schemas.openxmlformats.org/officeDocument/2006/customXml" ds:itemID="{627CEE56-890C-49FE-AA7C-7EFBFA8D0F0B}">
  <ds:schemaRefs>
    <ds:schemaRef ds:uri="http://schemas.openxmlformats.org/officeDocument/2006/bibliography"/>
  </ds:schemaRefs>
</ds:datastoreItem>
</file>

<file path=customXml/itemProps5.xml><?xml version="1.0" encoding="utf-8"?>
<ds:datastoreItem xmlns:ds="http://schemas.openxmlformats.org/officeDocument/2006/customXml" ds:itemID="{066A2D30-073C-449D-B33D-600B4E61B6EE}">
  <ds:schemaRefs>
    <ds:schemaRef ds:uri="http://schemas.microsoft.com/office/2006/metadata/longPropertie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1525</Words>
  <Characters>8695</Characters>
  <Application>Microsoft Office Word</Application>
  <DocSecurity>0</DocSecurity>
  <Lines>72</Lines>
  <Paragraphs>20</Paragraphs>
  <ScaleCrop>false</ScaleCrop>
  <Company>UNEP</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Tasks for the Secretariat as decided by MOP4</dc:title>
  <dc:subject/>
  <dc:creator>sdereliev</dc:creator>
  <cp:keywords/>
  <cp:lastModifiedBy>Jeannine Dicken</cp:lastModifiedBy>
  <cp:revision>9</cp:revision>
  <cp:lastPrinted>2019-01-08T12:33:00Z</cp:lastPrinted>
  <dcterms:created xsi:type="dcterms:W3CDTF">2026-02-11T11:04:00Z</dcterms:created>
  <dcterms:modified xsi:type="dcterms:W3CDTF">2026-02-11T11:09:00Z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Catherine Lehmann</vt:lpwstr>
  </property>
  <property fmtid="{D5CDD505-2E9C-101B-9397-08002B2CF9AE}" pid="3" name="display_urn:schemas-microsoft-com:office:office#Author">
    <vt:lpwstr>Thilan Mannan(Affiliate)</vt:lpwstr>
  </property>
  <property fmtid="{D5CDD505-2E9C-101B-9397-08002B2CF9AE}" pid="4" name="MediaServiceImageTags">
    <vt:lpwstr/>
  </property>
  <property fmtid="{D5CDD505-2E9C-101B-9397-08002B2CF9AE}" pid="5" name="MSIP_Label_8b77875e-5908-45a0-9cb4-dec9ae074618_Enabled">
    <vt:lpwstr>true</vt:lpwstr>
  </property>
  <property fmtid="{D5CDD505-2E9C-101B-9397-08002B2CF9AE}" pid="6" name="MSIP_Label_8b77875e-5908-45a0-9cb4-dec9ae074618_SetDate">
    <vt:lpwstr>2025-12-18T09:39:08Z</vt:lpwstr>
  </property>
  <property fmtid="{D5CDD505-2E9C-101B-9397-08002B2CF9AE}" pid="7" name="MSIP_Label_8b77875e-5908-45a0-9cb4-dec9ae074618_Method">
    <vt:lpwstr>Standard</vt:lpwstr>
  </property>
  <property fmtid="{D5CDD505-2E9C-101B-9397-08002B2CF9AE}" pid="8" name="MSIP_Label_8b77875e-5908-45a0-9cb4-dec9ae074618_Name">
    <vt:lpwstr>8b77875e-5908-45a0-9cb4-dec9ae074618</vt:lpwstr>
  </property>
  <property fmtid="{D5CDD505-2E9C-101B-9397-08002B2CF9AE}" pid="9" name="MSIP_Label_8b77875e-5908-45a0-9cb4-dec9ae074618_SiteId">
    <vt:lpwstr>0f9e35db-544f-4f60-bdcc-5ea416e6dc70</vt:lpwstr>
  </property>
  <property fmtid="{D5CDD505-2E9C-101B-9397-08002B2CF9AE}" pid="10" name="MSIP_Label_8b77875e-5908-45a0-9cb4-dec9ae074618_ActionId">
    <vt:lpwstr>0bc72a87-d1ad-44b9-88b3-08e3e991f6a3</vt:lpwstr>
  </property>
  <property fmtid="{D5CDD505-2E9C-101B-9397-08002B2CF9AE}" pid="11" name="MSIP_Label_8b77875e-5908-45a0-9cb4-dec9ae074618_ContentBits">
    <vt:lpwstr>0</vt:lpwstr>
  </property>
  <property fmtid="{D5CDD505-2E9C-101B-9397-08002B2CF9AE}" pid="12" name="ContentTypeId">
    <vt:lpwstr>0x0101009F09DCFA7D0A954092E7BE962C352E77</vt:lpwstr>
  </property>
</Properties>
</file>