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6FC" w:rsidRDefault="00135C9B">
      <w:pPr>
        <w:widowControl w:val="0"/>
        <w:autoSpaceDE w:val="0"/>
        <w:spacing w:after="252" w:line="240" w:lineRule="auto"/>
        <w:jc w:val="center"/>
      </w:pPr>
      <w:r>
        <w:rPr>
          <w:rFonts w:ascii="Times New Roman" w:eastAsia="Times New Roman" w:hAnsi="Times New Roman"/>
          <w:noProof/>
          <w:color w:val="000000"/>
          <w:sz w:val="23"/>
          <w:szCs w:val="23"/>
          <w:lang w:eastAsia="en-GB"/>
        </w:rPr>
        <mc:AlternateContent>
          <mc:Choice Requires="wps">
            <w:drawing>
              <wp:anchor distT="0" distB="0" distL="114300" distR="114300" simplePos="0" relativeHeight="251657216" behindDoc="0" locked="0" layoutInCell="1" allowOverlap="1">
                <wp:simplePos x="0" y="0"/>
                <wp:positionH relativeFrom="page">
                  <wp:posOffset>652058</wp:posOffset>
                </wp:positionH>
                <wp:positionV relativeFrom="page">
                  <wp:posOffset>457748</wp:posOffset>
                </wp:positionV>
                <wp:extent cx="1583055" cy="771525"/>
                <wp:effectExtent l="0" t="0" r="17145" b="9525"/>
                <wp:wrapSquare wrapText="bothSides"/>
                <wp:docPr id="2" name="Text Box 2"/>
                <wp:cNvGraphicFramePr/>
                <a:graphic xmlns:a="http://schemas.openxmlformats.org/drawingml/2006/main">
                  <a:graphicData uri="http://schemas.microsoft.com/office/word/2010/wordprocessingShape">
                    <wps:wsp>
                      <wps:cNvSpPr txBox="1"/>
                      <wps:spPr>
                        <a:xfrm>
                          <a:off x="0" y="0"/>
                          <a:ext cx="1583055" cy="771525"/>
                        </a:xfrm>
                        <a:prstGeom prst="rect">
                          <a:avLst/>
                        </a:prstGeom>
                        <a:noFill/>
                        <a:ln>
                          <a:noFill/>
                          <a:prstDash/>
                        </a:ln>
                      </wps:spPr>
                      <wps:txbx>
                        <w:txbxContent>
                          <w:p w:rsidR="003C76FC" w:rsidRDefault="003C76FC">
                            <w:pPr>
                              <w:widowControl w:val="0"/>
                              <w:autoSpaceDE w:val="0"/>
                              <w:spacing w:after="940" w:line="240" w:lineRule="auto"/>
                              <w:rPr>
                                <w:rFonts w:ascii="Times New Roman" w:eastAsia="Times New Roman" w:hAnsi="Times New Roman"/>
                                <w:color w:val="000000"/>
                                <w:sz w:val="24"/>
                                <w:szCs w:val="24"/>
                              </w:rPr>
                            </w:pPr>
                          </w:p>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35pt;margin-top:36.05pt;width:124.65pt;height:60.7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" filled="f" stroked="f">
                <v:textbox style="mso-fit-shape-to-text:t" inset="0,0,0,0">
                  <w:txbxContent>
                    <w:p w:rsidR="003C76FC" w:rsidRDefault="003C76FC">
                      <w:pPr>
                        <w:widowControl w:val="0"/>
                        <w:autoSpaceDE w:val="0"/>
                        <w:spacing w:after="940" w:line="240" w:lineRule="auto"/>
                        <w:rPr>
                          <w:rFonts w:ascii="Times New Roman" w:eastAsia="Times New Roman" w:hAnsi="Times New Roman"/>
                          <w:color w:val="000000"/>
                          <w:sz w:val="24"/>
                          <w:szCs w:val="24"/>
                        </w:rPr>
                      </w:pPr>
                    </w:p>
                  </w:txbxContent>
                </v:textbox>
                <w10:wrap type="square" anchorx="page" anchory="page"/>
              </v:shape>
            </w:pict>
          </mc:Fallback>
        </mc:AlternateContent>
      </w:r>
      <w:r>
        <w:rPr>
          <w:rFonts w:ascii="Times New Roman" w:eastAsia="Times New Roman" w:hAnsi="Times New Roman"/>
          <w:noProof/>
          <w:color w:val="000000"/>
          <w:sz w:val="23"/>
          <w:szCs w:val="23"/>
          <w:lang w:eastAsia="en-GB"/>
        </w:rPr>
        <mc:AlternateContent>
          <mc:Choice Requires="wps">
            <w:drawing>
              <wp:anchor distT="0" distB="0" distL="114300" distR="114300" simplePos="0" relativeHeight="251658240" behindDoc="0" locked="0" layoutInCell="1" allowOverlap="1">
                <wp:simplePos x="0" y="0"/>
                <wp:positionH relativeFrom="page">
                  <wp:posOffset>6262999</wp:posOffset>
                </wp:positionH>
                <wp:positionV relativeFrom="page">
                  <wp:posOffset>450799</wp:posOffset>
                </wp:positionV>
                <wp:extent cx="1152528" cy="731520"/>
                <wp:effectExtent l="0" t="0" r="9522" b="11430"/>
                <wp:wrapSquare wrapText="bothSides"/>
                <wp:docPr id="3" name="Text Box 3"/>
                <wp:cNvGraphicFramePr/>
                <a:graphic xmlns:a="http://schemas.openxmlformats.org/drawingml/2006/main">
                  <a:graphicData uri="http://schemas.microsoft.com/office/word/2010/wordprocessingShape">
                    <wps:wsp>
                      <wps:cNvSpPr txBox="1"/>
                      <wps:spPr>
                        <a:xfrm>
                          <a:off x="0" y="0"/>
                          <a:ext cx="1152528" cy="731520"/>
                        </a:xfrm>
                        <a:prstGeom prst="rect">
                          <a:avLst/>
                        </a:prstGeom>
                        <a:noFill/>
                        <a:ln>
                          <a:noFill/>
                          <a:prstDash/>
                        </a:ln>
                      </wps:spPr>
                      <wps:txbx>
                        <w:txbxContent>
                          <w:p w:rsidR="003C76FC" w:rsidRDefault="003C76FC">
                            <w:pPr>
                              <w:widowControl w:val="0"/>
                              <w:autoSpaceDE w:val="0"/>
                              <w:spacing w:after="900" w:line="240" w:lineRule="auto"/>
                              <w:rPr>
                                <w:rFonts w:ascii="Times New Roman" w:eastAsia="Times New Roman" w:hAnsi="Times New Roman"/>
                                <w:color w:val="000000"/>
                              </w:rPr>
                            </w:pPr>
                          </w:p>
                        </w:txbxContent>
                      </wps:txbx>
                      <wps:bodyPr vert="horz" wrap="square" lIns="0" tIns="0" rIns="0" bIns="0" anchor="t" anchorCtr="0" compatLnSpc="0">
                        <a:spAutoFit/>
                      </wps:bodyPr>
                    </wps:wsp>
                  </a:graphicData>
                </a:graphic>
              </wp:anchor>
            </w:drawing>
          </mc:Choice>
          <mc:Fallback>
            <w:pict>
              <v:shape id="Text Box 3" o:spid="_x0000_s1027" type="#_x0000_t202" style="position:absolute;left:0;text-align:left;margin-left:493.15pt;margin-top:35.5pt;width:90.75pt;height:57.6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" filled="f" stroked="f">
                <v:textbox style="mso-fit-shape-to-text:t" inset="0,0,0,0">
                  <w:txbxContent>
                    <w:p w:rsidR="003C76FC" w:rsidRDefault="003C76FC">
                      <w:pPr>
                        <w:widowControl w:val="0"/>
                        <w:autoSpaceDE w:val="0"/>
                        <w:spacing w:after="900" w:line="240" w:lineRule="auto"/>
                        <w:rPr>
                          <w:rFonts w:ascii="Times New Roman" w:eastAsia="Times New Roman" w:hAnsi="Times New Roman"/>
                          <w:color w:val="000000"/>
                        </w:rPr>
                      </w:pPr>
                    </w:p>
                  </w:txbxContent>
                </v:textbox>
                <w10:wrap type="square" anchorx="page" anchory="page"/>
              </v:shape>
            </w:pict>
          </mc:Fallback>
        </mc:AlternateContent>
      </w:r>
      <w:r>
        <w:rPr>
          <w:rFonts w:ascii="Times New Roman" w:eastAsia="Times New Roman" w:hAnsi="Times New Roman"/>
          <w:color w:val="000000"/>
          <w:sz w:val="23"/>
          <w:szCs w:val="23"/>
        </w:rPr>
        <w:t>RESOLUTION 6.18</w:t>
      </w:r>
      <w:r>
        <w:rPr>
          <w:rStyle w:val="FootnoteReference"/>
          <w:rFonts w:ascii="Times New Roman" w:eastAsia="Times New Roman" w:hAnsi="Times New Roman"/>
          <w:color w:val="000000"/>
          <w:sz w:val="23"/>
          <w:szCs w:val="23"/>
        </w:rPr>
        <w:footnoteReference w:id="1"/>
      </w:r>
      <w:r>
        <w:rPr>
          <w:rFonts w:ascii="Times New Roman" w:eastAsia="Times New Roman" w:hAnsi="Times New Roman"/>
          <w:color w:val="000000"/>
          <w:sz w:val="23"/>
          <w:szCs w:val="23"/>
        </w:rPr>
        <w:t xml:space="preserve"> </w:t>
      </w:r>
    </w:p>
    <w:p w:rsidR="003C76FC" w:rsidRDefault="00135C9B">
      <w:pPr>
        <w:widowControl w:val="0"/>
        <w:autoSpaceDE w:val="0"/>
        <w:spacing w:after="0" w:line="240" w:lineRule="auto"/>
        <w:jc w:val="center"/>
        <w:rPr>
          <w:rFonts w:ascii="Times New Roman" w:eastAsia="Times New Roman" w:hAnsi="Times New Roman"/>
          <w:b/>
          <w:bCs/>
          <w:sz w:val="23"/>
          <w:szCs w:val="23"/>
        </w:rPr>
      </w:pPr>
      <w:r>
        <w:rPr>
          <w:rFonts w:ascii="Times New Roman" w:eastAsia="Times New Roman" w:hAnsi="Times New Roman"/>
          <w:b/>
          <w:bCs/>
          <w:sz w:val="23"/>
          <w:szCs w:val="23"/>
        </w:rPr>
        <w:t>FINANCIAL AND ADMINISTRATIVE MATTERS</w:t>
      </w:r>
    </w:p>
    <w:p w:rsidR="003C76FC" w:rsidRDefault="003C76FC">
      <w:pPr>
        <w:widowControl w:val="0"/>
        <w:autoSpaceDE w:val="0"/>
        <w:spacing w:after="0" w:line="240" w:lineRule="auto"/>
        <w:jc w:val="center"/>
        <w:rPr>
          <w:rFonts w:ascii="Times New Roman" w:eastAsia="Times New Roman" w:hAnsi="Times New Roman"/>
          <w:b/>
          <w:bCs/>
          <w:sz w:val="23"/>
          <w:szCs w:val="23"/>
        </w:rPr>
      </w:pPr>
    </w:p>
    <w:p w:rsidR="003C76FC" w:rsidRDefault="003C76FC">
      <w:pPr>
        <w:widowControl w:val="0"/>
        <w:autoSpaceDE w:val="0"/>
        <w:spacing w:after="0" w:line="240" w:lineRule="auto"/>
        <w:jc w:val="center"/>
      </w:pPr>
    </w:p>
    <w:p w:rsidR="003C76FC" w:rsidRDefault="00135C9B">
      <w:pPr>
        <w:widowControl w:val="0"/>
        <w:autoSpaceDE w:val="0"/>
        <w:spacing w:after="252" w:line="253" w:lineRule="atLeast"/>
        <w:ind w:firstLine="720"/>
        <w:jc w:val="both"/>
      </w:pPr>
      <w:r>
        <w:rPr>
          <w:rFonts w:ascii="Times New Roman" w:eastAsia="Times New Roman" w:hAnsi="Times New Roman"/>
          <w:i/>
          <w:iCs/>
        </w:rPr>
        <w:t>Recalling</w:t>
      </w:r>
      <w:r>
        <w:rPr>
          <w:rFonts w:ascii="Times New Roman" w:eastAsia="Times New Roman" w:hAnsi="Times New Roman"/>
        </w:rPr>
        <w:t xml:space="preserve"> Article V, Paragraph 2 (a) and (b), of the Agreement, which states that Parties shall contribute to the budget of the Agreement in accordance with the United Nations scale of assessment, </w:t>
      </w:r>
    </w:p>
    <w:p w:rsidR="003C76FC" w:rsidRDefault="00135C9B">
      <w:pPr>
        <w:widowControl w:val="0"/>
        <w:autoSpaceDE w:val="0"/>
        <w:spacing w:after="252" w:line="253" w:lineRule="atLeast"/>
        <w:ind w:firstLine="720"/>
        <w:jc w:val="both"/>
      </w:pPr>
      <w:r>
        <w:rPr>
          <w:rFonts w:ascii="Times New Roman" w:eastAsia="Times New Roman" w:hAnsi="Times New Roman"/>
          <w:i/>
          <w:iCs/>
        </w:rPr>
        <w:t xml:space="preserve">Acknowledging with appreciation </w:t>
      </w:r>
      <w:r>
        <w:rPr>
          <w:rFonts w:ascii="Times New Roman" w:eastAsia="Times New Roman" w:hAnsi="Times New Roman"/>
        </w:rPr>
        <w:t xml:space="preserve">the financial and other support provided by the Government of the Federal Republic of Germany for hosting the Agreement Secretariat, which is co-located with the Secretariat of the Convention on the Conservation of Migratory Species of Wild Animals in Bonn, </w:t>
      </w:r>
    </w:p>
    <w:p w:rsidR="003C76FC" w:rsidRDefault="00135C9B">
      <w:pPr>
        <w:widowControl w:val="0"/>
        <w:autoSpaceDE w:val="0"/>
        <w:spacing w:after="252" w:line="253" w:lineRule="atLeast"/>
        <w:ind w:firstLine="720"/>
        <w:jc w:val="both"/>
      </w:pPr>
      <w:r>
        <w:rPr>
          <w:rFonts w:ascii="Times New Roman" w:eastAsia="Times New Roman" w:hAnsi="Times New Roman"/>
          <w:i/>
          <w:iCs/>
        </w:rPr>
        <w:t xml:space="preserve">Aware </w:t>
      </w:r>
      <w:r>
        <w:rPr>
          <w:rFonts w:ascii="Times New Roman" w:eastAsia="Times New Roman" w:hAnsi="Times New Roman"/>
        </w:rPr>
        <w:t>that the 6</w:t>
      </w:r>
      <w:r>
        <w:rPr>
          <w:rFonts w:ascii="Times New Roman" w:eastAsia="Times New Roman" w:hAnsi="Times New Roman"/>
          <w:vertAlign w:val="superscript"/>
        </w:rPr>
        <w:t xml:space="preserve">th </w:t>
      </w:r>
      <w:r>
        <w:rPr>
          <w:rFonts w:ascii="Times New Roman" w:eastAsia="Times New Roman" w:hAnsi="Times New Roman"/>
        </w:rPr>
        <w:t xml:space="preserve">Conservation Status report shows that 36 per cent of the </w:t>
      </w:r>
      <w:proofErr w:type="spellStart"/>
      <w:r>
        <w:rPr>
          <w:rFonts w:ascii="Times New Roman" w:eastAsia="Times New Roman" w:hAnsi="Times New Roman"/>
        </w:rPr>
        <w:t>waterbird</w:t>
      </w:r>
      <w:proofErr w:type="spellEnd"/>
      <w:r>
        <w:rPr>
          <w:rFonts w:ascii="Times New Roman" w:eastAsia="Times New Roman" w:hAnsi="Times New Roman"/>
        </w:rPr>
        <w:t xml:space="preserve"> populations covered by AEWA for which trends are known are in decline and that some are even on the brink of extinction, </w:t>
      </w:r>
    </w:p>
    <w:p w:rsidR="003C76FC" w:rsidRDefault="00135C9B">
      <w:pPr>
        <w:widowControl w:val="0"/>
        <w:autoSpaceDE w:val="0"/>
        <w:spacing w:after="252" w:line="253" w:lineRule="atLeast"/>
        <w:ind w:firstLine="720"/>
        <w:jc w:val="both"/>
      </w:pPr>
      <w:r>
        <w:rPr>
          <w:rFonts w:ascii="Times New Roman" w:eastAsia="Times New Roman" w:hAnsi="Times New Roman"/>
          <w:i/>
          <w:iCs/>
        </w:rPr>
        <w:t xml:space="preserve">Further aware </w:t>
      </w:r>
      <w:r>
        <w:rPr>
          <w:rFonts w:ascii="Times New Roman" w:eastAsia="Times New Roman" w:hAnsi="Times New Roman"/>
        </w:rPr>
        <w:t xml:space="preserve">that more needs to be done to significantly reduce the current rate of biodiversity loss in accordance with the Aichi 2020 biodiversity targets, </w:t>
      </w:r>
    </w:p>
    <w:p w:rsidR="003C76FC" w:rsidRDefault="00135C9B">
      <w:pPr>
        <w:widowControl w:val="0"/>
        <w:autoSpaceDE w:val="0"/>
        <w:spacing w:after="252" w:line="253" w:lineRule="atLeast"/>
        <w:ind w:firstLine="720"/>
        <w:jc w:val="both"/>
      </w:pPr>
      <w:r>
        <w:rPr>
          <w:rFonts w:ascii="Times New Roman" w:eastAsia="Times New Roman" w:hAnsi="Times New Roman"/>
          <w:i/>
          <w:iCs/>
        </w:rPr>
        <w:t xml:space="preserve">Recognising </w:t>
      </w:r>
      <w:r>
        <w:rPr>
          <w:rFonts w:ascii="Times New Roman" w:eastAsia="Times New Roman" w:hAnsi="Times New Roman"/>
        </w:rPr>
        <w:t xml:space="preserve">the importance of all Parties being able to participate in the implementation of the Agreement and related activities, </w:t>
      </w:r>
    </w:p>
    <w:p w:rsidR="003C76FC" w:rsidRDefault="00135C9B">
      <w:pPr>
        <w:widowControl w:val="0"/>
        <w:autoSpaceDE w:val="0"/>
        <w:spacing w:after="252" w:line="253" w:lineRule="atLeast"/>
        <w:ind w:firstLine="720"/>
        <w:jc w:val="both"/>
      </w:pPr>
      <w:r>
        <w:rPr>
          <w:rFonts w:ascii="Times New Roman" w:eastAsia="Times New Roman" w:hAnsi="Times New Roman"/>
          <w:i/>
          <w:iCs/>
        </w:rPr>
        <w:t xml:space="preserve">Appreciating </w:t>
      </w:r>
      <w:r>
        <w:rPr>
          <w:rFonts w:ascii="Times New Roman" w:eastAsia="Times New Roman" w:hAnsi="Times New Roman"/>
        </w:rPr>
        <w:t xml:space="preserve">the additional support given by various Parties and intergovernmental and non-governmental organizations on a voluntary basis to implement the Agreement, </w:t>
      </w:r>
    </w:p>
    <w:p w:rsidR="003C76FC" w:rsidRDefault="00135C9B">
      <w:pPr>
        <w:widowControl w:val="0"/>
        <w:autoSpaceDE w:val="0"/>
        <w:spacing w:after="252" w:line="253" w:lineRule="atLeast"/>
        <w:ind w:firstLine="720"/>
        <w:jc w:val="both"/>
      </w:pPr>
      <w:r>
        <w:rPr>
          <w:rFonts w:ascii="Times New Roman" w:eastAsia="Times New Roman" w:hAnsi="Times New Roman"/>
          <w:i/>
          <w:iCs/>
        </w:rPr>
        <w:t xml:space="preserve">Taking note with appreciation </w:t>
      </w:r>
      <w:r>
        <w:rPr>
          <w:rFonts w:ascii="Times New Roman" w:eastAsia="Times New Roman" w:hAnsi="Times New Roman"/>
        </w:rPr>
        <w:t xml:space="preserve">of the generous pledge from the Government of Norway to cover the costs of the Associate Programme Officer for Single Species Action Plan Support for 2016 and 2017, </w:t>
      </w:r>
    </w:p>
    <w:p w:rsidR="003C76FC" w:rsidRDefault="00135C9B">
      <w:pPr>
        <w:widowControl w:val="0"/>
        <w:autoSpaceDE w:val="0"/>
        <w:spacing w:after="252" w:line="253" w:lineRule="atLeast"/>
        <w:ind w:firstLine="567"/>
        <w:jc w:val="both"/>
      </w:pPr>
      <w:r>
        <w:rPr>
          <w:rFonts w:ascii="Times New Roman" w:eastAsia="Times New Roman" w:hAnsi="Times New Roman"/>
          <w:i/>
          <w:iCs/>
        </w:rPr>
        <w:t xml:space="preserve">Recognising </w:t>
      </w:r>
      <w:r>
        <w:rPr>
          <w:rFonts w:ascii="Times New Roman" w:eastAsia="Times New Roman" w:hAnsi="Times New Roman"/>
        </w:rPr>
        <w:t xml:space="preserve">the need to provide sufficient resources to enable the Secretariat to implement the AEWA Strategic Plan 2009-2017 and the AEWA Plan of Action for Africa 2012-2017, both extended to 2018 and to serve all Parties in the Agreement area, </w:t>
      </w:r>
    </w:p>
    <w:p w:rsidR="003C76FC" w:rsidRDefault="00135C9B">
      <w:pPr>
        <w:widowControl w:val="0"/>
        <w:autoSpaceDE w:val="0"/>
        <w:spacing w:after="0" w:line="240" w:lineRule="auto"/>
        <w:ind w:firstLine="567"/>
        <w:jc w:val="both"/>
      </w:pPr>
      <w:r>
        <w:rPr>
          <w:rFonts w:ascii="Times New Roman" w:eastAsia="Times New Roman" w:hAnsi="Times New Roman"/>
          <w:i/>
          <w:iCs/>
        </w:rPr>
        <w:t xml:space="preserve">Aware </w:t>
      </w:r>
      <w:r>
        <w:rPr>
          <w:rFonts w:ascii="Times New Roman" w:eastAsia="Times New Roman" w:hAnsi="Times New Roman"/>
        </w:rPr>
        <w:t xml:space="preserve">that many Parties, particularly developing countries or countries with economies in transition, may not have the financial means to send representatives to meetings of bodies established under the Agreement,  </w:t>
      </w:r>
    </w:p>
    <w:p w:rsidR="003C76FC" w:rsidRDefault="003C76FC">
      <w:pPr>
        <w:widowControl w:val="0"/>
        <w:autoSpaceDE w:val="0"/>
        <w:spacing w:after="0" w:line="240" w:lineRule="auto"/>
        <w:jc w:val="both"/>
        <w:rPr>
          <w:rFonts w:ascii="Times New Roman" w:eastAsia="Times New Roman" w:hAnsi="Times New Roman"/>
          <w:color w:val="000000"/>
          <w:sz w:val="24"/>
          <w:szCs w:val="24"/>
        </w:rPr>
      </w:pPr>
    </w:p>
    <w:p w:rsidR="003C76FC" w:rsidRDefault="00135C9B">
      <w:pPr>
        <w:widowControl w:val="0"/>
        <w:tabs>
          <w:tab w:val="left" w:pos="567"/>
        </w:tabs>
        <w:autoSpaceDE w:val="0"/>
        <w:spacing w:after="0" w:line="253" w:lineRule="atLeast"/>
        <w:ind w:firstLine="567"/>
        <w:jc w:val="both"/>
      </w:pPr>
      <w:r>
        <w:rPr>
          <w:rFonts w:ascii="Times New Roman" w:eastAsia="Times New Roman" w:hAnsi="Times New Roman"/>
          <w:i/>
          <w:iCs/>
        </w:rPr>
        <w:t xml:space="preserve">Taking note </w:t>
      </w:r>
      <w:r>
        <w:rPr>
          <w:rFonts w:ascii="Times New Roman" w:eastAsia="Times New Roman" w:hAnsi="Times New Roman"/>
          <w:iCs/>
        </w:rPr>
        <w:t>of the appointment of the new Executive Secretary as of 1 June 2014.</w:t>
      </w:r>
    </w:p>
    <w:p w:rsidR="003C76FC" w:rsidRDefault="003C76FC">
      <w:pPr>
        <w:widowControl w:val="0"/>
        <w:autoSpaceDE w:val="0"/>
        <w:spacing w:after="0" w:line="253" w:lineRule="atLeast"/>
        <w:ind w:firstLine="567"/>
        <w:jc w:val="both"/>
        <w:rPr>
          <w:rFonts w:ascii="Times New Roman" w:eastAsia="Times New Roman" w:hAnsi="Times New Roman"/>
          <w:i/>
          <w:iCs/>
        </w:rPr>
      </w:pPr>
    </w:p>
    <w:p w:rsidR="003C76FC" w:rsidRDefault="003C76FC">
      <w:pPr>
        <w:widowControl w:val="0"/>
        <w:autoSpaceDE w:val="0"/>
        <w:spacing w:after="0" w:line="240" w:lineRule="auto"/>
        <w:jc w:val="both"/>
        <w:rPr>
          <w:rFonts w:ascii="Times New Roman" w:eastAsia="Times New Roman" w:hAnsi="Times New Roman"/>
          <w:color w:val="000000"/>
          <w:sz w:val="24"/>
          <w:szCs w:val="24"/>
        </w:rPr>
      </w:pPr>
    </w:p>
    <w:p w:rsidR="003C76FC" w:rsidRDefault="00135C9B">
      <w:pPr>
        <w:widowControl w:val="0"/>
        <w:autoSpaceDE w:val="0"/>
        <w:spacing w:after="252" w:line="253" w:lineRule="atLeast"/>
        <w:jc w:val="both"/>
      </w:pPr>
      <w:r>
        <w:rPr>
          <w:rFonts w:ascii="Times New Roman" w:eastAsia="Times New Roman" w:hAnsi="Times New Roman"/>
          <w:i/>
          <w:iCs/>
        </w:rPr>
        <w:t>The Meeting of the Parties</w:t>
      </w:r>
      <w:r>
        <w:rPr>
          <w:rFonts w:ascii="Times New Roman" w:eastAsia="Times New Roman" w:hAnsi="Times New Roman"/>
        </w:rPr>
        <w:t xml:space="preserve">: </w:t>
      </w:r>
    </w:p>
    <w:p w:rsidR="003C76FC" w:rsidRDefault="00135C9B">
      <w:pPr>
        <w:widowControl w:val="0"/>
        <w:numPr>
          <w:ilvl w:val="0"/>
          <w:numId w:val="1"/>
        </w:numPr>
        <w:autoSpaceDE w:val="0"/>
        <w:spacing w:after="184" w:line="240" w:lineRule="auto"/>
        <w:jc w:val="both"/>
        <w:sectPr w:rsidR="003C76FC">
          <w:headerReference w:type="default" r:id="rId7"/>
          <w:footerReference w:type="default" r:id="rId8"/>
          <w:pgSz w:w="11907" w:h="16840"/>
          <w:pgMar w:top="1021" w:right="1134" w:bottom="851" w:left="1134" w:header="851" w:footer="510" w:gutter="0"/>
          <w:cols w:space="720"/>
        </w:sectPr>
      </w:pPr>
      <w:r>
        <w:rPr>
          <w:rFonts w:ascii="Times New Roman" w:eastAsia="Times New Roman" w:hAnsi="Times New Roman"/>
          <w:i/>
          <w:iCs/>
        </w:rPr>
        <w:t xml:space="preserve"> Confirms </w:t>
      </w:r>
      <w:r>
        <w:rPr>
          <w:rFonts w:ascii="Times New Roman" w:eastAsia="Times New Roman" w:hAnsi="Times New Roman"/>
          <w:iCs/>
        </w:rPr>
        <w:t>that Parties shall contribute to the budget adopted at the scale agreed upon by the Meeting</w:t>
      </w:r>
      <w:r>
        <w:rPr>
          <w:rFonts w:ascii="Times New Roman" w:eastAsia="Times New Roman" w:hAnsi="Times New Roman"/>
        </w:rPr>
        <w:t xml:space="preserve"> of the Parties in accordance with Article V, Paragraph 2 (a) and (b), of the Agreement; </w:t>
      </w:r>
    </w:p>
    <w:p w:rsidR="003C76FC" w:rsidRDefault="00135C9B">
      <w:pPr>
        <w:widowControl w:val="0"/>
        <w:numPr>
          <w:ilvl w:val="0"/>
          <w:numId w:val="1"/>
        </w:numPr>
        <w:autoSpaceDE w:val="0"/>
        <w:spacing w:after="0" w:line="240" w:lineRule="auto"/>
        <w:jc w:val="both"/>
      </w:pPr>
      <w:r>
        <w:rPr>
          <w:rFonts w:ascii="Times New Roman" w:eastAsia="Times New Roman" w:hAnsi="Times New Roman"/>
          <w:i/>
          <w:iCs/>
        </w:rPr>
        <w:lastRenderedPageBreak/>
        <w:t xml:space="preserve"> Adopts </w:t>
      </w:r>
      <w:r>
        <w:rPr>
          <w:rFonts w:ascii="Times New Roman" w:eastAsia="Times New Roman" w:hAnsi="Times New Roman"/>
          <w:iCs/>
        </w:rPr>
        <w:t xml:space="preserve">the budget for 2016-2018 attached as Appendix I to the present Resolution; </w:t>
      </w:r>
    </w:p>
    <w:p w:rsidR="003C76FC" w:rsidRDefault="003C76FC">
      <w:pPr>
        <w:widowControl w:val="0"/>
        <w:autoSpaceDE w:val="0"/>
        <w:spacing w:after="0" w:line="240" w:lineRule="auto"/>
        <w:jc w:val="both"/>
      </w:pPr>
    </w:p>
    <w:p w:rsidR="003C76FC"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 Agrees </w:t>
      </w:r>
      <w:r>
        <w:rPr>
          <w:rFonts w:ascii="Times New Roman" w:eastAsia="Times New Roman" w:hAnsi="Times New Roman"/>
          <w:iCs/>
        </w:rPr>
        <w:t xml:space="preserve">with the scale of contributions for Parties to the Agreement as listed in Appendix II to the present Resolution, and to the application of that scale </w:t>
      </w:r>
      <w:r>
        <w:rPr>
          <w:rFonts w:ascii="Times New Roman" w:eastAsia="Times New Roman" w:hAnsi="Times New Roman"/>
          <w:i/>
          <w:iCs/>
        </w:rPr>
        <w:t>pro rata</w:t>
      </w:r>
      <w:r>
        <w:rPr>
          <w:rFonts w:ascii="Times New Roman" w:eastAsia="Times New Roman" w:hAnsi="Times New Roman"/>
          <w:iCs/>
        </w:rPr>
        <w:t xml:space="preserve"> to new Parties; </w:t>
      </w:r>
    </w:p>
    <w:p w:rsidR="003C76FC" w:rsidRDefault="003C76FC">
      <w:pPr>
        <w:pStyle w:val="ListParagraph"/>
        <w:spacing w:after="0" w:line="240" w:lineRule="auto"/>
        <w:ind w:left="0"/>
        <w:jc w:val="both"/>
      </w:pPr>
    </w:p>
    <w:p w:rsidR="003C76FC"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 Agrees </w:t>
      </w:r>
      <w:r>
        <w:rPr>
          <w:rFonts w:ascii="Times New Roman" w:eastAsia="Times New Roman" w:hAnsi="Times New Roman"/>
          <w:iCs/>
        </w:rPr>
        <w:t>that the minimum contribution shall not be less than 2,000 Euros per annum and that for the period 2016-2018, the maximum contribution shall be restricted to 20 per cent of the total budget;</w:t>
      </w:r>
      <w:r>
        <w:rPr>
          <w:rFonts w:ascii="Times New Roman" w:eastAsia="Times New Roman" w:hAnsi="Times New Roman"/>
          <w:i/>
          <w:iCs/>
        </w:rPr>
        <w:t xml:space="preserve"> </w:t>
      </w:r>
    </w:p>
    <w:p w:rsidR="003C76FC" w:rsidRDefault="003C76FC">
      <w:pPr>
        <w:pStyle w:val="ListParagraph"/>
        <w:spacing w:after="0" w:line="240" w:lineRule="auto"/>
        <w:ind w:left="0"/>
        <w:jc w:val="both"/>
      </w:pPr>
    </w:p>
    <w:p w:rsidR="003C76FC"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 Instructs </w:t>
      </w:r>
      <w:r>
        <w:rPr>
          <w:rFonts w:ascii="Times New Roman" w:eastAsia="Times New Roman" w:hAnsi="Times New Roman"/>
          <w:iCs/>
        </w:rPr>
        <w:t>the Secretariat, using the financial rules and regulations of the United Nations, the staff rules and regulations of the United Nations and other administrative policies or procedures promulgated by the Secretary-General of the United Nations, to develop a series of budget scenarios for further consideration by Parties at the 7</w:t>
      </w:r>
      <w:r>
        <w:rPr>
          <w:rFonts w:ascii="Times New Roman" w:eastAsia="Times New Roman" w:hAnsi="Times New Roman"/>
          <w:iCs/>
          <w:vertAlign w:val="superscript"/>
        </w:rPr>
        <w:t>th</w:t>
      </w:r>
      <w:r>
        <w:rPr>
          <w:rFonts w:ascii="Times New Roman" w:eastAsia="Times New Roman" w:hAnsi="Times New Roman"/>
          <w:iCs/>
        </w:rPr>
        <w:t xml:space="preserve"> Session of the Meeting of Parties; </w:t>
      </w:r>
    </w:p>
    <w:p w:rsidR="003C76FC" w:rsidRDefault="003C76FC">
      <w:pPr>
        <w:pStyle w:val="ListParagraph"/>
        <w:spacing w:after="0" w:line="240" w:lineRule="auto"/>
        <w:ind w:left="0"/>
      </w:pPr>
    </w:p>
    <w:p w:rsidR="003C76FC"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 Requests </w:t>
      </w:r>
      <w:r>
        <w:rPr>
          <w:rFonts w:ascii="Times New Roman" w:eastAsia="Times New Roman" w:hAnsi="Times New Roman"/>
          <w:iCs/>
        </w:rPr>
        <w:t xml:space="preserve">Parties, in particular those that are required to pay the minimum contribution, to consider paying for the whole triennium in one instalment; </w:t>
      </w:r>
    </w:p>
    <w:p w:rsidR="003C76FC" w:rsidRDefault="003C76FC">
      <w:pPr>
        <w:pStyle w:val="ListParagraph"/>
        <w:spacing w:after="0" w:line="240" w:lineRule="auto"/>
        <w:ind w:left="0"/>
      </w:pPr>
    </w:p>
    <w:p w:rsidR="003C76FC"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 Further </w:t>
      </w:r>
      <w:r>
        <w:rPr>
          <w:rFonts w:ascii="Times New Roman" w:eastAsia="Times New Roman" w:hAnsi="Times New Roman"/>
          <w:iCs/>
        </w:rPr>
        <w:t xml:space="preserve">requests Parties to pay their contributions promptly as far as possible, but in any case not later than the end of June of the year to which they relate;  </w:t>
      </w:r>
    </w:p>
    <w:p w:rsidR="003C76FC" w:rsidRDefault="003C76FC">
      <w:pPr>
        <w:pStyle w:val="ListParagraph"/>
        <w:spacing w:after="0" w:line="240" w:lineRule="auto"/>
        <w:ind w:left="0"/>
      </w:pPr>
    </w:p>
    <w:p w:rsidR="003C76FC"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 Decides </w:t>
      </w:r>
      <w:r>
        <w:rPr>
          <w:rFonts w:ascii="Times New Roman" w:eastAsia="Times New Roman" w:hAnsi="Times New Roman"/>
          <w:iCs/>
        </w:rPr>
        <w:t xml:space="preserve">that a working capital be maintained at a constant level of at least 15 per cent of the estimated annual expenditure or 150,000 Euros, whichever is higher; </w:t>
      </w:r>
    </w:p>
    <w:p w:rsidR="003C76FC" w:rsidRDefault="003C76FC">
      <w:pPr>
        <w:pStyle w:val="ListParagraph"/>
        <w:spacing w:after="0" w:line="240" w:lineRule="auto"/>
        <w:ind w:left="0"/>
      </w:pPr>
    </w:p>
    <w:p w:rsidR="003C76FC"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 Agrees </w:t>
      </w:r>
      <w:r>
        <w:rPr>
          <w:rFonts w:ascii="Times New Roman" w:eastAsia="Times New Roman" w:hAnsi="Times New Roman"/>
          <w:iCs/>
        </w:rPr>
        <w:t xml:space="preserve">to set the threshold of eligibility for funding of delegates to attend AEWA meetings at 0.200 on the UN Scale of Assessment and, as a general rule, to exclude countries from the European Union and European countries with strong economies, as listed in Appendix IV attached hereto and/ or countries that have payments in arrears of more than 3 years;  </w:t>
      </w:r>
    </w:p>
    <w:p w:rsidR="003C76FC" w:rsidRDefault="003C76FC">
      <w:pPr>
        <w:pStyle w:val="ListParagraph"/>
        <w:spacing w:after="0" w:line="240" w:lineRule="auto"/>
        <w:ind w:left="0"/>
      </w:pPr>
    </w:p>
    <w:p w:rsidR="003C76FC"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 Takes note </w:t>
      </w:r>
      <w:r>
        <w:rPr>
          <w:rFonts w:ascii="Times New Roman" w:eastAsia="Times New Roman" w:hAnsi="Times New Roman"/>
          <w:iCs/>
        </w:rPr>
        <w:t xml:space="preserve">of Resolution </w:t>
      </w:r>
      <w:r>
        <w:rPr>
          <w:rFonts w:ascii="Times New Roman" w:eastAsia="Times New Roman" w:hAnsi="Times New Roman"/>
          <w:iCs/>
          <w:shd w:val="clear" w:color="auto" w:fill="FFFF00"/>
        </w:rPr>
        <w:t>6.XX</w:t>
      </w:r>
      <w:r>
        <w:rPr>
          <w:rFonts w:ascii="Times New Roman" w:eastAsia="Times New Roman" w:hAnsi="Times New Roman"/>
          <w:iCs/>
        </w:rPr>
        <w:t xml:space="preserve"> on the AEWA International Implementation Tasks for the period 2016-</w:t>
      </w:r>
      <w:r>
        <w:rPr>
          <w:rFonts w:ascii="Times New Roman" w:eastAsia="Times New Roman" w:hAnsi="Times New Roman"/>
          <w:iCs/>
        </w:rPr>
        <w:softHyphen/>
        <w:t xml:space="preserve">2018 and its related appendices;  </w:t>
      </w:r>
    </w:p>
    <w:p w:rsidR="003C76FC" w:rsidRDefault="003C76FC">
      <w:pPr>
        <w:pStyle w:val="ListParagraph"/>
        <w:spacing w:after="0" w:line="240" w:lineRule="auto"/>
        <w:ind w:left="0"/>
      </w:pPr>
    </w:p>
    <w:p w:rsidR="003C76FC"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 Urges </w:t>
      </w:r>
      <w:r>
        <w:rPr>
          <w:rFonts w:ascii="Times New Roman" w:eastAsia="Times New Roman" w:hAnsi="Times New Roman"/>
          <w:iCs/>
        </w:rPr>
        <w:t xml:space="preserve">all Parties to make voluntary contributions to the Trust Fund to support requests from developing countries and countries with economies in transition to participate in and implement the Agreement throughout the triennium; </w:t>
      </w:r>
    </w:p>
    <w:p w:rsidR="003C76FC" w:rsidRDefault="003C76FC">
      <w:pPr>
        <w:pStyle w:val="ListParagraph"/>
        <w:spacing w:after="0" w:line="240" w:lineRule="auto"/>
        <w:ind w:left="0"/>
      </w:pPr>
    </w:p>
    <w:p w:rsidR="003C76FC"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 Further urges </w:t>
      </w:r>
      <w:r>
        <w:rPr>
          <w:rFonts w:ascii="Times New Roman" w:eastAsia="Times New Roman" w:hAnsi="Times New Roman"/>
          <w:iCs/>
        </w:rPr>
        <w:t xml:space="preserve">Contracting Parties and other partners to make an increased effort in providing additional contributions to secure urgent implementation of the Agreement, in particular implementation of the AEWA Strategic Plan 2009-2017, implementation of the AEWA Plan of Action for Africa 2012-2017, both extended until 2018 and the AEWA International Implementation Tasks for the period 2016-2018; </w:t>
      </w:r>
    </w:p>
    <w:p w:rsidR="003C76FC" w:rsidRDefault="003C76FC">
      <w:pPr>
        <w:pStyle w:val="ListParagraph"/>
        <w:spacing w:after="0" w:line="240" w:lineRule="auto"/>
        <w:ind w:left="0"/>
      </w:pPr>
    </w:p>
    <w:p w:rsidR="003C76FC"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 Invites </w:t>
      </w:r>
      <w:r>
        <w:rPr>
          <w:rFonts w:ascii="Times New Roman" w:eastAsia="Times New Roman" w:hAnsi="Times New Roman"/>
          <w:iCs/>
        </w:rPr>
        <w:t xml:space="preserve">States not Party to the Agreement, governmental, intergovernmental and non-governmental organisations and other sources to consider contributing to the implementation of the Agreement on a voluntary basis; </w:t>
      </w:r>
    </w:p>
    <w:p w:rsidR="003C76FC" w:rsidRDefault="003C76FC">
      <w:pPr>
        <w:pStyle w:val="ListParagraph"/>
        <w:spacing w:after="0" w:line="240" w:lineRule="auto"/>
        <w:ind w:left="0"/>
      </w:pPr>
    </w:p>
    <w:p w:rsidR="003C76FC"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Approves, </w:t>
      </w:r>
      <w:r>
        <w:rPr>
          <w:rFonts w:ascii="Times New Roman" w:eastAsia="Times New Roman" w:hAnsi="Times New Roman"/>
          <w:iCs/>
        </w:rPr>
        <w:t xml:space="preserve">taking into account the UN Rules and Regulations, the establishment of a part time (50%) post of Programme Assistant for the African Initiative, at the G-level (fixed-term), to be based in the UNEP/AEWA Secretariat in Bonn; </w:t>
      </w:r>
    </w:p>
    <w:p w:rsidR="003C76FC" w:rsidRDefault="003C76FC">
      <w:pPr>
        <w:pStyle w:val="ListParagraph"/>
        <w:spacing w:after="0" w:line="240" w:lineRule="auto"/>
        <w:ind w:left="0"/>
      </w:pPr>
    </w:p>
    <w:p w:rsidR="003C76FC" w:rsidRPr="003947B1"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 Instructs </w:t>
      </w:r>
      <w:r>
        <w:rPr>
          <w:rFonts w:ascii="Times New Roman" w:eastAsia="Times New Roman" w:hAnsi="Times New Roman"/>
          <w:iCs/>
        </w:rPr>
        <w:t>the Secretariat to find additional funding in the form of voluntary contributions to extend the post of Associate Programme Officer/African Coordinator beyond 50% and to extend the post of Programme Assistant for the African Initiative beyond 50%, as appropriate and in accordance with UN Rules and Regulations</w:t>
      </w:r>
      <w:bookmarkStart w:id="0" w:name="_GoBack"/>
      <w:r w:rsidRPr="003947B1">
        <w:rPr>
          <w:rFonts w:ascii="Times New Roman" w:eastAsia="Times New Roman" w:hAnsi="Times New Roman"/>
          <w:iCs/>
        </w:rPr>
        <w:t xml:space="preserve">; </w:t>
      </w:r>
    </w:p>
    <w:bookmarkEnd w:id="0"/>
    <w:p w:rsidR="003C76FC" w:rsidRDefault="003C76FC">
      <w:pPr>
        <w:pStyle w:val="ListParagraph"/>
      </w:pPr>
    </w:p>
    <w:p w:rsidR="003C76FC" w:rsidRDefault="003C76FC">
      <w:pPr>
        <w:widowControl w:val="0"/>
        <w:autoSpaceDE w:val="0"/>
        <w:spacing w:after="0" w:line="240" w:lineRule="auto"/>
        <w:jc w:val="both"/>
      </w:pPr>
    </w:p>
    <w:p w:rsidR="003C76FC" w:rsidRDefault="003C76FC">
      <w:pPr>
        <w:widowControl w:val="0"/>
        <w:autoSpaceDE w:val="0"/>
        <w:spacing w:after="0" w:line="240" w:lineRule="auto"/>
        <w:jc w:val="both"/>
      </w:pPr>
    </w:p>
    <w:p w:rsidR="003C76FC" w:rsidRDefault="003C76FC">
      <w:pPr>
        <w:widowControl w:val="0"/>
        <w:autoSpaceDE w:val="0"/>
        <w:spacing w:after="0" w:line="240" w:lineRule="auto"/>
        <w:jc w:val="both"/>
      </w:pPr>
    </w:p>
    <w:p w:rsidR="003C76FC" w:rsidRDefault="003C76FC">
      <w:pPr>
        <w:pStyle w:val="ListParagraph"/>
        <w:spacing w:after="0" w:line="240" w:lineRule="auto"/>
        <w:ind w:left="0"/>
      </w:pPr>
    </w:p>
    <w:p w:rsidR="003C76FC" w:rsidRDefault="00135C9B">
      <w:pPr>
        <w:widowControl w:val="0"/>
        <w:numPr>
          <w:ilvl w:val="0"/>
          <w:numId w:val="1"/>
        </w:numPr>
        <w:autoSpaceDE w:val="0"/>
        <w:spacing w:after="0" w:line="240" w:lineRule="auto"/>
        <w:jc w:val="both"/>
      </w:pPr>
      <w:r>
        <w:rPr>
          <w:rFonts w:ascii="Times New Roman" w:eastAsia="Times New Roman" w:hAnsi="Times New Roman"/>
          <w:i/>
          <w:iCs/>
        </w:rPr>
        <w:lastRenderedPageBreak/>
        <w:t xml:space="preserve"> Invites </w:t>
      </w:r>
      <w:r>
        <w:rPr>
          <w:rFonts w:ascii="Times New Roman" w:eastAsia="Times New Roman" w:hAnsi="Times New Roman"/>
          <w:iCs/>
        </w:rPr>
        <w:t xml:space="preserve">Contracting Parties as well as the United Nations Environment Programme to consider the feasibility of providing gratis personnel and/or junior professional officers, in accordance with the United Nations rules and regulations, to strengthen the capacity of the Agreement Secretariat;  </w:t>
      </w:r>
    </w:p>
    <w:p w:rsidR="003C76FC" w:rsidRDefault="003C76FC">
      <w:pPr>
        <w:widowControl w:val="0"/>
        <w:autoSpaceDE w:val="0"/>
        <w:spacing w:after="0" w:line="240" w:lineRule="auto"/>
        <w:jc w:val="both"/>
      </w:pPr>
    </w:p>
    <w:p w:rsidR="003C76FC"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 Requests </w:t>
      </w:r>
      <w:r>
        <w:rPr>
          <w:rFonts w:ascii="Times New Roman" w:eastAsia="Times New Roman" w:hAnsi="Times New Roman"/>
          <w:iCs/>
        </w:rPr>
        <w:t xml:space="preserve">the Executive Director of the United Nations Environment Programme to extend the duration of the Trust Fund to 31 December 2018; </w:t>
      </w:r>
    </w:p>
    <w:p w:rsidR="003C76FC" w:rsidRDefault="003C76FC">
      <w:pPr>
        <w:pStyle w:val="ListParagraph"/>
        <w:spacing w:after="0" w:line="240" w:lineRule="auto"/>
        <w:ind w:left="0"/>
      </w:pPr>
    </w:p>
    <w:p w:rsidR="003C76FC" w:rsidRDefault="00135C9B">
      <w:pPr>
        <w:widowControl w:val="0"/>
        <w:numPr>
          <w:ilvl w:val="0"/>
          <w:numId w:val="1"/>
        </w:numPr>
        <w:autoSpaceDE w:val="0"/>
        <w:spacing w:after="0" w:line="240" w:lineRule="auto"/>
        <w:jc w:val="both"/>
      </w:pPr>
      <w:r>
        <w:rPr>
          <w:rFonts w:ascii="Times New Roman" w:eastAsia="Times New Roman" w:hAnsi="Times New Roman"/>
          <w:i/>
          <w:iCs/>
        </w:rPr>
        <w:t xml:space="preserve"> Approves </w:t>
      </w:r>
      <w:r>
        <w:rPr>
          <w:rFonts w:ascii="Times New Roman" w:eastAsia="Times New Roman" w:hAnsi="Times New Roman"/>
          <w:iCs/>
        </w:rPr>
        <w:t>the terms of reference for the administration of the Agreement budget as set out in Appendix III to the present Resolution for the period 2016-2018.</w:t>
      </w:r>
    </w:p>
    <w:p w:rsidR="003C76FC" w:rsidRDefault="00135C9B">
      <w:pPr>
        <w:pageBreakBefore/>
        <w:widowControl w:val="0"/>
        <w:autoSpaceDE w:val="0"/>
        <w:spacing w:after="0" w:line="240" w:lineRule="auto"/>
        <w:jc w:val="center"/>
      </w:pPr>
      <w:r>
        <w:rPr>
          <w:rFonts w:ascii="Times New Roman" w:hAnsi="Times New Roman"/>
        </w:rPr>
        <w:lastRenderedPageBreak/>
        <w:t>[</w:t>
      </w:r>
      <w:r>
        <w:rPr>
          <w:rFonts w:ascii="Times New Roman" w:hAnsi="Times New Roman"/>
          <w:shd w:val="clear" w:color="auto" w:fill="FFFF00"/>
        </w:rPr>
        <w:t>Appendix I – Core Budget for the Triennium 2016-2018</w:t>
      </w:r>
      <w:r>
        <w:rPr>
          <w:rFonts w:ascii="Times New Roman" w:hAnsi="Times New Roman"/>
        </w:rPr>
        <w:t>]</w:t>
      </w:r>
    </w:p>
    <w:p w:rsidR="003C76FC" w:rsidRDefault="00135C9B">
      <w:pPr>
        <w:widowControl w:val="0"/>
        <w:autoSpaceDE w:val="0"/>
        <w:spacing w:after="0" w:line="240" w:lineRule="auto"/>
        <w:jc w:val="center"/>
        <w:rPr>
          <w:rFonts w:ascii="Times New Roman" w:hAnsi="Times New Roman"/>
          <w:b/>
        </w:rPr>
      </w:pPr>
      <w:r>
        <w:rPr>
          <w:rFonts w:ascii="Times New Roman" w:hAnsi="Times New Roman"/>
          <w:b/>
        </w:rPr>
        <w:t>TO BE ADDED</w:t>
      </w:r>
    </w:p>
    <w:p w:rsidR="003C76FC" w:rsidRDefault="003C76FC">
      <w:pPr>
        <w:widowControl w:val="0"/>
        <w:autoSpaceDE w:val="0"/>
        <w:spacing w:after="0" w:line="240" w:lineRule="auto"/>
        <w:jc w:val="center"/>
        <w:rPr>
          <w:rFonts w:ascii="Times New Roman" w:hAnsi="Times New Roman"/>
        </w:rPr>
      </w:pPr>
    </w:p>
    <w:p w:rsidR="003C76FC" w:rsidRDefault="00135C9B">
      <w:pPr>
        <w:widowControl w:val="0"/>
        <w:autoSpaceDE w:val="0"/>
        <w:spacing w:after="0" w:line="240" w:lineRule="auto"/>
        <w:jc w:val="center"/>
      </w:pPr>
      <w:r>
        <w:rPr>
          <w:rFonts w:ascii="Times New Roman" w:hAnsi="Times New Roman"/>
          <w:shd w:val="clear" w:color="auto" w:fill="FFFF00"/>
        </w:rPr>
        <w:t>[Appendix II – Scale of Contributions by Parties to the UNEP/AEWA Trust Fund for 2016-2018]</w:t>
      </w:r>
    </w:p>
    <w:p w:rsidR="003C76FC" w:rsidRDefault="00135C9B">
      <w:pPr>
        <w:widowControl w:val="0"/>
        <w:autoSpaceDE w:val="0"/>
        <w:spacing w:after="0" w:line="240" w:lineRule="auto"/>
        <w:jc w:val="center"/>
        <w:rPr>
          <w:rFonts w:ascii="Times New Roman" w:hAnsi="Times New Roman"/>
          <w:b/>
        </w:rPr>
      </w:pPr>
      <w:r>
        <w:rPr>
          <w:rFonts w:ascii="Times New Roman" w:hAnsi="Times New Roman"/>
          <w:b/>
        </w:rPr>
        <w:t>TO BE ADDED</w:t>
      </w:r>
    </w:p>
    <w:p w:rsidR="003C76FC" w:rsidRDefault="003C76FC">
      <w:pPr>
        <w:widowControl w:val="0"/>
        <w:autoSpaceDE w:val="0"/>
        <w:spacing w:after="0" w:line="240" w:lineRule="auto"/>
        <w:jc w:val="center"/>
        <w:rPr>
          <w:rFonts w:ascii="Times New Roman" w:hAnsi="Times New Roman"/>
        </w:rPr>
      </w:pPr>
    </w:p>
    <w:p w:rsidR="003C76FC" w:rsidRDefault="00135C9B">
      <w:pPr>
        <w:widowControl w:val="0"/>
        <w:autoSpaceDE w:val="0"/>
        <w:spacing w:after="0" w:line="240" w:lineRule="auto"/>
        <w:jc w:val="center"/>
      </w:pPr>
      <w:r>
        <w:rPr>
          <w:rFonts w:ascii="Times New Roman" w:hAnsi="Times New Roman"/>
          <w:shd w:val="clear" w:color="auto" w:fill="FFFF00"/>
        </w:rPr>
        <w:t>[Appendix III – Terms of Reference for the Administration of the Trust Fund…]</w:t>
      </w:r>
    </w:p>
    <w:p w:rsidR="003C76FC" w:rsidRDefault="00135C9B">
      <w:pPr>
        <w:widowControl w:val="0"/>
        <w:autoSpaceDE w:val="0"/>
        <w:spacing w:after="0" w:line="240" w:lineRule="auto"/>
        <w:jc w:val="center"/>
        <w:rPr>
          <w:rFonts w:ascii="Times New Roman" w:hAnsi="Times New Roman"/>
          <w:b/>
        </w:rPr>
      </w:pPr>
      <w:r>
        <w:rPr>
          <w:rFonts w:ascii="Times New Roman" w:hAnsi="Times New Roman"/>
          <w:b/>
        </w:rPr>
        <w:t>TO BE ADDED</w:t>
      </w:r>
    </w:p>
    <w:p w:rsidR="003C76FC" w:rsidRDefault="003C76FC">
      <w:pPr>
        <w:widowControl w:val="0"/>
        <w:autoSpaceDE w:val="0"/>
        <w:spacing w:after="0" w:line="240" w:lineRule="auto"/>
        <w:jc w:val="center"/>
        <w:rPr>
          <w:rFonts w:ascii="Times New Roman" w:hAnsi="Times New Roman"/>
        </w:rPr>
      </w:pPr>
    </w:p>
    <w:p w:rsidR="003C76FC" w:rsidRDefault="00135C9B">
      <w:pPr>
        <w:widowControl w:val="0"/>
        <w:autoSpaceDE w:val="0"/>
        <w:spacing w:after="0" w:line="240" w:lineRule="auto"/>
        <w:jc w:val="center"/>
      </w:pPr>
      <w:r>
        <w:rPr>
          <w:rFonts w:ascii="Times New Roman" w:hAnsi="Times New Roman"/>
          <w:shd w:val="clear" w:color="auto" w:fill="FFFF00"/>
        </w:rPr>
        <w:t>[Appendix IV – Eligibility for Sponsorship for AEWA Meetings]</w:t>
      </w:r>
    </w:p>
    <w:p w:rsidR="003C76FC" w:rsidRDefault="00135C9B">
      <w:pPr>
        <w:widowControl w:val="0"/>
        <w:autoSpaceDE w:val="0"/>
        <w:spacing w:after="0" w:line="240" w:lineRule="auto"/>
        <w:jc w:val="center"/>
        <w:rPr>
          <w:rFonts w:ascii="Times New Roman" w:hAnsi="Times New Roman"/>
          <w:b/>
        </w:rPr>
      </w:pPr>
      <w:r>
        <w:rPr>
          <w:rFonts w:ascii="Times New Roman" w:hAnsi="Times New Roman"/>
          <w:b/>
        </w:rPr>
        <w:t>TO BE ADDED</w:t>
      </w:r>
    </w:p>
    <w:p w:rsidR="003C76FC" w:rsidRDefault="003C76FC">
      <w:pPr>
        <w:widowControl w:val="0"/>
        <w:autoSpaceDE w:val="0"/>
        <w:spacing w:after="184" w:line="240" w:lineRule="auto"/>
        <w:jc w:val="both"/>
        <w:rPr>
          <w:rFonts w:ascii="Times New Roman" w:eastAsia="Times New Roman" w:hAnsi="Times New Roman"/>
          <w:i/>
          <w:iCs/>
        </w:rPr>
      </w:pPr>
    </w:p>
    <w:sectPr w:rsidR="003C76FC">
      <w:headerReference w:type="default" r:id="rId9"/>
      <w:footerReference w:type="default" r:id="rId10"/>
      <w:pgSz w:w="11906" w:h="16838"/>
      <w:pgMar w:top="1021" w:right="1134" w:bottom="851" w:left="1134" w:header="851"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D60" w:rsidRDefault="00135C9B">
      <w:pPr>
        <w:spacing w:after="0" w:line="240" w:lineRule="auto"/>
      </w:pPr>
      <w:r>
        <w:separator/>
      </w:r>
    </w:p>
  </w:endnote>
  <w:endnote w:type="continuationSeparator" w:id="0">
    <w:p w:rsidR="007F0D60" w:rsidRDefault="0013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64" w:rsidRDefault="003947B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64" w:rsidRDefault="00135C9B">
    <w:pPr>
      <w:pStyle w:val="Footer"/>
      <w:jc w:val="cente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3947B1">
      <w:rPr>
        <w:rFonts w:ascii="Times New Roman" w:hAnsi="Times New Roman"/>
        <w:noProof/>
        <w:sz w:val="20"/>
        <w:szCs w:val="20"/>
      </w:rPr>
      <w:t>3</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D60" w:rsidRDefault="00135C9B">
      <w:pPr>
        <w:spacing w:after="0" w:line="240" w:lineRule="auto"/>
      </w:pPr>
      <w:r>
        <w:rPr>
          <w:color w:val="000000"/>
        </w:rPr>
        <w:separator/>
      </w:r>
    </w:p>
  </w:footnote>
  <w:footnote w:type="continuationSeparator" w:id="0">
    <w:p w:rsidR="007F0D60" w:rsidRDefault="00135C9B">
      <w:pPr>
        <w:spacing w:after="0" w:line="240" w:lineRule="auto"/>
      </w:pPr>
      <w:r>
        <w:continuationSeparator/>
      </w:r>
    </w:p>
  </w:footnote>
  <w:footnote w:id="1">
    <w:p w:rsidR="003C76FC" w:rsidRDefault="00135C9B">
      <w:pPr>
        <w:pStyle w:val="FootnoteText"/>
      </w:pPr>
      <w:r>
        <w:rPr>
          <w:rStyle w:val="FootnoteReference"/>
        </w:rPr>
        <w:footnoteRef/>
      </w:r>
      <w:r>
        <w:rPr>
          <w:rFonts w:ascii="Times New Roman" w:hAnsi="Times New Roman"/>
        </w:rPr>
        <w:t xml:space="preserve"> The numbering of draft resolutions presented to MOP6 may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 w:type="dxa"/>
        <w:right w:w="10" w:type="dxa"/>
      </w:tblCellMar>
      <w:tblLook w:val="04A0" w:firstRow="1" w:lastRow="0" w:firstColumn="1" w:lastColumn="0" w:noHBand="0" w:noVBand="1"/>
    </w:tblPr>
    <w:tblGrid>
      <w:gridCol w:w="2230"/>
      <w:gridCol w:w="5110"/>
      <w:gridCol w:w="2299"/>
    </w:tblGrid>
    <w:tr w:rsidR="001A7D64" w:rsidRPr="003947B1">
      <w:trPr>
        <w:trHeight w:val="1256"/>
      </w:trPr>
      <w:tc>
        <w:tcPr>
          <w:tcW w:w="2230" w:type="dxa"/>
          <w:shd w:val="clear" w:color="auto" w:fill="auto"/>
          <w:tcMar>
            <w:top w:w="0" w:type="dxa"/>
            <w:left w:w="108" w:type="dxa"/>
            <w:bottom w:w="0" w:type="dxa"/>
            <w:right w:w="108" w:type="dxa"/>
          </w:tcMar>
        </w:tcPr>
        <w:p w:rsidR="001A7D64" w:rsidRDefault="00135C9B">
          <w:pPr>
            <w:spacing w:after="0" w:line="240" w:lineRule="auto"/>
          </w:pPr>
          <w:r>
            <w:rPr>
              <w:rFonts w:ascii="Times New Roman" w:eastAsia="Times New Roman" w:hAnsi="Times New Roman"/>
              <w:noProof/>
              <w:sz w:val="24"/>
              <w:szCs w:val="24"/>
              <w:lang w:eastAsia="en-GB"/>
            </w:rPr>
            <w:drawing>
              <wp:inline distT="0" distB="0" distL="0" distR="0">
                <wp:extent cx="794385" cy="673739"/>
                <wp:effectExtent l="0" t="0" r="5715" b="0"/>
                <wp:docPr id="1" name="Picture 5"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94385" cy="673739"/>
                        </a:xfrm>
                        <a:prstGeom prst="rect">
                          <a:avLst/>
                        </a:prstGeom>
                        <a:noFill/>
                        <a:ln>
                          <a:noFill/>
                          <a:prstDash/>
                        </a:ln>
                      </pic:spPr>
                    </pic:pic>
                  </a:graphicData>
                </a:graphic>
              </wp:inline>
            </w:drawing>
          </w:r>
        </w:p>
      </w:tc>
      <w:tc>
        <w:tcPr>
          <w:tcW w:w="5110" w:type="dxa"/>
          <w:shd w:val="clear" w:color="auto" w:fill="auto"/>
          <w:tcMar>
            <w:top w:w="0" w:type="dxa"/>
            <w:left w:w="108" w:type="dxa"/>
            <w:bottom w:w="0" w:type="dxa"/>
            <w:right w:w="108" w:type="dxa"/>
          </w:tcMar>
        </w:tcPr>
        <w:p w:rsidR="001A7D64" w:rsidRDefault="00135C9B">
          <w:pPr>
            <w:spacing w:after="0" w:line="240" w:lineRule="auto"/>
            <w:jc w:val="center"/>
            <w:rPr>
              <w:rFonts w:ascii="Times New Roman" w:eastAsia="Times New Roman" w:hAnsi="Times New Roman"/>
              <w:i/>
            </w:rPr>
          </w:pPr>
          <w:r>
            <w:rPr>
              <w:rFonts w:ascii="Times New Roman" w:eastAsia="Times New Roman" w:hAnsi="Times New Roman"/>
              <w:i/>
            </w:rPr>
            <w:t>AGREEMENT ON THE CONSERVATION OF</w:t>
          </w:r>
        </w:p>
        <w:p w:rsidR="001A7D64" w:rsidRDefault="00135C9B">
          <w:pPr>
            <w:spacing w:after="0" w:line="240" w:lineRule="auto"/>
            <w:jc w:val="center"/>
          </w:pPr>
          <w:r>
            <w:rPr>
              <w:rFonts w:ascii="Times New Roman" w:eastAsia="Times New Roman" w:hAnsi="Times New Roman"/>
              <w:i/>
            </w:rPr>
            <w:t>AFRICAN-EURASIAN MIGRATORY WATERBIRDS</w:t>
          </w:r>
        </w:p>
      </w:tc>
      <w:tc>
        <w:tcPr>
          <w:tcW w:w="2299" w:type="dxa"/>
          <w:shd w:val="clear" w:color="auto" w:fill="auto"/>
          <w:tcMar>
            <w:top w:w="0" w:type="dxa"/>
            <w:left w:w="108" w:type="dxa"/>
            <w:bottom w:w="0" w:type="dxa"/>
            <w:right w:w="108" w:type="dxa"/>
          </w:tcMar>
        </w:tcPr>
        <w:p w:rsidR="001A7D64" w:rsidRDefault="00135C9B">
          <w:pPr>
            <w:spacing w:after="0" w:line="240" w:lineRule="auto"/>
            <w:jc w:val="right"/>
            <w:rPr>
              <w:rFonts w:ascii="Times New Roman" w:eastAsia="Times New Roman" w:hAnsi="Times New Roman"/>
              <w:i/>
              <w:iCs/>
              <w:sz w:val="20"/>
              <w:szCs w:val="20"/>
              <w:lang w:val="de-DE"/>
            </w:rPr>
          </w:pPr>
          <w:r>
            <w:rPr>
              <w:rFonts w:ascii="Times New Roman" w:eastAsia="Times New Roman" w:hAnsi="Times New Roman"/>
              <w:i/>
              <w:iCs/>
              <w:sz w:val="20"/>
              <w:szCs w:val="20"/>
              <w:lang w:val="de-DE"/>
            </w:rPr>
            <w:t xml:space="preserve">Doc </w:t>
          </w:r>
          <w:proofErr w:type="spellStart"/>
          <w:r>
            <w:rPr>
              <w:rFonts w:ascii="Times New Roman" w:eastAsia="Times New Roman" w:hAnsi="Times New Roman"/>
              <w:i/>
              <w:iCs/>
              <w:sz w:val="20"/>
              <w:szCs w:val="20"/>
              <w:lang w:val="de-DE"/>
            </w:rPr>
            <w:t>StC</w:t>
          </w:r>
          <w:proofErr w:type="spellEnd"/>
          <w:r>
            <w:rPr>
              <w:rFonts w:ascii="Times New Roman" w:eastAsia="Times New Roman" w:hAnsi="Times New Roman"/>
              <w:i/>
              <w:iCs/>
              <w:sz w:val="20"/>
              <w:szCs w:val="20"/>
              <w:lang w:val="de-DE"/>
            </w:rPr>
            <w:t xml:space="preserve"> 10.DR18</w:t>
          </w:r>
        </w:p>
        <w:p w:rsidR="001A7D64" w:rsidRPr="00135C9B" w:rsidRDefault="00135C9B">
          <w:pPr>
            <w:spacing w:after="0" w:line="240" w:lineRule="auto"/>
            <w:jc w:val="right"/>
            <w:rPr>
              <w:lang w:val="de-DE"/>
            </w:rPr>
          </w:pPr>
          <w:r>
            <w:rPr>
              <w:rFonts w:ascii="Times New Roman" w:eastAsia="Times New Roman" w:hAnsi="Times New Roman"/>
              <w:i/>
              <w:iCs/>
              <w:sz w:val="20"/>
              <w:szCs w:val="20"/>
              <w:lang w:val="de-DE"/>
            </w:rPr>
            <w:t xml:space="preserve">Agenda item 19 </w:t>
          </w:r>
        </w:p>
        <w:p w:rsidR="001A7D64" w:rsidRPr="00135C9B" w:rsidRDefault="00135C9B">
          <w:pPr>
            <w:spacing w:after="0" w:line="240" w:lineRule="auto"/>
            <w:jc w:val="right"/>
            <w:rPr>
              <w:lang w:val="de-DE"/>
            </w:rPr>
          </w:pPr>
          <w:r>
            <w:rPr>
              <w:rFonts w:ascii="Times New Roman" w:eastAsia="Times New Roman" w:hAnsi="Times New Roman"/>
              <w:i/>
              <w:iCs/>
              <w:sz w:val="20"/>
              <w:szCs w:val="20"/>
              <w:lang w:val="de-DE"/>
            </w:rPr>
            <w:t>8 June  2015</w:t>
          </w:r>
        </w:p>
      </w:tc>
    </w:tr>
    <w:tr w:rsidR="001A7D64">
      <w:tc>
        <w:tcPr>
          <w:tcW w:w="9639" w:type="dxa"/>
          <w:gridSpan w:val="3"/>
          <w:shd w:val="clear" w:color="auto" w:fill="auto"/>
          <w:tcMar>
            <w:top w:w="0" w:type="dxa"/>
            <w:left w:w="108" w:type="dxa"/>
            <w:bottom w:w="0" w:type="dxa"/>
            <w:right w:w="108" w:type="dxa"/>
          </w:tcMar>
        </w:tcPr>
        <w:p w:rsidR="001A7D64" w:rsidRDefault="00135C9B">
          <w:pPr>
            <w:spacing w:after="0" w:line="240" w:lineRule="auto"/>
            <w:jc w:val="center"/>
          </w:pPr>
          <w:r>
            <w:rPr>
              <w:rFonts w:ascii="Times New Roman" w:eastAsia="Times New Roman" w:hAnsi="Times New Roman"/>
              <w:b/>
              <w:bCs/>
              <w:sz w:val="26"/>
              <w:szCs w:val="26"/>
            </w:rPr>
            <w:t>10</w:t>
          </w:r>
          <w:r>
            <w:rPr>
              <w:rFonts w:ascii="Times New Roman" w:eastAsia="Times New Roman" w:hAnsi="Times New Roman"/>
              <w:b/>
              <w:bCs/>
              <w:sz w:val="26"/>
              <w:szCs w:val="26"/>
              <w:vertAlign w:val="superscript"/>
            </w:rPr>
            <w:t>th</w:t>
          </w:r>
          <w:r>
            <w:rPr>
              <w:rFonts w:ascii="Times New Roman" w:eastAsia="Times New Roman" w:hAnsi="Times New Roman"/>
              <w:b/>
              <w:bCs/>
              <w:sz w:val="26"/>
              <w:szCs w:val="26"/>
            </w:rPr>
            <w:t xml:space="preserve"> </w:t>
          </w:r>
          <w:r>
            <w:rPr>
              <w:rFonts w:ascii="Times New Roman" w:eastAsia="Times New Roman" w:hAnsi="Times New Roman"/>
              <w:b/>
              <w:bCs/>
              <w:caps/>
              <w:sz w:val="26"/>
              <w:szCs w:val="26"/>
            </w:rPr>
            <w:t>Meeting of the STANDING COMMITTEE</w:t>
          </w:r>
        </w:p>
        <w:p w:rsidR="001A7D64" w:rsidRDefault="00135C9B">
          <w:pPr>
            <w:spacing w:after="0" w:line="240" w:lineRule="auto"/>
            <w:jc w:val="center"/>
          </w:pPr>
          <w:r>
            <w:rPr>
              <w:rFonts w:ascii="Times New Roman" w:eastAsia="Times New Roman" w:hAnsi="Times New Roman"/>
              <w:i/>
              <w:iCs/>
            </w:rPr>
            <w:t>8-10 July 2015, Kampala, Uganda</w:t>
          </w:r>
        </w:p>
      </w:tc>
    </w:tr>
    <w:tr w:rsidR="001A7D64">
      <w:trPr>
        <w:trHeight w:val="270"/>
      </w:trPr>
      <w:tc>
        <w:tcPr>
          <w:tcW w:w="9639" w:type="dxa"/>
          <w:gridSpan w:val="3"/>
          <w:tcBorders>
            <w:bottom w:val="single" w:sz="2" w:space="0" w:color="000000"/>
          </w:tcBorders>
          <w:shd w:val="clear" w:color="auto" w:fill="auto"/>
          <w:tcMar>
            <w:top w:w="0" w:type="dxa"/>
            <w:left w:w="108" w:type="dxa"/>
            <w:bottom w:w="0" w:type="dxa"/>
            <w:right w:w="108" w:type="dxa"/>
          </w:tcMar>
          <w:vAlign w:val="center"/>
        </w:tcPr>
        <w:p w:rsidR="001A7D64" w:rsidRDefault="003947B1">
          <w:pPr>
            <w:spacing w:after="0" w:line="240" w:lineRule="auto"/>
            <w:rPr>
              <w:rFonts w:ascii="Times New Roman" w:eastAsia="Times New Roman" w:hAnsi="Times New Roman"/>
              <w:bCs/>
              <w:i/>
              <w:sz w:val="24"/>
              <w:szCs w:val="24"/>
            </w:rPr>
          </w:pPr>
        </w:p>
      </w:tc>
    </w:tr>
  </w:tbl>
  <w:p w:rsidR="001A7D64" w:rsidRDefault="003947B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64" w:rsidRDefault="003947B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E0DCE"/>
    <w:multiLevelType w:val="multilevel"/>
    <w:tmpl w:val="AB52E3E6"/>
    <w:lvl w:ilvl="0">
      <w:start w:val="1"/>
      <w:numFmt w:val="decimal"/>
      <w:lvlText w:val="%1."/>
      <w:lvlJc w:val="left"/>
      <w:rPr>
        <w:rFonts w:ascii="Times New Roman" w:hAnsi="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FC"/>
    <w:rsid w:val="00135C9B"/>
    <w:rsid w:val="003947B1"/>
    <w:rsid w:val="003C76FC"/>
    <w:rsid w:val="007F0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7F175-A54D-47F5-BF5B-802A55B8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uppressAutoHyphens/>
      <w:autoSpaceDE w:val="0"/>
      <w:spacing w:after="0" w:line="240" w:lineRule="auto"/>
    </w:pPr>
    <w:rPr>
      <w:rFonts w:ascii="Times New Roman" w:eastAsia="Times New Roman" w:hAnsi="Times New Roman"/>
      <w:color w:val="000000"/>
      <w:sz w:val="24"/>
      <w:szCs w:val="24"/>
      <w:lang w:val="en-US"/>
    </w:rPr>
  </w:style>
  <w:style w:type="paragraph" w:customStyle="1" w:styleId="CM10">
    <w:name w:val="CM10"/>
    <w:basedOn w:val="Default"/>
    <w:next w:val="Default"/>
    <w:rPr>
      <w:color w:val="auto"/>
    </w:rPr>
  </w:style>
  <w:style w:type="paragraph" w:customStyle="1" w:styleId="CM2">
    <w:name w:val="CM2"/>
    <w:basedOn w:val="Default"/>
    <w:next w:val="Default"/>
    <w:rPr>
      <w:color w:val="auto"/>
    </w:rPr>
  </w:style>
  <w:style w:type="paragraph" w:customStyle="1" w:styleId="CM12">
    <w:name w:val="CM12"/>
    <w:basedOn w:val="Default"/>
    <w:next w:val="Default"/>
    <w:rPr>
      <w:color w:val="auto"/>
    </w:rPr>
  </w:style>
  <w:style w:type="paragraph" w:customStyle="1" w:styleId="CM3">
    <w:name w:val="CM3"/>
    <w:basedOn w:val="Default"/>
    <w:next w:val="Default"/>
    <w:pPr>
      <w:spacing w:line="253" w:lineRule="atLeast"/>
    </w:pPr>
    <w:rPr>
      <w:color w:val="auto"/>
    </w:rPr>
  </w:style>
  <w:style w:type="paragraph" w:styleId="Header">
    <w:name w:val="header"/>
    <w:basedOn w:val="Normal"/>
    <w:pPr>
      <w:tabs>
        <w:tab w:val="center" w:pos="4513"/>
        <w:tab w:val="right" w:pos="9026"/>
      </w:tabs>
    </w:pPr>
    <w:rPr>
      <w:rFonts w:eastAsia="Times New Roman"/>
      <w:lang w:val="en-US"/>
    </w:rPr>
  </w:style>
  <w:style w:type="character" w:customStyle="1" w:styleId="HeaderChar">
    <w:name w:val="Header Char"/>
    <w:basedOn w:val="DefaultParagraphFont"/>
    <w:rPr>
      <w:rFonts w:eastAsia="Times New Roman" w:cs="Times New Roman"/>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Kremer</dc:creator>
  <cp:lastModifiedBy>Jolanta Kremer</cp:lastModifiedBy>
  <cp:revision>3</cp:revision>
  <cp:lastPrinted>2015-06-08T11:24:00Z</cp:lastPrinted>
  <dcterms:created xsi:type="dcterms:W3CDTF">2015-06-08T15:05:00Z</dcterms:created>
  <dcterms:modified xsi:type="dcterms:W3CDTF">2015-06-09T09:29:00Z</dcterms:modified>
</cp:coreProperties>
</file>