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98E02" w14:textId="77777777" w:rsidR="00C3362D" w:rsidRPr="00074BD9" w:rsidRDefault="00C3362D" w:rsidP="007747EF">
      <w:pPr>
        <w:spacing w:line="240" w:lineRule="exact"/>
        <w:ind w:right="-427"/>
        <w:jc w:val="center"/>
        <w:rPr>
          <w:rStyle w:val="Emphasis"/>
        </w:rPr>
      </w:pPr>
    </w:p>
    <w:p w14:paraId="0CA98E03" w14:textId="7790A194" w:rsidR="00C3362D" w:rsidRPr="00872F44" w:rsidRDefault="00C3362D" w:rsidP="00910DF7">
      <w:pPr>
        <w:spacing w:line="240" w:lineRule="exact"/>
        <w:jc w:val="center"/>
        <w:rPr>
          <w:bCs/>
          <w:sz w:val="24"/>
          <w:lang w:val="fr-FR"/>
        </w:rPr>
      </w:pPr>
      <w:r w:rsidRPr="00872F44">
        <w:rPr>
          <w:bCs/>
          <w:sz w:val="24"/>
          <w:lang w:val="fr-FR"/>
        </w:rPr>
        <w:t>R</w:t>
      </w:r>
      <w:r>
        <w:rPr>
          <w:bCs/>
          <w:sz w:val="24"/>
          <w:lang w:val="fr-FR"/>
        </w:rPr>
        <w:t>É</w:t>
      </w:r>
      <w:r w:rsidRPr="00872F44">
        <w:rPr>
          <w:bCs/>
          <w:sz w:val="24"/>
          <w:lang w:val="fr-FR"/>
        </w:rPr>
        <w:t>SOLUTION 5.</w:t>
      </w:r>
      <w:r>
        <w:rPr>
          <w:bCs/>
          <w:sz w:val="24"/>
          <w:lang w:val="fr-FR"/>
        </w:rPr>
        <w:t>8</w:t>
      </w:r>
    </w:p>
    <w:p w14:paraId="0CA98E04" w14:textId="77777777" w:rsidR="00C3362D" w:rsidRPr="00872F44" w:rsidRDefault="00C3362D" w:rsidP="007747EF">
      <w:pPr>
        <w:spacing w:line="240" w:lineRule="exact"/>
        <w:jc w:val="center"/>
        <w:rPr>
          <w:b/>
          <w:bCs/>
          <w:sz w:val="24"/>
          <w:lang w:val="fr-FR"/>
        </w:rPr>
      </w:pPr>
    </w:p>
    <w:p w14:paraId="0CA98E05" w14:textId="77777777" w:rsidR="00C3362D" w:rsidRPr="00872F44" w:rsidRDefault="00C3362D" w:rsidP="007747EF">
      <w:pPr>
        <w:pStyle w:val="Heading9"/>
        <w:widowControl/>
        <w:tabs>
          <w:tab w:val="clear" w:pos="720"/>
        </w:tabs>
        <w:spacing w:line="240" w:lineRule="exact"/>
        <w:ind w:left="0" w:firstLine="0"/>
        <w:rPr>
          <w:sz w:val="24"/>
          <w:szCs w:val="24"/>
          <w:lang w:val="fr-FR"/>
        </w:rPr>
      </w:pPr>
      <w:r w:rsidRPr="00872F44">
        <w:rPr>
          <w:bCs/>
          <w:sz w:val="24"/>
          <w:szCs w:val="24"/>
          <w:lang w:val="fr-FR"/>
        </w:rPr>
        <w:t xml:space="preserve">ADOPTION </w:t>
      </w:r>
      <w:r>
        <w:rPr>
          <w:bCs/>
          <w:sz w:val="24"/>
          <w:szCs w:val="24"/>
          <w:lang w:val="fr-FR"/>
        </w:rPr>
        <w:t>ET MISE EN ŒUVRE DES PLANS D’ACTION INTERNATIONAUX PAR ESPÈCE ET DES PLANS DE GESTION DES ESPÈCES</w:t>
      </w:r>
    </w:p>
    <w:p w14:paraId="0CA98E06" w14:textId="77777777" w:rsidR="00C3362D" w:rsidRPr="00872F44" w:rsidRDefault="00C3362D" w:rsidP="007747EF">
      <w:pPr>
        <w:spacing w:line="180" w:lineRule="auto"/>
        <w:jc w:val="both"/>
        <w:rPr>
          <w:rFonts w:ascii="Arial" w:hAnsi="Arial"/>
          <w:sz w:val="22"/>
          <w:szCs w:val="22"/>
          <w:lang w:val="fr-FR"/>
        </w:rPr>
      </w:pPr>
    </w:p>
    <w:p w14:paraId="0CA98E07" w14:textId="77777777" w:rsidR="00C3362D" w:rsidRPr="00872F44" w:rsidRDefault="00C3362D" w:rsidP="007747EF">
      <w:pPr>
        <w:ind w:firstLine="720"/>
        <w:jc w:val="both"/>
        <w:rPr>
          <w:i/>
          <w:sz w:val="22"/>
          <w:szCs w:val="22"/>
          <w:lang w:val="fr-FR"/>
        </w:rPr>
      </w:pPr>
    </w:p>
    <w:p w14:paraId="0CA98E08" w14:textId="095FE633" w:rsidR="00C3362D" w:rsidRPr="00872F44" w:rsidRDefault="00C3362D" w:rsidP="007747EF">
      <w:pPr>
        <w:ind w:firstLine="720"/>
        <w:jc w:val="both"/>
        <w:rPr>
          <w:sz w:val="22"/>
          <w:szCs w:val="22"/>
          <w:lang w:val="fr-FR"/>
        </w:rPr>
      </w:pPr>
      <w:r w:rsidRPr="00872F44">
        <w:rPr>
          <w:i/>
          <w:sz w:val="22"/>
          <w:szCs w:val="22"/>
          <w:lang w:val="fr-FR"/>
        </w:rPr>
        <w:t>R</w:t>
      </w:r>
      <w:r>
        <w:rPr>
          <w:i/>
          <w:sz w:val="22"/>
          <w:szCs w:val="22"/>
          <w:lang w:val="fr-FR"/>
        </w:rPr>
        <w:t>appelant</w:t>
      </w:r>
      <w:r>
        <w:rPr>
          <w:sz w:val="22"/>
          <w:szCs w:val="22"/>
          <w:lang w:val="fr-FR"/>
        </w:rPr>
        <w:t xml:space="preserve"> le</w:t>
      </w:r>
      <w:r w:rsidRPr="00872F44">
        <w:rPr>
          <w:sz w:val="22"/>
          <w:szCs w:val="22"/>
          <w:lang w:val="fr-FR"/>
        </w:rPr>
        <w:t xml:space="preserve"> paragraph</w:t>
      </w:r>
      <w:r>
        <w:rPr>
          <w:sz w:val="22"/>
          <w:szCs w:val="22"/>
          <w:lang w:val="fr-FR"/>
        </w:rPr>
        <w:t>e</w:t>
      </w:r>
      <w:r w:rsidRPr="00872F44">
        <w:rPr>
          <w:sz w:val="22"/>
          <w:szCs w:val="22"/>
          <w:lang w:val="fr-FR"/>
        </w:rPr>
        <w:t xml:space="preserve"> 2.2.1 </w:t>
      </w:r>
      <w:r>
        <w:rPr>
          <w:sz w:val="22"/>
          <w:szCs w:val="22"/>
          <w:lang w:val="fr-FR"/>
        </w:rPr>
        <w:t xml:space="preserve">du Plan d’action de l’Accord qui stipule que les </w:t>
      </w:r>
      <w:r w:rsidRPr="00872F44">
        <w:rPr>
          <w:sz w:val="22"/>
          <w:szCs w:val="22"/>
          <w:lang w:val="fr-FR"/>
        </w:rPr>
        <w:t xml:space="preserve">Parties </w:t>
      </w:r>
      <w:r>
        <w:rPr>
          <w:sz w:val="22"/>
          <w:szCs w:val="22"/>
          <w:lang w:val="fr-FR"/>
        </w:rPr>
        <w:t>coop</w:t>
      </w:r>
      <w:r w:rsidR="002C6289">
        <w:rPr>
          <w:sz w:val="22"/>
          <w:szCs w:val="22"/>
          <w:lang w:val="fr-FR"/>
        </w:rPr>
        <w:t>é</w:t>
      </w:r>
      <w:r>
        <w:rPr>
          <w:sz w:val="22"/>
          <w:szCs w:val="22"/>
          <w:lang w:val="fr-FR"/>
        </w:rPr>
        <w:t xml:space="preserve">reront en vue d’élaborer et de mettre en œuvre des plans d’action internationaux par espèce </w:t>
      </w:r>
      <w:r w:rsidRPr="00872F44">
        <w:rPr>
          <w:sz w:val="22"/>
          <w:szCs w:val="22"/>
          <w:lang w:val="fr-FR"/>
        </w:rPr>
        <w:t>(SSAP),</w:t>
      </w:r>
      <w:r>
        <w:rPr>
          <w:sz w:val="22"/>
          <w:szCs w:val="22"/>
          <w:lang w:val="fr-FR"/>
        </w:rPr>
        <w:t xml:space="preserve"> ceci en priorité pour les populations figurant dans la c</w:t>
      </w:r>
      <w:r w:rsidRPr="00872F44">
        <w:rPr>
          <w:sz w:val="22"/>
          <w:szCs w:val="22"/>
          <w:lang w:val="fr-FR"/>
        </w:rPr>
        <w:t xml:space="preserve">atégorie 1 </w:t>
      </w:r>
      <w:r>
        <w:rPr>
          <w:sz w:val="22"/>
          <w:szCs w:val="22"/>
          <w:lang w:val="fr-FR"/>
        </w:rPr>
        <w:t xml:space="preserve">de la colonne </w:t>
      </w:r>
      <w:r w:rsidRPr="00872F44">
        <w:rPr>
          <w:sz w:val="22"/>
          <w:szCs w:val="22"/>
          <w:lang w:val="fr-FR"/>
        </w:rPr>
        <w:t xml:space="preserve">A </w:t>
      </w:r>
      <w:r>
        <w:rPr>
          <w:sz w:val="22"/>
          <w:szCs w:val="22"/>
          <w:lang w:val="fr-FR"/>
        </w:rPr>
        <w:t>du</w:t>
      </w:r>
      <w:r w:rsidRPr="00872F44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Tableau</w:t>
      </w:r>
      <w:r w:rsidRPr="00872F44">
        <w:rPr>
          <w:sz w:val="22"/>
          <w:szCs w:val="22"/>
          <w:lang w:val="fr-FR"/>
        </w:rPr>
        <w:t xml:space="preserve"> 1 </w:t>
      </w:r>
      <w:r>
        <w:rPr>
          <w:sz w:val="22"/>
          <w:szCs w:val="22"/>
          <w:lang w:val="fr-FR"/>
        </w:rPr>
        <w:t xml:space="preserve">et celles marquées d’un </w:t>
      </w:r>
      <w:r w:rsidRPr="00872F44">
        <w:rPr>
          <w:sz w:val="22"/>
          <w:szCs w:val="22"/>
          <w:lang w:val="fr-FR"/>
        </w:rPr>
        <w:t>astéris</w:t>
      </w:r>
      <w:r>
        <w:rPr>
          <w:sz w:val="22"/>
          <w:szCs w:val="22"/>
          <w:lang w:val="fr-FR"/>
        </w:rPr>
        <w:t>que</w:t>
      </w:r>
      <w:r w:rsidRPr="00872F44">
        <w:rPr>
          <w:sz w:val="22"/>
          <w:szCs w:val="22"/>
          <w:lang w:val="fr-FR"/>
        </w:rPr>
        <w:t>,</w:t>
      </w:r>
    </w:p>
    <w:p w14:paraId="0CA98E09" w14:textId="77777777" w:rsidR="00C3362D" w:rsidRPr="00872F44" w:rsidRDefault="00C3362D" w:rsidP="007747EF">
      <w:pPr>
        <w:ind w:firstLine="720"/>
        <w:jc w:val="both"/>
        <w:rPr>
          <w:sz w:val="22"/>
          <w:szCs w:val="22"/>
          <w:lang w:val="fr-FR"/>
        </w:rPr>
      </w:pPr>
    </w:p>
    <w:p w14:paraId="0CA98E0A" w14:textId="3F0EE4CE" w:rsidR="00C3362D" w:rsidRPr="00872F44" w:rsidRDefault="00C3362D" w:rsidP="007747EF">
      <w:pPr>
        <w:ind w:firstLine="720"/>
        <w:jc w:val="both"/>
        <w:rPr>
          <w:sz w:val="22"/>
          <w:szCs w:val="22"/>
          <w:lang w:val="fr-FR"/>
        </w:rPr>
      </w:pPr>
      <w:r w:rsidRPr="00DD1460">
        <w:rPr>
          <w:i/>
          <w:sz w:val="22"/>
          <w:szCs w:val="22"/>
          <w:lang w:val="fr-FR"/>
        </w:rPr>
        <w:t>Notant</w:t>
      </w:r>
      <w:r w:rsidRPr="00DD1460">
        <w:rPr>
          <w:sz w:val="22"/>
          <w:szCs w:val="22"/>
          <w:lang w:val="fr-FR"/>
        </w:rPr>
        <w:t xml:space="preserve"> qu’en accord avec la cible 1.4 du Plan stratégique 2009-2017 de l’AEWA, les SSAP seront élaborés et mis en œuvre pour les espèces les plus menacées énumérées dans la catégorie 1 et les catégories 2 et 3 marquées d’un astérisque (colonne A du </w:t>
      </w:r>
      <w:r w:rsidR="00BC2E3C">
        <w:rPr>
          <w:sz w:val="22"/>
          <w:szCs w:val="22"/>
          <w:lang w:val="fr-FR"/>
        </w:rPr>
        <w:t>T</w:t>
      </w:r>
      <w:r w:rsidRPr="00DD1460">
        <w:rPr>
          <w:sz w:val="22"/>
          <w:szCs w:val="22"/>
          <w:lang w:val="fr-FR"/>
        </w:rPr>
        <w:t>ableau 1),</w:t>
      </w:r>
    </w:p>
    <w:p w14:paraId="0CA98E0B" w14:textId="77777777" w:rsidR="00C3362D" w:rsidRPr="00872F44" w:rsidRDefault="00C3362D" w:rsidP="007747EF">
      <w:pPr>
        <w:ind w:firstLine="720"/>
        <w:jc w:val="both"/>
        <w:rPr>
          <w:sz w:val="22"/>
          <w:szCs w:val="22"/>
          <w:lang w:val="fr-FR"/>
        </w:rPr>
      </w:pPr>
    </w:p>
    <w:p w14:paraId="0CA98E0C" w14:textId="13AE4269" w:rsidR="00C3362D" w:rsidRPr="00872F44" w:rsidRDefault="00C3362D" w:rsidP="007747EF">
      <w:pPr>
        <w:ind w:firstLine="720"/>
        <w:jc w:val="both"/>
        <w:rPr>
          <w:sz w:val="22"/>
          <w:szCs w:val="22"/>
          <w:lang w:val="fr-FR"/>
        </w:rPr>
      </w:pPr>
      <w:r>
        <w:rPr>
          <w:i/>
          <w:sz w:val="22"/>
          <w:szCs w:val="22"/>
          <w:lang w:val="fr-FR"/>
        </w:rPr>
        <w:t xml:space="preserve">Faisant référence </w:t>
      </w:r>
      <w:r w:rsidRPr="001B3DE4">
        <w:rPr>
          <w:sz w:val="22"/>
          <w:szCs w:val="22"/>
          <w:lang w:val="fr-FR"/>
        </w:rPr>
        <w:t>à la</w:t>
      </w:r>
      <w:r>
        <w:rPr>
          <w:i/>
          <w:sz w:val="22"/>
          <w:szCs w:val="22"/>
          <w:lang w:val="fr-FR"/>
        </w:rPr>
        <w:t xml:space="preserve"> </w:t>
      </w:r>
      <w:r w:rsidRPr="00872F44">
        <w:rPr>
          <w:sz w:val="22"/>
          <w:szCs w:val="22"/>
          <w:lang w:val="fr-FR"/>
        </w:rPr>
        <w:t>list</w:t>
      </w:r>
      <w:r>
        <w:rPr>
          <w:sz w:val="22"/>
          <w:szCs w:val="22"/>
          <w:lang w:val="fr-FR"/>
        </w:rPr>
        <w:t>e des priorités des espèces</w:t>
      </w:r>
      <w:r w:rsidRPr="00872F44">
        <w:rPr>
          <w:sz w:val="22"/>
          <w:szCs w:val="22"/>
          <w:lang w:val="fr-FR"/>
        </w:rPr>
        <w:t xml:space="preserve">/populations </w:t>
      </w:r>
      <w:r>
        <w:rPr>
          <w:sz w:val="22"/>
          <w:szCs w:val="22"/>
          <w:lang w:val="fr-FR"/>
        </w:rPr>
        <w:t>pour l’</w:t>
      </w:r>
      <w:r w:rsidRPr="00872F44">
        <w:rPr>
          <w:sz w:val="22"/>
          <w:szCs w:val="22"/>
          <w:lang w:val="fr-FR"/>
        </w:rPr>
        <w:t xml:space="preserve">élaboration </w:t>
      </w:r>
      <w:r>
        <w:rPr>
          <w:sz w:val="22"/>
          <w:szCs w:val="22"/>
          <w:lang w:val="fr-FR"/>
        </w:rPr>
        <w:t xml:space="preserve">de nouveaux </w:t>
      </w:r>
      <w:r w:rsidRPr="00872F44">
        <w:rPr>
          <w:sz w:val="22"/>
          <w:szCs w:val="22"/>
          <w:lang w:val="fr-FR"/>
        </w:rPr>
        <w:t>SSAP</w:t>
      </w:r>
      <w:r>
        <w:rPr>
          <w:sz w:val="22"/>
          <w:szCs w:val="22"/>
          <w:lang w:val="fr-FR"/>
        </w:rPr>
        <w:t xml:space="preserve"> et la liste des espèces en vue de la </w:t>
      </w:r>
      <w:r w:rsidRPr="00872F44">
        <w:rPr>
          <w:sz w:val="22"/>
          <w:szCs w:val="22"/>
          <w:lang w:val="fr-FR"/>
        </w:rPr>
        <w:t xml:space="preserve">révision </w:t>
      </w:r>
      <w:r>
        <w:rPr>
          <w:sz w:val="22"/>
          <w:szCs w:val="22"/>
          <w:lang w:val="fr-FR"/>
        </w:rPr>
        <w:t>des</w:t>
      </w:r>
      <w:r w:rsidRPr="00872F44">
        <w:rPr>
          <w:sz w:val="22"/>
          <w:szCs w:val="22"/>
          <w:lang w:val="fr-FR"/>
        </w:rPr>
        <w:t xml:space="preserve"> SSAP</w:t>
      </w:r>
      <w:r>
        <w:rPr>
          <w:sz w:val="22"/>
          <w:szCs w:val="22"/>
          <w:lang w:val="fr-FR"/>
        </w:rPr>
        <w:t xml:space="preserve"> approuvées par la</w:t>
      </w:r>
      <w:r w:rsidRPr="00872F44">
        <w:rPr>
          <w:sz w:val="22"/>
          <w:szCs w:val="22"/>
          <w:lang w:val="fr-FR"/>
        </w:rPr>
        <w:t xml:space="preserve"> Résolution 4.4, </w:t>
      </w:r>
      <w:r w:rsidR="001D7EA9">
        <w:rPr>
          <w:sz w:val="22"/>
          <w:szCs w:val="22"/>
          <w:lang w:val="fr-FR"/>
        </w:rPr>
        <w:t xml:space="preserve">prenant en compte la nouvelle catégorie 4 de la colonne A du </w:t>
      </w:r>
      <w:r w:rsidR="00BC2E3C">
        <w:rPr>
          <w:sz w:val="22"/>
          <w:szCs w:val="22"/>
          <w:lang w:val="fr-FR"/>
        </w:rPr>
        <w:t>T</w:t>
      </w:r>
      <w:r w:rsidR="001D7EA9">
        <w:rPr>
          <w:sz w:val="22"/>
          <w:szCs w:val="22"/>
          <w:lang w:val="fr-FR"/>
        </w:rPr>
        <w:t xml:space="preserve">ableau </w:t>
      </w:r>
      <w:r w:rsidR="00BC2E3C">
        <w:rPr>
          <w:sz w:val="22"/>
          <w:szCs w:val="22"/>
          <w:lang w:val="fr-FR"/>
        </w:rPr>
        <w:t>1</w:t>
      </w:r>
      <w:r w:rsidR="001D7EA9">
        <w:rPr>
          <w:sz w:val="22"/>
          <w:szCs w:val="22"/>
          <w:lang w:val="fr-FR"/>
        </w:rPr>
        <w:t xml:space="preserve"> d</w:t>
      </w:r>
      <w:r w:rsidR="00305237">
        <w:rPr>
          <w:sz w:val="22"/>
          <w:szCs w:val="22"/>
          <w:lang w:val="fr-FR"/>
        </w:rPr>
        <w:t>e l</w:t>
      </w:r>
      <w:r w:rsidR="001D7EA9">
        <w:rPr>
          <w:sz w:val="22"/>
          <w:szCs w:val="22"/>
          <w:lang w:val="fr-FR"/>
        </w:rPr>
        <w:t xml:space="preserve">’AEWA </w:t>
      </w:r>
      <w:r w:rsidR="00305237">
        <w:rPr>
          <w:sz w:val="22"/>
          <w:szCs w:val="22"/>
          <w:lang w:val="fr-FR"/>
        </w:rPr>
        <w:t xml:space="preserve">ayant été </w:t>
      </w:r>
      <w:r w:rsidR="001D7EA9">
        <w:rPr>
          <w:sz w:val="22"/>
          <w:szCs w:val="22"/>
          <w:lang w:val="fr-FR"/>
        </w:rPr>
        <w:t>rajouté</w:t>
      </w:r>
      <w:r w:rsidR="00BC2E3C">
        <w:rPr>
          <w:sz w:val="22"/>
          <w:szCs w:val="22"/>
          <w:lang w:val="fr-FR"/>
        </w:rPr>
        <w:t>e</w:t>
      </w:r>
      <w:r w:rsidR="001D7EA9">
        <w:rPr>
          <w:sz w:val="22"/>
          <w:szCs w:val="22"/>
          <w:lang w:val="fr-FR"/>
        </w:rPr>
        <w:t xml:space="preserve"> au plan d’action </w:t>
      </w:r>
      <w:r w:rsidR="002C6289">
        <w:rPr>
          <w:sz w:val="22"/>
          <w:szCs w:val="22"/>
          <w:lang w:val="fr-FR"/>
        </w:rPr>
        <w:t>dans</w:t>
      </w:r>
      <w:r w:rsidR="001D7EA9">
        <w:rPr>
          <w:sz w:val="22"/>
          <w:szCs w:val="22"/>
          <w:lang w:val="fr-FR"/>
        </w:rPr>
        <w:t xml:space="preserve"> la résolution 5.6</w:t>
      </w:r>
      <w:r w:rsidR="002C6289">
        <w:rPr>
          <w:sz w:val="22"/>
          <w:szCs w:val="22"/>
          <w:lang w:val="fr-FR"/>
        </w:rPr>
        <w:t>,</w:t>
      </w:r>
    </w:p>
    <w:p w14:paraId="0CA98E0D" w14:textId="77777777" w:rsidR="00C3362D" w:rsidRPr="00872F44" w:rsidRDefault="00C3362D" w:rsidP="007747EF">
      <w:pPr>
        <w:ind w:firstLine="720"/>
        <w:jc w:val="both"/>
        <w:rPr>
          <w:sz w:val="22"/>
          <w:szCs w:val="22"/>
          <w:lang w:val="fr-FR"/>
        </w:rPr>
      </w:pPr>
    </w:p>
    <w:p w14:paraId="0CA98E0E" w14:textId="77777777" w:rsidR="00C3362D" w:rsidRPr="00872F44" w:rsidRDefault="00C3362D" w:rsidP="00EA3711">
      <w:pPr>
        <w:ind w:firstLine="720"/>
        <w:jc w:val="both"/>
        <w:rPr>
          <w:sz w:val="22"/>
          <w:szCs w:val="22"/>
          <w:lang w:val="fr-FR"/>
        </w:rPr>
      </w:pPr>
      <w:r>
        <w:rPr>
          <w:i/>
          <w:sz w:val="22"/>
          <w:szCs w:val="22"/>
          <w:lang w:val="fr-FR"/>
        </w:rPr>
        <w:t xml:space="preserve">Rappelant également </w:t>
      </w:r>
      <w:r>
        <w:rPr>
          <w:sz w:val="22"/>
          <w:szCs w:val="22"/>
          <w:lang w:val="fr-FR"/>
        </w:rPr>
        <w:t xml:space="preserve">le </w:t>
      </w:r>
      <w:r w:rsidRPr="00872F44">
        <w:rPr>
          <w:sz w:val="22"/>
          <w:szCs w:val="22"/>
          <w:lang w:val="fr-FR"/>
        </w:rPr>
        <w:t>paragraph</w:t>
      </w:r>
      <w:r>
        <w:rPr>
          <w:sz w:val="22"/>
          <w:szCs w:val="22"/>
          <w:lang w:val="fr-FR"/>
        </w:rPr>
        <w:t>e</w:t>
      </w:r>
      <w:r w:rsidRPr="00872F44">
        <w:rPr>
          <w:sz w:val="22"/>
          <w:szCs w:val="22"/>
          <w:lang w:val="fr-FR"/>
        </w:rPr>
        <w:t xml:space="preserve"> 4.3.4 </w:t>
      </w:r>
      <w:r>
        <w:rPr>
          <w:sz w:val="22"/>
          <w:szCs w:val="22"/>
          <w:lang w:val="fr-FR"/>
        </w:rPr>
        <w:t xml:space="preserve">du Plan d’action de l’Accord par lequel les Parties coopéreront afin d’élaborer des Plans d’action par espèce pour les </w:t>
      </w:r>
      <w:r w:rsidRPr="00872F44">
        <w:rPr>
          <w:sz w:val="22"/>
          <w:szCs w:val="22"/>
          <w:lang w:val="fr-FR"/>
        </w:rPr>
        <w:t xml:space="preserve">populations </w:t>
      </w:r>
      <w:r>
        <w:rPr>
          <w:sz w:val="22"/>
          <w:szCs w:val="22"/>
          <w:lang w:val="fr-FR"/>
        </w:rPr>
        <w:t>qui causent des dommages significatifs, en particulier aux cultures et aux activités halieutiques</w:t>
      </w:r>
      <w:r w:rsidRPr="00872F44">
        <w:rPr>
          <w:sz w:val="22"/>
          <w:szCs w:val="22"/>
          <w:lang w:val="fr-FR"/>
        </w:rPr>
        <w:t>,</w:t>
      </w:r>
    </w:p>
    <w:p w14:paraId="0CA98E0F" w14:textId="77777777" w:rsidR="00C3362D" w:rsidRPr="00872F44" w:rsidRDefault="00C3362D" w:rsidP="00EA3711">
      <w:pPr>
        <w:ind w:firstLine="720"/>
        <w:jc w:val="both"/>
        <w:rPr>
          <w:sz w:val="22"/>
          <w:szCs w:val="22"/>
          <w:lang w:val="fr-FR"/>
        </w:rPr>
      </w:pPr>
    </w:p>
    <w:p w14:paraId="0CA98E10" w14:textId="1F367E61" w:rsidR="00C3362D" w:rsidRPr="00872F44" w:rsidRDefault="00C3362D" w:rsidP="00EA3711">
      <w:pPr>
        <w:ind w:firstLine="720"/>
        <w:jc w:val="both"/>
        <w:rPr>
          <w:sz w:val="22"/>
          <w:szCs w:val="22"/>
          <w:lang w:val="fr-FR"/>
        </w:rPr>
      </w:pPr>
      <w:r w:rsidRPr="00DD1460">
        <w:rPr>
          <w:i/>
          <w:sz w:val="22"/>
          <w:szCs w:val="22"/>
          <w:lang w:val="fr-FR"/>
        </w:rPr>
        <w:t xml:space="preserve">Notant en outre </w:t>
      </w:r>
      <w:r w:rsidRPr="00DD1460">
        <w:rPr>
          <w:sz w:val="22"/>
          <w:szCs w:val="22"/>
          <w:lang w:val="fr-FR"/>
        </w:rPr>
        <w:t>qu’en accord avec la cible</w:t>
      </w:r>
      <w:r w:rsidRPr="00DD1460">
        <w:rPr>
          <w:i/>
          <w:sz w:val="22"/>
          <w:szCs w:val="22"/>
          <w:lang w:val="fr-FR"/>
        </w:rPr>
        <w:t xml:space="preserve"> </w:t>
      </w:r>
      <w:r w:rsidRPr="00DD1460">
        <w:rPr>
          <w:sz w:val="22"/>
          <w:szCs w:val="22"/>
          <w:lang w:val="fr-FR"/>
        </w:rPr>
        <w:t xml:space="preserve">2.5 du Plan stratégique 2009-2017 de l’AEWA, des plans internationaux de gestion des prélèvements devront être développés et appliqués pour au moins deux populations </w:t>
      </w:r>
      <w:r w:rsidR="00EC7300">
        <w:rPr>
          <w:sz w:val="22"/>
          <w:szCs w:val="22"/>
          <w:lang w:val="fr-FR"/>
        </w:rPr>
        <w:t>d’espèces prélevées</w:t>
      </w:r>
      <w:r w:rsidRPr="00DD1460">
        <w:rPr>
          <w:sz w:val="22"/>
          <w:szCs w:val="22"/>
          <w:lang w:val="fr-FR"/>
        </w:rPr>
        <w:t>,</w:t>
      </w:r>
    </w:p>
    <w:p w14:paraId="0CA98E11" w14:textId="77777777" w:rsidR="00C3362D" w:rsidRPr="00872F44" w:rsidRDefault="00C3362D" w:rsidP="007747EF">
      <w:pPr>
        <w:spacing w:line="180" w:lineRule="auto"/>
        <w:jc w:val="both"/>
        <w:rPr>
          <w:sz w:val="22"/>
          <w:lang w:val="fr-FR"/>
        </w:rPr>
      </w:pPr>
    </w:p>
    <w:p w14:paraId="0CA98E12" w14:textId="1A2E27DD" w:rsidR="00C3362D" w:rsidRPr="00872F44" w:rsidRDefault="00C3362D" w:rsidP="007747EF">
      <w:pPr>
        <w:ind w:firstLine="720"/>
        <w:jc w:val="both"/>
        <w:rPr>
          <w:sz w:val="22"/>
          <w:lang w:val="fr-FR"/>
        </w:rPr>
      </w:pPr>
      <w:r>
        <w:rPr>
          <w:i/>
          <w:sz w:val="22"/>
          <w:lang w:val="fr-FR"/>
        </w:rPr>
        <w:t xml:space="preserve">Suivant </w:t>
      </w:r>
      <w:r w:rsidRPr="002C3920">
        <w:rPr>
          <w:sz w:val="22"/>
          <w:lang w:val="fr-FR"/>
        </w:rPr>
        <w:t xml:space="preserve">les </w:t>
      </w:r>
      <w:r w:rsidRPr="00872F44">
        <w:rPr>
          <w:sz w:val="22"/>
          <w:lang w:val="fr-FR"/>
        </w:rPr>
        <w:t xml:space="preserve">recommandations </w:t>
      </w:r>
      <w:r>
        <w:rPr>
          <w:sz w:val="22"/>
          <w:lang w:val="fr-FR"/>
        </w:rPr>
        <w:t xml:space="preserve">positives des Comités technique et permanent au sujet de la nécessité d’approuver et de mettre en œuvre quatre nouveaux </w:t>
      </w:r>
      <w:r w:rsidRPr="00872F44">
        <w:rPr>
          <w:sz w:val="22"/>
          <w:lang w:val="fr-FR"/>
        </w:rPr>
        <w:t xml:space="preserve">SSAP, </w:t>
      </w:r>
      <w:r>
        <w:rPr>
          <w:sz w:val="22"/>
          <w:lang w:val="fr-FR"/>
        </w:rPr>
        <w:t xml:space="preserve">un </w:t>
      </w:r>
      <w:r w:rsidRPr="00872F44">
        <w:rPr>
          <w:sz w:val="22"/>
          <w:lang w:val="fr-FR"/>
        </w:rPr>
        <w:t xml:space="preserve">SSAP </w:t>
      </w:r>
      <w:r>
        <w:rPr>
          <w:sz w:val="22"/>
          <w:lang w:val="fr-FR"/>
        </w:rPr>
        <w:t xml:space="preserve">révisé et le premier plan de gestion </w:t>
      </w:r>
      <w:r w:rsidR="001D7EA9">
        <w:rPr>
          <w:sz w:val="22"/>
          <w:lang w:val="fr-FR"/>
        </w:rPr>
        <w:t xml:space="preserve">d’espèce </w:t>
      </w:r>
      <w:r>
        <w:rPr>
          <w:sz w:val="22"/>
          <w:lang w:val="fr-FR"/>
        </w:rPr>
        <w:t>de l’AEWA pour une population d’oiseaux d’eau</w:t>
      </w:r>
      <w:r w:rsidRPr="00872F44">
        <w:rPr>
          <w:sz w:val="22"/>
          <w:lang w:val="fr-FR"/>
        </w:rPr>
        <w:t xml:space="preserve">, </w:t>
      </w:r>
    </w:p>
    <w:p w14:paraId="0CA98E13" w14:textId="77777777" w:rsidR="00C3362D" w:rsidRPr="00872F44" w:rsidRDefault="00C3362D" w:rsidP="007747EF">
      <w:pPr>
        <w:jc w:val="both"/>
        <w:rPr>
          <w:sz w:val="22"/>
          <w:lang w:val="fr-FR"/>
        </w:rPr>
      </w:pPr>
    </w:p>
    <w:p w14:paraId="0CA98E14" w14:textId="089B069D" w:rsidR="00C3362D" w:rsidRPr="00872F44" w:rsidRDefault="00C3362D" w:rsidP="007747EF">
      <w:pPr>
        <w:jc w:val="both"/>
        <w:rPr>
          <w:sz w:val="22"/>
          <w:lang w:val="fr-FR"/>
        </w:rPr>
      </w:pPr>
      <w:r w:rsidRPr="00872F44">
        <w:rPr>
          <w:sz w:val="22"/>
          <w:lang w:val="fr-FR"/>
        </w:rPr>
        <w:tab/>
      </w:r>
      <w:r>
        <w:rPr>
          <w:i/>
          <w:sz w:val="22"/>
          <w:lang w:val="fr-FR"/>
        </w:rPr>
        <w:t xml:space="preserve">Rappelant en outre </w:t>
      </w:r>
      <w:r w:rsidRPr="00BB4D3D">
        <w:rPr>
          <w:sz w:val="22"/>
          <w:lang w:val="fr-FR"/>
        </w:rPr>
        <w:t xml:space="preserve">la </w:t>
      </w:r>
      <w:r w:rsidRPr="00872F44">
        <w:rPr>
          <w:sz w:val="22"/>
          <w:lang w:val="fr-FR"/>
        </w:rPr>
        <w:t xml:space="preserve">Résolution 3.12, </w:t>
      </w:r>
      <w:r>
        <w:rPr>
          <w:sz w:val="22"/>
          <w:lang w:val="fr-FR"/>
        </w:rPr>
        <w:t xml:space="preserve">les dispositions des </w:t>
      </w:r>
      <w:r w:rsidRPr="00872F44">
        <w:rPr>
          <w:sz w:val="22"/>
          <w:lang w:val="fr-FR"/>
        </w:rPr>
        <w:t>paragraph</w:t>
      </w:r>
      <w:r>
        <w:rPr>
          <w:sz w:val="22"/>
          <w:lang w:val="fr-FR"/>
        </w:rPr>
        <w:t>e</w:t>
      </w:r>
      <w:r w:rsidRPr="00872F44">
        <w:rPr>
          <w:sz w:val="22"/>
          <w:lang w:val="fr-FR"/>
        </w:rPr>
        <w:t xml:space="preserve">s 4 </w:t>
      </w:r>
      <w:r>
        <w:rPr>
          <w:sz w:val="22"/>
          <w:lang w:val="fr-FR"/>
        </w:rPr>
        <w:t>et</w:t>
      </w:r>
      <w:r w:rsidRPr="00872F44">
        <w:rPr>
          <w:sz w:val="22"/>
          <w:lang w:val="fr-FR"/>
        </w:rPr>
        <w:t xml:space="preserve"> 5, </w:t>
      </w:r>
      <w:r>
        <w:rPr>
          <w:sz w:val="22"/>
          <w:lang w:val="fr-FR"/>
        </w:rPr>
        <w:t>et</w:t>
      </w:r>
      <w:r w:rsidRPr="00872F44">
        <w:rPr>
          <w:sz w:val="22"/>
          <w:lang w:val="fr-FR"/>
        </w:rPr>
        <w:t xml:space="preserve"> </w:t>
      </w:r>
      <w:r w:rsidR="006D0AB5">
        <w:rPr>
          <w:i/>
          <w:sz w:val="22"/>
          <w:lang w:val="fr-FR"/>
        </w:rPr>
        <w:t>n</w:t>
      </w:r>
      <w:r w:rsidRPr="00872F44">
        <w:rPr>
          <w:i/>
          <w:sz w:val="22"/>
          <w:lang w:val="fr-FR"/>
        </w:rPr>
        <w:t>o</w:t>
      </w:r>
      <w:r>
        <w:rPr>
          <w:i/>
          <w:sz w:val="22"/>
          <w:lang w:val="fr-FR"/>
        </w:rPr>
        <w:t xml:space="preserve">tant </w:t>
      </w:r>
      <w:r w:rsidRPr="004133DD">
        <w:rPr>
          <w:sz w:val="22"/>
          <w:lang w:val="fr-FR"/>
        </w:rPr>
        <w:t>que le Comité permanent</w:t>
      </w:r>
      <w:r>
        <w:rPr>
          <w:sz w:val="22"/>
          <w:lang w:val="fr-FR"/>
        </w:rPr>
        <w:t xml:space="preserve"> a approuvé ces cinq </w:t>
      </w:r>
      <w:r w:rsidRPr="00872F44">
        <w:rPr>
          <w:sz w:val="22"/>
          <w:lang w:val="fr-FR"/>
        </w:rPr>
        <w:t>SSAP</w:t>
      </w:r>
      <w:r>
        <w:rPr>
          <w:sz w:val="22"/>
          <w:lang w:val="fr-FR"/>
        </w:rPr>
        <w:t xml:space="preserve"> et le Plan de gestion des espèces sur une base provisoire à sa 6</w:t>
      </w:r>
      <w:r w:rsidRPr="00B421A5">
        <w:rPr>
          <w:sz w:val="22"/>
          <w:vertAlign w:val="superscript"/>
          <w:lang w:val="fr-FR"/>
        </w:rPr>
        <w:t>ème</w:t>
      </w:r>
      <w:r>
        <w:rPr>
          <w:sz w:val="22"/>
          <w:lang w:val="fr-FR"/>
        </w:rPr>
        <w:t xml:space="preserve"> réunion</w:t>
      </w:r>
      <w:r w:rsidRPr="00872F44">
        <w:rPr>
          <w:sz w:val="22"/>
          <w:lang w:val="fr-FR"/>
        </w:rPr>
        <w:t>,</w:t>
      </w:r>
    </w:p>
    <w:p w14:paraId="0CA98E15" w14:textId="77777777" w:rsidR="00C3362D" w:rsidRPr="00032289" w:rsidRDefault="00C3362D" w:rsidP="007747EF">
      <w:pPr>
        <w:jc w:val="both"/>
        <w:rPr>
          <w:sz w:val="22"/>
          <w:lang w:val="fr-FR"/>
        </w:rPr>
      </w:pPr>
    </w:p>
    <w:p w14:paraId="0CA98E16" w14:textId="77777777" w:rsidR="00C3362D" w:rsidRPr="00B421A5" w:rsidRDefault="00C3362D" w:rsidP="00676AD4">
      <w:pPr>
        <w:ind w:firstLine="720"/>
        <w:jc w:val="both"/>
        <w:rPr>
          <w:sz w:val="22"/>
          <w:lang w:val="fr-FR"/>
        </w:rPr>
      </w:pPr>
      <w:r w:rsidRPr="00B421A5">
        <w:rPr>
          <w:i/>
          <w:sz w:val="22"/>
          <w:lang w:val="fr-FR"/>
        </w:rPr>
        <w:t>Reconnaissant</w:t>
      </w:r>
      <w:r>
        <w:rPr>
          <w:i/>
          <w:sz w:val="22"/>
          <w:lang w:val="fr-FR"/>
        </w:rPr>
        <w:t xml:space="preserve"> </w:t>
      </w:r>
      <w:r w:rsidRPr="00E74F2B">
        <w:rPr>
          <w:sz w:val="22"/>
          <w:lang w:val="fr-FR"/>
        </w:rPr>
        <w:t>les progrès réalisés dans</w:t>
      </w:r>
      <w:r>
        <w:rPr>
          <w:sz w:val="22"/>
          <w:lang w:val="fr-FR"/>
        </w:rPr>
        <w:t xml:space="preserve"> la mise en place </w:t>
      </w:r>
      <w:r w:rsidRPr="00E74F2B">
        <w:rPr>
          <w:sz w:val="22"/>
          <w:lang w:val="fr-FR"/>
        </w:rPr>
        <w:t>de groupes de t</w:t>
      </w:r>
      <w:r>
        <w:rPr>
          <w:sz w:val="22"/>
          <w:lang w:val="fr-FR"/>
        </w:rPr>
        <w:t>r</w:t>
      </w:r>
      <w:r w:rsidRPr="00E74F2B">
        <w:rPr>
          <w:sz w:val="22"/>
          <w:lang w:val="fr-FR"/>
        </w:rPr>
        <w:t xml:space="preserve">avail </w:t>
      </w:r>
      <w:r>
        <w:rPr>
          <w:sz w:val="22"/>
          <w:lang w:val="fr-FR"/>
        </w:rPr>
        <w:t xml:space="preserve">internationaux </w:t>
      </w:r>
      <w:r w:rsidRPr="004A35CA">
        <w:rPr>
          <w:sz w:val="22"/>
          <w:lang w:val="fr-FR"/>
        </w:rPr>
        <w:t>sur les espèces</w:t>
      </w:r>
      <w:r>
        <w:rPr>
          <w:sz w:val="22"/>
          <w:lang w:val="fr-FR"/>
        </w:rPr>
        <w:t xml:space="preserve"> afin de coordonner la mise en œuvre des </w:t>
      </w:r>
      <w:r w:rsidRPr="00B421A5">
        <w:rPr>
          <w:sz w:val="22"/>
          <w:lang w:val="fr-FR"/>
        </w:rPr>
        <w:t>SSAP</w:t>
      </w:r>
      <w:r>
        <w:rPr>
          <w:sz w:val="22"/>
          <w:lang w:val="fr-FR"/>
        </w:rPr>
        <w:t xml:space="preserve"> et l’intensification de la mise en œuvre de ces derniers résultant du fonctionnement de ces groupes de travail</w:t>
      </w:r>
      <w:r w:rsidRPr="00B421A5">
        <w:rPr>
          <w:sz w:val="22"/>
          <w:lang w:val="fr-FR"/>
        </w:rPr>
        <w:t xml:space="preserve">, </w:t>
      </w:r>
    </w:p>
    <w:p w14:paraId="0CA98E17" w14:textId="77777777" w:rsidR="00C3362D" w:rsidRPr="00B421A5" w:rsidRDefault="00C3362D" w:rsidP="007747EF">
      <w:pPr>
        <w:jc w:val="both"/>
        <w:rPr>
          <w:sz w:val="22"/>
          <w:lang w:val="fr-FR"/>
        </w:rPr>
      </w:pPr>
    </w:p>
    <w:p w14:paraId="0CA98E18" w14:textId="77777777" w:rsidR="00C3362D" w:rsidRDefault="00C3362D" w:rsidP="009E0F5F">
      <w:pPr>
        <w:ind w:firstLine="720"/>
        <w:jc w:val="both"/>
        <w:rPr>
          <w:sz w:val="22"/>
          <w:lang w:val="fr-FR"/>
        </w:rPr>
      </w:pPr>
      <w:r>
        <w:rPr>
          <w:i/>
          <w:sz w:val="22"/>
          <w:lang w:val="fr-FR"/>
        </w:rPr>
        <w:t xml:space="preserve">Remerciant </w:t>
      </w:r>
      <w:r w:rsidRPr="00684B04">
        <w:rPr>
          <w:sz w:val="22"/>
          <w:lang w:val="fr-FR"/>
        </w:rPr>
        <w:t>toutes les</w:t>
      </w:r>
      <w:r w:rsidRPr="00B421A5">
        <w:rPr>
          <w:sz w:val="22"/>
          <w:lang w:val="fr-FR"/>
        </w:rPr>
        <w:t xml:space="preserve"> Parties</w:t>
      </w:r>
      <w:r>
        <w:rPr>
          <w:sz w:val="22"/>
          <w:lang w:val="fr-FR"/>
        </w:rPr>
        <w:t xml:space="preserve"> pour les fonds fournis en faveur de l’élaboration de ces SSAP et du Plan de gestion des espèces ainsi que des activités </w:t>
      </w:r>
      <w:r w:rsidRPr="00E74F2B">
        <w:rPr>
          <w:sz w:val="22"/>
          <w:lang w:val="fr-FR"/>
        </w:rPr>
        <w:t>des groupes de t</w:t>
      </w:r>
      <w:r>
        <w:rPr>
          <w:sz w:val="22"/>
          <w:lang w:val="fr-FR"/>
        </w:rPr>
        <w:t>r</w:t>
      </w:r>
      <w:r w:rsidRPr="00E74F2B">
        <w:rPr>
          <w:sz w:val="22"/>
          <w:lang w:val="fr-FR"/>
        </w:rPr>
        <w:t xml:space="preserve">avail </w:t>
      </w:r>
      <w:r>
        <w:rPr>
          <w:sz w:val="22"/>
          <w:lang w:val="fr-FR"/>
        </w:rPr>
        <w:t xml:space="preserve">internationaux de l’AEWA et de la mise en œuvre des </w:t>
      </w:r>
      <w:r w:rsidRPr="00B421A5">
        <w:rPr>
          <w:sz w:val="22"/>
          <w:lang w:val="fr-FR"/>
        </w:rPr>
        <w:t xml:space="preserve">SSAP, </w:t>
      </w:r>
    </w:p>
    <w:p w14:paraId="0CA98E19" w14:textId="77777777" w:rsidR="00C3362D" w:rsidRPr="00B421A5" w:rsidRDefault="00C3362D" w:rsidP="009E0F5F">
      <w:pPr>
        <w:ind w:firstLine="720"/>
        <w:jc w:val="both"/>
        <w:rPr>
          <w:sz w:val="22"/>
          <w:lang w:val="fr-FR"/>
        </w:rPr>
      </w:pPr>
    </w:p>
    <w:p w14:paraId="0CA98E1A" w14:textId="3C68AC12" w:rsidR="00C3362D" w:rsidRPr="00B421A5" w:rsidRDefault="00C3362D" w:rsidP="009E0F5F">
      <w:pPr>
        <w:ind w:firstLine="720"/>
        <w:jc w:val="both"/>
        <w:rPr>
          <w:sz w:val="22"/>
          <w:lang w:val="fr-FR"/>
        </w:rPr>
      </w:pPr>
      <w:r>
        <w:rPr>
          <w:i/>
          <w:sz w:val="22"/>
          <w:lang w:val="fr-FR"/>
        </w:rPr>
        <w:t>Remerciant en outre</w:t>
      </w:r>
      <w:r>
        <w:rPr>
          <w:sz w:val="22"/>
          <w:lang w:val="fr-FR"/>
        </w:rPr>
        <w:t xml:space="preserve"> toutes</w:t>
      </w:r>
      <w:r w:rsidRPr="00B421A5">
        <w:rPr>
          <w:sz w:val="22"/>
          <w:lang w:val="fr-FR"/>
        </w:rPr>
        <w:t xml:space="preserve"> </w:t>
      </w:r>
      <w:r>
        <w:rPr>
          <w:sz w:val="22"/>
          <w:lang w:val="fr-FR"/>
        </w:rPr>
        <w:t>les organisations</w:t>
      </w:r>
      <w:r w:rsidRPr="00B421A5">
        <w:rPr>
          <w:sz w:val="22"/>
          <w:lang w:val="fr-FR"/>
        </w:rPr>
        <w:t xml:space="preserve"> gouvernement</w:t>
      </w:r>
      <w:r>
        <w:rPr>
          <w:sz w:val="22"/>
          <w:lang w:val="fr-FR"/>
        </w:rPr>
        <w:t>ales</w:t>
      </w:r>
      <w:r w:rsidRPr="00B421A5">
        <w:rPr>
          <w:sz w:val="22"/>
          <w:lang w:val="fr-FR"/>
        </w:rPr>
        <w:t xml:space="preserve"> </w:t>
      </w:r>
      <w:r>
        <w:rPr>
          <w:sz w:val="22"/>
          <w:lang w:val="fr-FR"/>
        </w:rPr>
        <w:t xml:space="preserve">et </w:t>
      </w:r>
      <w:r w:rsidRPr="00B421A5">
        <w:rPr>
          <w:sz w:val="22"/>
          <w:lang w:val="fr-FR"/>
        </w:rPr>
        <w:t>non-gouvernement</w:t>
      </w:r>
      <w:r>
        <w:rPr>
          <w:sz w:val="22"/>
          <w:lang w:val="fr-FR"/>
        </w:rPr>
        <w:t>ales</w:t>
      </w:r>
      <w:r w:rsidRPr="00B421A5">
        <w:rPr>
          <w:sz w:val="22"/>
          <w:lang w:val="fr-FR"/>
        </w:rPr>
        <w:t xml:space="preserve"> </w:t>
      </w:r>
      <w:r>
        <w:rPr>
          <w:sz w:val="22"/>
          <w:lang w:val="fr-FR"/>
        </w:rPr>
        <w:t>qui ont soutenu la</w:t>
      </w:r>
      <w:r w:rsidRPr="00B421A5">
        <w:rPr>
          <w:sz w:val="22"/>
          <w:lang w:val="fr-FR"/>
        </w:rPr>
        <w:t xml:space="preserve"> coordination </w:t>
      </w:r>
      <w:r>
        <w:rPr>
          <w:sz w:val="22"/>
          <w:lang w:val="fr-FR"/>
        </w:rPr>
        <w:t>et la mise en œuvre des</w:t>
      </w:r>
      <w:r w:rsidR="007956C4">
        <w:rPr>
          <w:sz w:val="22"/>
          <w:lang w:val="fr-FR"/>
        </w:rPr>
        <w:t xml:space="preserve"> SSAP.</w:t>
      </w:r>
    </w:p>
    <w:p w14:paraId="0CA98E1B" w14:textId="77777777" w:rsidR="00C3362D" w:rsidRPr="00B421A5" w:rsidRDefault="00C3362D" w:rsidP="009E0F5F">
      <w:pPr>
        <w:ind w:firstLine="720"/>
        <w:jc w:val="both"/>
        <w:rPr>
          <w:sz w:val="22"/>
          <w:lang w:val="fr-FR"/>
        </w:rPr>
        <w:sectPr w:rsidR="00C3362D" w:rsidRPr="00B421A5" w:rsidSect="00E02272">
          <w:headerReference w:type="default" r:id="rId8"/>
          <w:footerReference w:type="even" r:id="rId9"/>
          <w:footerReference w:type="first" r:id="rId10"/>
          <w:pgSz w:w="11907" w:h="16840" w:code="9"/>
          <w:pgMar w:top="1021" w:right="1134" w:bottom="851" w:left="1134" w:header="709" w:footer="709" w:gutter="0"/>
          <w:pgNumType w:start="1"/>
          <w:cols w:space="708"/>
          <w:docGrid w:linePitch="360"/>
        </w:sectPr>
      </w:pPr>
    </w:p>
    <w:p w14:paraId="0CA98E1C" w14:textId="77777777" w:rsidR="00C3362D" w:rsidRPr="00B421A5" w:rsidRDefault="00C3362D" w:rsidP="007747EF">
      <w:pPr>
        <w:jc w:val="both"/>
        <w:rPr>
          <w:i/>
          <w:iCs/>
          <w:sz w:val="22"/>
          <w:lang w:val="fr-FR"/>
        </w:rPr>
      </w:pPr>
      <w:r>
        <w:rPr>
          <w:i/>
          <w:iCs/>
          <w:sz w:val="22"/>
          <w:lang w:val="fr-FR"/>
        </w:rPr>
        <w:lastRenderedPageBreak/>
        <w:t>La Réunion des</w:t>
      </w:r>
      <w:r w:rsidRPr="00B421A5">
        <w:rPr>
          <w:i/>
          <w:iCs/>
          <w:sz w:val="22"/>
          <w:lang w:val="fr-FR"/>
        </w:rPr>
        <w:t xml:space="preserve"> Parties</w:t>
      </w:r>
      <w:r>
        <w:rPr>
          <w:i/>
          <w:iCs/>
          <w:sz w:val="22"/>
          <w:lang w:val="fr-FR"/>
        </w:rPr>
        <w:t> </w:t>
      </w:r>
      <w:r w:rsidRPr="00B421A5">
        <w:rPr>
          <w:i/>
          <w:iCs/>
          <w:sz w:val="22"/>
          <w:lang w:val="fr-FR"/>
        </w:rPr>
        <w:t>:</w:t>
      </w:r>
    </w:p>
    <w:p w14:paraId="0CA98E1D" w14:textId="77777777" w:rsidR="00C3362D" w:rsidRPr="00B421A5" w:rsidRDefault="00C3362D" w:rsidP="007747EF">
      <w:pPr>
        <w:jc w:val="both"/>
        <w:rPr>
          <w:sz w:val="22"/>
          <w:lang w:val="fr-FR"/>
        </w:rPr>
      </w:pPr>
    </w:p>
    <w:p w14:paraId="0CA98E1E" w14:textId="77777777" w:rsidR="00C3362D" w:rsidRPr="00B421A5" w:rsidRDefault="00C3362D" w:rsidP="007747EF">
      <w:pPr>
        <w:tabs>
          <w:tab w:val="left" w:pos="720"/>
        </w:tabs>
        <w:jc w:val="both"/>
        <w:rPr>
          <w:sz w:val="22"/>
          <w:lang w:val="fr-FR"/>
        </w:rPr>
      </w:pPr>
      <w:r w:rsidRPr="00B421A5">
        <w:rPr>
          <w:sz w:val="22"/>
          <w:lang w:val="fr-FR"/>
        </w:rPr>
        <w:t>1.</w:t>
      </w:r>
      <w:r w:rsidRPr="00B421A5">
        <w:rPr>
          <w:i/>
          <w:sz w:val="22"/>
          <w:lang w:val="fr-FR"/>
        </w:rPr>
        <w:tab/>
        <w:t>Adopt</w:t>
      </w:r>
      <w:r>
        <w:rPr>
          <w:i/>
          <w:sz w:val="22"/>
          <w:lang w:val="fr-FR"/>
        </w:rPr>
        <w:t>e</w:t>
      </w:r>
      <w:r w:rsidRPr="00B421A5">
        <w:rPr>
          <w:sz w:val="22"/>
          <w:lang w:val="fr-FR"/>
        </w:rPr>
        <w:t xml:space="preserve"> </w:t>
      </w:r>
      <w:r>
        <w:rPr>
          <w:sz w:val="22"/>
          <w:lang w:val="fr-FR"/>
        </w:rPr>
        <w:t>les P</w:t>
      </w:r>
      <w:r>
        <w:rPr>
          <w:sz w:val="22"/>
          <w:szCs w:val="22"/>
          <w:lang w:val="fr-FR"/>
        </w:rPr>
        <w:t xml:space="preserve">lans </w:t>
      </w:r>
      <w:proofErr w:type="gramStart"/>
      <w:r>
        <w:rPr>
          <w:sz w:val="22"/>
          <w:szCs w:val="22"/>
          <w:lang w:val="fr-FR"/>
        </w:rPr>
        <w:t>d’action internationaux</w:t>
      </w:r>
      <w:proofErr w:type="gramEnd"/>
      <w:r>
        <w:rPr>
          <w:sz w:val="22"/>
          <w:szCs w:val="22"/>
          <w:lang w:val="fr-FR"/>
        </w:rPr>
        <w:t xml:space="preserve"> par espèce pour les espèces</w:t>
      </w:r>
      <w:r w:rsidRPr="00B421A5">
        <w:rPr>
          <w:sz w:val="22"/>
          <w:lang w:val="fr-FR"/>
        </w:rPr>
        <w:t>/populations</w:t>
      </w:r>
      <w:r>
        <w:rPr>
          <w:sz w:val="22"/>
          <w:lang w:val="fr-FR"/>
        </w:rPr>
        <w:t xml:space="preserve"> suivantes </w:t>
      </w:r>
      <w:r w:rsidRPr="00B421A5">
        <w:rPr>
          <w:sz w:val="22"/>
          <w:lang w:val="fr-FR"/>
        </w:rPr>
        <w:t>:</w:t>
      </w:r>
    </w:p>
    <w:p w14:paraId="0CA98E1F" w14:textId="77777777" w:rsidR="00C3362D" w:rsidRPr="00B421A5" w:rsidRDefault="00C3362D" w:rsidP="007747EF">
      <w:pPr>
        <w:jc w:val="both"/>
        <w:rPr>
          <w:sz w:val="22"/>
          <w:lang w:val="fr-FR"/>
        </w:rPr>
      </w:pPr>
    </w:p>
    <w:p w14:paraId="0CA98E20" w14:textId="77777777" w:rsidR="00C3362D" w:rsidRPr="00B421A5" w:rsidRDefault="00C3362D" w:rsidP="007747EF">
      <w:pPr>
        <w:numPr>
          <w:ilvl w:val="0"/>
          <w:numId w:val="6"/>
        </w:numPr>
        <w:jc w:val="both"/>
        <w:rPr>
          <w:iCs/>
          <w:sz w:val="22"/>
          <w:lang w:val="fr-FR"/>
        </w:rPr>
      </w:pPr>
      <w:r w:rsidRPr="00B421A5">
        <w:rPr>
          <w:iCs/>
          <w:sz w:val="22"/>
          <w:lang w:val="fr-FR"/>
        </w:rPr>
        <w:t>L</w:t>
      </w:r>
      <w:r>
        <w:rPr>
          <w:iCs/>
          <w:sz w:val="22"/>
          <w:lang w:val="fr-FR"/>
        </w:rPr>
        <w:t>’</w:t>
      </w:r>
      <w:r w:rsidRPr="00B421A5">
        <w:rPr>
          <w:iCs/>
          <w:sz w:val="22"/>
          <w:lang w:val="fr-FR"/>
        </w:rPr>
        <w:t xml:space="preserve">Aigrette vineuse </w:t>
      </w:r>
      <w:proofErr w:type="spellStart"/>
      <w:r w:rsidRPr="00B421A5">
        <w:rPr>
          <w:i/>
          <w:sz w:val="22"/>
          <w:lang w:val="fr-FR"/>
        </w:rPr>
        <w:t>Egretta</w:t>
      </w:r>
      <w:proofErr w:type="spellEnd"/>
      <w:r w:rsidRPr="00B421A5">
        <w:rPr>
          <w:i/>
          <w:sz w:val="22"/>
          <w:lang w:val="fr-FR"/>
        </w:rPr>
        <w:t xml:space="preserve"> </w:t>
      </w:r>
      <w:proofErr w:type="spellStart"/>
      <w:r w:rsidRPr="00B421A5">
        <w:rPr>
          <w:i/>
          <w:sz w:val="22"/>
          <w:lang w:val="fr-FR"/>
        </w:rPr>
        <w:t>vinaceigula</w:t>
      </w:r>
      <w:proofErr w:type="spellEnd"/>
      <w:r w:rsidRPr="00B421A5">
        <w:rPr>
          <w:i/>
          <w:sz w:val="22"/>
          <w:lang w:val="fr-FR"/>
        </w:rPr>
        <w:t xml:space="preserve"> </w:t>
      </w:r>
      <w:r w:rsidRPr="00B421A5">
        <w:rPr>
          <w:iCs/>
          <w:sz w:val="22"/>
          <w:lang w:val="fr-FR"/>
        </w:rPr>
        <w:t>(document AEWA/MOP 5.</w:t>
      </w:r>
      <w:r>
        <w:rPr>
          <w:iCs/>
          <w:sz w:val="22"/>
          <w:lang w:val="fr-FR"/>
        </w:rPr>
        <w:t>25</w:t>
      </w:r>
      <w:r w:rsidRPr="00B421A5">
        <w:rPr>
          <w:iCs/>
          <w:sz w:val="22"/>
          <w:lang w:val="fr-FR"/>
        </w:rPr>
        <w:t>)</w:t>
      </w:r>
    </w:p>
    <w:p w14:paraId="0CA98E21" w14:textId="77777777" w:rsidR="00C3362D" w:rsidRPr="00B421A5" w:rsidRDefault="00C3362D" w:rsidP="007747EF">
      <w:pPr>
        <w:numPr>
          <w:ilvl w:val="0"/>
          <w:numId w:val="6"/>
        </w:numPr>
        <w:jc w:val="both"/>
        <w:rPr>
          <w:iCs/>
          <w:sz w:val="22"/>
          <w:lang w:val="fr-FR"/>
        </w:rPr>
      </w:pPr>
      <w:r>
        <w:rPr>
          <w:iCs/>
          <w:sz w:val="22"/>
          <w:lang w:val="fr-FR"/>
        </w:rPr>
        <w:t xml:space="preserve">Le </w:t>
      </w:r>
      <w:r w:rsidRPr="00B421A5">
        <w:rPr>
          <w:iCs/>
          <w:sz w:val="22"/>
          <w:lang w:val="fr-FR"/>
        </w:rPr>
        <w:t xml:space="preserve">Cygne de </w:t>
      </w:r>
      <w:proofErr w:type="spellStart"/>
      <w:r w:rsidRPr="00B421A5">
        <w:rPr>
          <w:iCs/>
          <w:sz w:val="22"/>
          <w:lang w:val="fr-FR"/>
        </w:rPr>
        <w:t>Bewick</w:t>
      </w:r>
      <w:proofErr w:type="spellEnd"/>
      <w:r w:rsidRPr="00B421A5">
        <w:rPr>
          <w:iCs/>
          <w:sz w:val="22"/>
          <w:lang w:val="fr-FR"/>
        </w:rPr>
        <w:t xml:space="preserve"> </w:t>
      </w:r>
      <w:proofErr w:type="spellStart"/>
      <w:r w:rsidRPr="00B421A5">
        <w:rPr>
          <w:i/>
          <w:iCs/>
          <w:sz w:val="22"/>
          <w:lang w:val="fr-FR"/>
        </w:rPr>
        <w:t>Cygnus</w:t>
      </w:r>
      <w:proofErr w:type="spellEnd"/>
      <w:r w:rsidRPr="00B421A5">
        <w:rPr>
          <w:i/>
          <w:iCs/>
          <w:sz w:val="22"/>
          <w:lang w:val="fr-FR"/>
        </w:rPr>
        <w:t xml:space="preserve"> </w:t>
      </w:r>
      <w:proofErr w:type="spellStart"/>
      <w:r w:rsidRPr="00B421A5">
        <w:rPr>
          <w:i/>
          <w:iCs/>
          <w:sz w:val="22"/>
          <w:lang w:val="fr-FR"/>
        </w:rPr>
        <w:t>columbianus</w:t>
      </w:r>
      <w:proofErr w:type="spellEnd"/>
      <w:r w:rsidRPr="00B421A5">
        <w:rPr>
          <w:i/>
          <w:iCs/>
          <w:sz w:val="22"/>
          <w:lang w:val="fr-FR"/>
        </w:rPr>
        <w:t xml:space="preserve"> </w:t>
      </w:r>
      <w:proofErr w:type="spellStart"/>
      <w:r w:rsidRPr="00B421A5">
        <w:rPr>
          <w:i/>
          <w:iCs/>
          <w:sz w:val="22"/>
          <w:lang w:val="fr-FR"/>
        </w:rPr>
        <w:t>bewickii</w:t>
      </w:r>
      <w:proofErr w:type="spellEnd"/>
      <w:r w:rsidRPr="00B421A5">
        <w:rPr>
          <w:i/>
          <w:iCs/>
          <w:sz w:val="22"/>
          <w:lang w:val="fr-FR"/>
        </w:rPr>
        <w:t xml:space="preserve"> </w:t>
      </w:r>
      <w:r w:rsidRPr="00B421A5">
        <w:rPr>
          <w:iCs/>
          <w:sz w:val="22"/>
          <w:lang w:val="fr-FR"/>
        </w:rPr>
        <w:t>(</w:t>
      </w:r>
      <w:r>
        <w:rPr>
          <w:iCs/>
          <w:sz w:val="22"/>
          <w:lang w:val="fr-FR"/>
        </w:rPr>
        <w:t>population Ouest S</w:t>
      </w:r>
      <w:r w:rsidRPr="00B421A5">
        <w:rPr>
          <w:iCs/>
          <w:sz w:val="22"/>
          <w:lang w:val="fr-FR"/>
        </w:rPr>
        <w:t>ib</w:t>
      </w:r>
      <w:r>
        <w:rPr>
          <w:iCs/>
          <w:sz w:val="22"/>
          <w:lang w:val="fr-FR"/>
        </w:rPr>
        <w:t>érie</w:t>
      </w:r>
      <w:r w:rsidRPr="00B421A5">
        <w:rPr>
          <w:iCs/>
          <w:sz w:val="22"/>
          <w:lang w:val="fr-FR"/>
        </w:rPr>
        <w:t xml:space="preserve"> &amp; NE/N</w:t>
      </w:r>
      <w:r>
        <w:rPr>
          <w:iCs/>
          <w:sz w:val="22"/>
          <w:lang w:val="fr-FR"/>
        </w:rPr>
        <w:t>O</w:t>
      </w:r>
      <w:r w:rsidRPr="00B421A5">
        <w:rPr>
          <w:iCs/>
          <w:sz w:val="22"/>
          <w:lang w:val="fr-FR"/>
        </w:rPr>
        <w:t xml:space="preserve"> Europe</w:t>
      </w:r>
      <w:r>
        <w:rPr>
          <w:iCs/>
          <w:sz w:val="22"/>
          <w:lang w:val="fr-FR"/>
        </w:rPr>
        <w:t xml:space="preserve">) </w:t>
      </w:r>
      <w:r w:rsidRPr="00B421A5">
        <w:rPr>
          <w:iCs/>
          <w:sz w:val="22"/>
          <w:lang w:val="fr-FR"/>
        </w:rPr>
        <w:t>(document AEWA/MOP 5.</w:t>
      </w:r>
      <w:r>
        <w:rPr>
          <w:iCs/>
          <w:sz w:val="22"/>
          <w:lang w:val="fr-FR"/>
        </w:rPr>
        <w:t>26</w:t>
      </w:r>
      <w:r w:rsidRPr="00B421A5">
        <w:rPr>
          <w:iCs/>
          <w:sz w:val="22"/>
          <w:lang w:val="fr-FR"/>
        </w:rPr>
        <w:t>)</w:t>
      </w:r>
    </w:p>
    <w:p w14:paraId="0CA98E22" w14:textId="77777777" w:rsidR="00C3362D" w:rsidRPr="00B421A5" w:rsidRDefault="00C3362D" w:rsidP="007747EF">
      <w:pPr>
        <w:numPr>
          <w:ilvl w:val="0"/>
          <w:numId w:val="6"/>
        </w:numPr>
        <w:jc w:val="both"/>
        <w:rPr>
          <w:iCs/>
          <w:sz w:val="22"/>
          <w:lang w:val="fr-FR"/>
        </w:rPr>
      </w:pPr>
      <w:r w:rsidRPr="00B421A5">
        <w:rPr>
          <w:iCs/>
          <w:sz w:val="22"/>
          <w:lang w:val="fr-FR"/>
        </w:rPr>
        <w:t>L</w:t>
      </w:r>
      <w:r>
        <w:rPr>
          <w:iCs/>
          <w:sz w:val="22"/>
          <w:lang w:val="fr-FR"/>
        </w:rPr>
        <w:t>’</w:t>
      </w:r>
      <w:r w:rsidRPr="00B421A5">
        <w:rPr>
          <w:iCs/>
          <w:sz w:val="22"/>
          <w:lang w:val="fr-FR"/>
        </w:rPr>
        <w:t xml:space="preserve">Oie du Groenland </w:t>
      </w:r>
      <w:r w:rsidRPr="00B421A5">
        <w:rPr>
          <w:i/>
          <w:iCs/>
          <w:sz w:val="22"/>
          <w:lang w:val="fr-FR"/>
        </w:rPr>
        <w:t xml:space="preserve">Anser </w:t>
      </w:r>
      <w:proofErr w:type="spellStart"/>
      <w:r w:rsidRPr="00B421A5">
        <w:rPr>
          <w:i/>
          <w:iCs/>
          <w:sz w:val="22"/>
          <w:lang w:val="fr-FR"/>
        </w:rPr>
        <w:t>albifrons</w:t>
      </w:r>
      <w:proofErr w:type="spellEnd"/>
      <w:r w:rsidRPr="00B421A5">
        <w:rPr>
          <w:i/>
          <w:iCs/>
          <w:sz w:val="22"/>
          <w:lang w:val="fr-FR"/>
        </w:rPr>
        <w:t xml:space="preserve"> </w:t>
      </w:r>
      <w:proofErr w:type="spellStart"/>
      <w:r w:rsidRPr="00B421A5">
        <w:rPr>
          <w:i/>
          <w:iCs/>
          <w:sz w:val="22"/>
          <w:lang w:val="fr-FR"/>
        </w:rPr>
        <w:t>flavirostris</w:t>
      </w:r>
      <w:proofErr w:type="spellEnd"/>
      <w:r w:rsidRPr="00B421A5">
        <w:rPr>
          <w:i/>
          <w:iCs/>
          <w:sz w:val="22"/>
          <w:lang w:val="fr-FR"/>
        </w:rPr>
        <w:t xml:space="preserve"> </w:t>
      </w:r>
      <w:r w:rsidRPr="00B421A5">
        <w:rPr>
          <w:iCs/>
          <w:sz w:val="22"/>
          <w:lang w:val="fr-FR"/>
        </w:rPr>
        <w:t>(document AEWA/MOP 5.</w:t>
      </w:r>
      <w:r>
        <w:rPr>
          <w:iCs/>
          <w:sz w:val="22"/>
          <w:lang w:val="fr-FR"/>
        </w:rPr>
        <w:t>27</w:t>
      </w:r>
      <w:r w:rsidRPr="00B421A5">
        <w:rPr>
          <w:iCs/>
          <w:sz w:val="22"/>
          <w:lang w:val="fr-FR"/>
        </w:rPr>
        <w:t>)</w:t>
      </w:r>
    </w:p>
    <w:p w14:paraId="0CA98E23" w14:textId="77777777" w:rsidR="00C3362D" w:rsidRPr="00B421A5" w:rsidRDefault="00C3362D" w:rsidP="007747EF">
      <w:pPr>
        <w:numPr>
          <w:ilvl w:val="0"/>
          <w:numId w:val="6"/>
        </w:numPr>
        <w:jc w:val="both"/>
        <w:rPr>
          <w:iCs/>
          <w:sz w:val="22"/>
          <w:lang w:val="fr-FR"/>
        </w:rPr>
      </w:pPr>
      <w:r>
        <w:rPr>
          <w:iCs/>
          <w:sz w:val="22"/>
          <w:lang w:val="fr-FR"/>
        </w:rPr>
        <w:t>La Bernache à cou roux</w:t>
      </w:r>
      <w:r w:rsidRPr="00B421A5">
        <w:rPr>
          <w:iCs/>
          <w:sz w:val="22"/>
          <w:lang w:val="fr-FR"/>
        </w:rPr>
        <w:t xml:space="preserve"> </w:t>
      </w:r>
      <w:proofErr w:type="spellStart"/>
      <w:r w:rsidRPr="00B421A5">
        <w:rPr>
          <w:i/>
          <w:sz w:val="22"/>
          <w:lang w:val="fr-FR"/>
        </w:rPr>
        <w:t>Branta</w:t>
      </w:r>
      <w:proofErr w:type="spellEnd"/>
      <w:r w:rsidRPr="00B421A5">
        <w:rPr>
          <w:i/>
          <w:sz w:val="22"/>
          <w:lang w:val="fr-FR"/>
        </w:rPr>
        <w:t xml:space="preserve"> </w:t>
      </w:r>
      <w:proofErr w:type="spellStart"/>
      <w:r w:rsidRPr="00B421A5">
        <w:rPr>
          <w:i/>
          <w:sz w:val="22"/>
          <w:lang w:val="fr-FR"/>
        </w:rPr>
        <w:t>ruficollis</w:t>
      </w:r>
      <w:proofErr w:type="spellEnd"/>
      <w:r w:rsidRPr="00B421A5">
        <w:rPr>
          <w:i/>
          <w:sz w:val="22"/>
          <w:lang w:val="fr-FR"/>
        </w:rPr>
        <w:t xml:space="preserve"> </w:t>
      </w:r>
      <w:r w:rsidRPr="00B421A5">
        <w:rPr>
          <w:iCs/>
          <w:sz w:val="22"/>
          <w:lang w:val="fr-FR"/>
        </w:rPr>
        <w:t>(document AEWA/MOP 5.</w:t>
      </w:r>
      <w:r>
        <w:rPr>
          <w:iCs/>
          <w:sz w:val="22"/>
          <w:lang w:val="fr-FR"/>
        </w:rPr>
        <w:t>28</w:t>
      </w:r>
      <w:r w:rsidRPr="00B421A5">
        <w:rPr>
          <w:iCs/>
          <w:sz w:val="22"/>
          <w:lang w:val="fr-FR"/>
        </w:rPr>
        <w:t>)</w:t>
      </w:r>
    </w:p>
    <w:p w14:paraId="0CA98E24" w14:textId="08614BE0" w:rsidR="00C3362D" w:rsidRPr="00B421A5" w:rsidRDefault="00C3362D" w:rsidP="007747EF">
      <w:pPr>
        <w:numPr>
          <w:ilvl w:val="0"/>
          <w:numId w:val="6"/>
        </w:numPr>
        <w:jc w:val="both"/>
        <w:rPr>
          <w:iCs/>
          <w:sz w:val="22"/>
          <w:lang w:val="fr-FR"/>
        </w:rPr>
      </w:pPr>
      <w:r w:rsidRPr="00B421A5">
        <w:rPr>
          <w:iCs/>
          <w:sz w:val="22"/>
          <w:lang w:val="fr-FR"/>
        </w:rPr>
        <w:t xml:space="preserve">Le Vanneau sociable </w:t>
      </w:r>
      <w:proofErr w:type="spellStart"/>
      <w:r w:rsidRPr="00B421A5">
        <w:rPr>
          <w:i/>
          <w:sz w:val="22"/>
          <w:lang w:val="fr-FR"/>
        </w:rPr>
        <w:t>Vanellus</w:t>
      </w:r>
      <w:proofErr w:type="spellEnd"/>
      <w:r w:rsidRPr="00B421A5">
        <w:rPr>
          <w:i/>
          <w:sz w:val="22"/>
          <w:lang w:val="fr-FR"/>
        </w:rPr>
        <w:t xml:space="preserve"> </w:t>
      </w:r>
      <w:proofErr w:type="spellStart"/>
      <w:r w:rsidRPr="00B421A5">
        <w:rPr>
          <w:i/>
          <w:sz w:val="22"/>
          <w:lang w:val="fr-FR"/>
        </w:rPr>
        <w:t>gregarius</w:t>
      </w:r>
      <w:proofErr w:type="spellEnd"/>
      <w:r w:rsidRPr="00B421A5">
        <w:rPr>
          <w:i/>
          <w:sz w:val="22"/>
          <w:lang w:val="fr-FR"/>
        </w:rPr>
        <w:t xml:space="preserve"> </w:t>
      </w:r>
      <w:r w:rsidRPr="00B421A5">
        <w:rPr>
          <w:sz w:val="22"/>
          <w:lang w:val="fr-FR"/>
        </w:rPr>
        <w:t xml:space="preserve">(révision </w:t>
      </w:r>
      <w:r>
        <w:rPr>
          <w:sz w:val="22"/>
          <w:lang w:val="fr-FR"/>
        </w:rPr>
        <w:t xml:space="preserve">du </w:t>
      </w:r>
      <w:r w:rsidRPr="00B421A5">
        <w:rPr>
          <w:sz w:val="22"/>
          <w:lang w:val="fr-FR"/>
        </w:rPr>
        <w:t>SSAP</w:t>
      </w:r>
      <w:r>
        <w:rPr>
          <w:sz w:val="22"/>
          <w:lang w:val="fr-FR"/>
        </w:rPr>
        <w:t xml:space="preserve"> de 2002</w:t>
      </w:r>
      <w:r w:rsidRPr="00B421A5">
        <w:rPr>
          <w:sz w:val="22"/>
          <w:lang w:val="fr-FR"/>
        </w:rPr>
        <w:t>)</w:t>
      </w:r>
      <w:r w:rsidRPr="00B421A5">
        <w:rPr>
          <w:i/>
          <w:sz w:val="22"/>
          <w:lang w:val="fr-FR"/>
        </w:rPr>
        <w:t xml:space="preserve"> </w:t>
      </w:r>
      <w:r w:rsidRPr="00B421A5">
        <w:rPr>
          <w:iCs/>
          <w:sz w:val="22"/>
          <w:lang w:val="fr-FR"/>
        </w:rPr>
        <w:t>(document AEWA/MOP 5.</w:t>
      </w:r>
      <w:r>
        <w:rPr>
          <w:iCs/>
          <w:sz w:val="22"/>
          <w:lang w:val="fr-FR"/>
        </w:rPr>
        <w:t>29</w:t>
      </w:r>
      <w:r w:rsidRPr="00B421A5">
        <w:rPr>
          <w:iCs/>
          <w:sz w:val="22"/>
          <w:lang w:val="fr-FR"/>
        </w:rPr>
        <w:t>)</w:t>
      </w:r>
      <w:r>
        <w:rPr>
          <w:iCs/>
          <w:sz w:val="22"/>
          <w:lang w:val="fr-FR"/>
        </w:rPr>
        <w:t> ;</w:t>
      </w:r>
    </w:p>
    <w:p w14:paraId="0CA98E25" w14:textId="77777777" w:rsidR="00C3362D" w:rsidRPr="00032289" w:rsidRDefault="00C3362D" w:rsidP="007747EF">
      <w:pPr>
        <w:jc w:val="both"/>
        <w:rPr>
          <w:iCs/>
          <w:sz w:val="22"/>
          <w:lang w:val="fr-FR"/>
        </w:rPr>
      </w:pPr>
    </w:p>
    <w:p w14:paraId="0CA98E26" w14:textId="77777777" w:rsidR="00C3362D" w:rsidRPr="00332874" w:rsidRDefault="00C3362D" w:rsidP="007747EF">
      <w:pPr>
        <w:jc w:val="both"/>
        <w:rPr>
          <w:iCs/>
          <w:sz w:val="22"/>
          <w:lang w:val="fr-FR"/>
        </w:rPr>
      </w:pPr>
      <w:r w:rsidRPr="007137CE">
        <w:rPr>
          <w:iCs/>
          <w:sz w:val="22"/>
          <w:lang w:val="fr-FR"/>
        </w:rPr>
        <w:t xml:space="preserve">2. </w:t>
      </w:r>
      <w:r w:rsidRPr="007137CE">
        <w:rPr>
          <w:iCs/>
          <w:sz w:val="22"/>
          <w:lang w:val="fr-FR"/>
        </w:rPr>
        <w:tab/>
      </w:r>
      <w:r w:rsidRPr="007137CE">
        <w:rPr>
          <w:i/>
          <w:iCs/>
          <w:sz w:val="22"/>
          <w:lang w:val="fr-FR"/>
        </w:rPr>
        <w:t xml:space="preserve">Adopte </w:t>
      </w:r>
      <w:r w:rsidRPr="007137CE">
        <w:rPr>
          <w:iCs/>
          <w:sz w:val="22"/>
          <w:lang w:val="fr-FR"/>
        </w:rPr>
        <w:t>le Plan de gestion international par espèce pour l’Oie à bec court</w:t>
      </w:r>
      <w:r w:rsidRPr="007137CE">
        <w:rPr>
          <w:i/>
          <w:iCs/>
          <w:sz w:val="22"/>
          <w:lang w:val="fr-FR"/>
        </w:rPr>
        <w:t xml:space="preserve"> Anser </w:t>
      </w:r>
      <w:proofErr w:type="spellStart"/>
      <w:r w:rsidRPr="007137CE">
        <w:rPr>
          <w:i/>
          <w:iCs/>
          <w:sz w:val="22"/>
          <w:lang w:val="fr-FR"/>
        </w:rPr>
        <w:t>brachyrhynchus</w:t>
      </w:r>
      <w:proofErr w:type="spellEnd"/>
      <w:r w:rsidRPr="007137CE">
        <w:rPr>
          <w:iCs/>
          <w:sz w:val="22"/>
          <w:lang w:val="fr-FR"/>
        </w:rPr>
        <w:t xml:space="preserve"> (population de Svalbard/NO Europe) (document AEWA/MOP 5.30) ;</w:t>
      </w:r>
    </w:p>
    <w:p w14:paraId="0CA98E27" w14:textId="77777777" w:rsidR="00C3362D" w:rsidRPr="00332874" w:rsidRDefault="00C3362D" w:rsidP="007747EF">
      <w:pPr>
        <w:jc w:val="both"/>
        <w:rPr>
          <w:iCs/>
          <w:sz w:val="22"/>
          <w:lang w:val="fr-FR"/>
        </w:rPr>
      </w:pPr>
    </w:p>
    <w:p w14:paraId="0CA98E28" w14:textId="3929E14C" w:rsidR="00C3362D" w:rsidRPr="00332874" w:rsidRDefault="00C3362D" w:rsidP="007747EF">
      <w:pPr>
        <w:jc w:val="both"/>
        <w:rPr>
          <w:iCs/>
          <w:sz w:val="22"/>
          <w:lang w:val="fr-FR"/>
        </w:rPr>
      </w:pPr>
      <w:r w:rsidRPr="00332874">
        <w:rPr>
          <w:sz w:val="22"/>
          <w:lang w:val="fr-FR"/>
        </w:rPr>
        <w:t>3.</w:t>
      </w:r>
      <w:r w:rsidRPr="00332874">
        <w:rPr>
          <w:i/>
          <w:sz w:val="22"/>
          <w:lang w:val="fr-FR"/>
        </w:rPr>
        <w:tab/>
      </w:r>
      <w:r w:rsidR="001D7EA9">
        <w:rPr>
          <w:i/>
          <w:sz w:val="22"/>
          <w:lang w:val="fr-FR"/>
        </w:rPr>
        <w:t xml:space="preserve">Engage </w:t>
      </w:r>
      <w:r>
        <w:rPr>
          <w:i/>
          <w:sz w:val="22"/>
          <w:lang w:val="fr-FR"/>
        </w:rPr>
        <w:t xml:space="preserve"> </w:t>
      </w:r>
      <w:r w:rsidRPr="00D3493D">
        <w:rPr>
          <w:sz w:val="22"/>
          <w:lang w:val="fr-FR"/>
        </w:rPr>
        <w:t xml:space="preserve">les Parties </w:t>
      </w:r>
      <w:r w:rsidR="00AC386C">
        <w:rPr>
          <w:sz w:val="22"/>
          <w:lang w:val="fr-FR"/>
        </w:rPr>
        <w:t xml:space="preserve">à mettre en œuvre </w:t>
      </w:r>
      <w:r>
        <w:rPr>
          <w:iCs/>
          <w:sz w:val="22"/>
          <w:lang w:val="fr-FR"/>
        </w:rPr>
        <w:t xml:space="preserve">ces Plans d’action par espèce et ceux précédemment adoptés ainsi que </w:t>
      </w:r>
      <w:r w:rsidR="00AC386C">
        <w:rPr>
          <w:iCs/>
          <w:sz w:val="22"/>
          <w:lang w:val="fr-FR"/>
        </w:rPr>
        <w:t>le</w:t>
      </w:r>
      <w:r>
        <w:rPr>
          <w:iCs/>
          <w:sz w:val="22"/>
          <w:lang w:val="fr-FR"/>
        </w:rPr>
        <w:t xml:space="preserve"> Plan de gestion des espèces conformément au </w:t>
      </w:r>
      <w:r w:rsidRPr="00332874">
        <w:rPr>
          <w:iCs/>
          <w:sz w:val="22"/>
          <w:lang w:val="fr-FR"/>
        </w:rPr>
        <w:t>paragraph</w:t>
      </w:r>
      <w:r>
        <w:rPr>
          <w:iCs/>
          <w:sz w:val="22"/>
          <w:lang w:val="fr-FR"/>
        </w:rPr>
        <w:t>e</w:t>
      </w:r>
      <w:r w:rsidRPr="00332874">
        <w:rPr>
          <w:iCs/>
          <w:sz w:val="22"/>
          <w:lang w:val="fr-FR"/>
        </w:rPr>
        <w:t xml:space="preserve"> 2.2.1 </w:t>
      </w:r>
      <w:r w:rsidR="00AC386C">
        <w:rPr>
          <w:iCs/>
          <w:sz w:val="22"/>
          <w:lang w:val="fr-FR"/>
        </w:rPr>
        <w:t xml:space="preserve">du </w:t>
      </w:r>
      <w:r>
        <w:rPr>
          <w:iCs/>
          <w:sz w:val="22"/>
          <w:lang w:val="fr-FR"/>
        </w:rPr>
        <w:t>Plan d’action de l’Accord ;</w:t>
      </w:r>
    </w:p>
    <w:p w14:paraId="0CA98E29" w14:textId="77777777" w:rsidR="00C3362D" w:rsidRPr="00332874" w:rsidRDefault="00C3362D" w:rsidP="007747EF">
      <w:pPr>
        <w:jc w:val="both"/>
        <w:rPr>
          <w:iCs/>
          <w:sz w:val="22"/>
          <w:lang w:val="fr-FR"/>
        </w:rPr>
      </w:pPr>
    </w:p>
    <w:p w14:paraId="0CA98E2A" w14:textId="77777777" w:rsidR="00C3362D" w:rsidRPr="00332874" w:rsidRDefault="00C3362D" w:rsidP="00F01B13">
      <w:pPr>
        <w:jc w:val="both"/>
        <w:rPr>
          <w:iCs/>
          <w:sz w:val="22"/>
          <w:lang w:val="fr-FR"/>
        </w:rPr>
      </w:pPr>
      <w:r w:rsidRPr="00332874">
        <w:rPr>
          <w:sz w:val="22"/>
          <w:lang w:val="fr-FR"/>
        </w:rPr>
        <w:t>4.</w:t>
      </w:r>
      <w:r w:rsidRPr="00332874">
        <w:rPr>
          <w:sz w:val="22"/>
          <w:lang w:val="fr-FR"/>
        </w:rPr>
        <w:tab/>
      </w:r>
      <w:r w:rsidRPr="00332874">
        <w:rPr>
          <w:i/>
          <w:sz w:val="22"/>
          <w:lang w:val="fr-FR"/>
        </w:rPr>
        <w:t>Encourage</w:t>
      </w:r>
      <w:r>
        <w:rPr>
          <w:i/>
          <w:sz w:val="22"/>
          <w:lang w:val="fr-FR"/>
        </w:rPr>
        <w:t xml:space="preserve"> </w:t>
      </w:r>
      <w:r>
        <w:rPr>
          <w:sz w:val="22"/>
          <w:lang w:val="fr-FR"/>
        </w:rPr>
        <w:t xml:space="preserve">les États de l’aire de répartition qui </w:t>
      </w:r>
      <w:proofErr w:type="gramStart"/>
      <w:r>
        <w:rPr>
          <w:sz w:val="22"/>
          <w:lang w:val="fr-FR"/>
        </w:rPr>
        <w:t>ne sont</w:t>
      </w:r>
      <w:proofErr w:type="gramEnd"/>
      <w:r>
        <w:rPr>
          <w:sz w:val="22"/>
          <w:lang w:val="fr-FR"/>
        </w:rPr>
        <w:t xml:space="preserve"> pas encore Parties contractantes à l’Accord à mettre également en œuvre ces plans ainsi que les Plans d’action par espèce précédemment adoptés ;</w:t>
      </w:r>
    </w:p>
    <w:p w14:paraId="0CA98E2B" w14:textId="77777777" w:rsidR="00C3362D" w:rsidRPr="00332874" w:rsidRDefault="00C3362D" w:rsidP="00F01B13">
      <w:pPr>
        <w:jc w:val="both"/>
        <w:rPr>
          <w:iCs/>
          <w:sz w:val="22"/>
          <w:lang w:val="fr-FR"/>
        </w:rPr>
      </w:pPr>
    </w:p>
    <w:p w14:paraId="0CA98E2C" w14:textId="0512BD6B" w:rsidR="00C3362D" w:rsidRPr="00332874" w:rsidRDefault="00C3362D" w:rsidP="00F01B13">
      <w:pPr>
        <w:jc w:val="both"/>
        <w:rPr>
          <w:iCs/>
          <w:sz w:val="22"/>
          <w:lang w:val="fr-FR"/>
        </w:rPr>
      </w:pPr>
      <w:r w:rsidRPr="00332874">
        <w:rPr>
          <w:iCs/>
          <w:sz w:val="22"/>
          <w:lang w:val="fr-FR"/>
        </w:rPr>
        <w:t>5.</w:t>
      </w:r>
      <w:r w:rsidRPr="00332874">
        <w:rPr>
          <w:iCs/>
          <w:sz w:val="22"/>
          <w:lang w:val="fr-FR"/>
        </w:rPr>
        <w:tab/>
      </w:r>
      <w:r>
        <w:rPr>
          <w:i/>
          <w:iCs/>
          <w:sz w:val="22"/>
          <w:lang w:val="fr-FR"/>
        </w:rPr>
        <w:t xml:space="preserve">Charge </w:t>
      </w:r>
      <w:r w:rsidRPr="003F4FC1">
        <w:rPr>
          <w:iCs/>
          <w:sz w:val="22"/>
          <w:lang w:val="fr-FR"/>
        </w:rPr>
        <w:t xml:space="preserve">le </w:t>
      </w:r>
      <w:r w:rsidRPr="00332874">
        <w:rPr>
          <w:iCs/>
          <w:sz w:val="22"/>
          <w:lang w:val="fr-FR"/>
        </w:rPr>
        <w:t xml:space="preserve">Secrétariat </w:t>
      </w:r>
      <w:r>
        <w:rPr>
          <w:iCs/>
          <w:sz w:val="22"/>
          <w:lang w:val="fr-FR"/>
        </w:rPr>
        <w:t xml:space="preserve">de réunir, en priorité, les groupes de travail de l’AEWA sur les espèces afin de coordonner la mise en œuvre des SSAP pour les espèces mondialement menacées </w:t>
      </w:r>
      <w:r w:rsidR="005223B9">
        <w:rPr>
          <w:iCs/>
          <w:sz w:val="22"/>
          <w:lang w:val="fr-FR"/>
        </w:rPr>
        <w:t xml:space="preserve">et quasi menacées </w:t>
      </w:r>
      <w:r>
        <w:rPr>
          <w:iCs/>
          <w:sz w:val="22"/>
          <w:lang w:val="fr-FR"/>
        </w:rPr>
        <w:t>et celle du Plan de gestion des espèces ;</w:t>
      </w:r>
    </w:p>
    <w:p w14:paraId="0CA98E2D" w14:textId="77777777" w:rsidR="00C3362D" w:rsidRPr="00332874" w:rsidRDefault="00C3362D" w:rsidP="00F01B13">
      <w:pPr>
        <w:jc w:val="both"/>
        <w:rPr>
          <w:iCs/>
          <w:sz w:val="22"/>
          <w:lang w:val="fr-FR"/>
        </w:rPr>
      </w:pPr>
    </w:p>
    <w:p w14:paraId="0CA98E2E" w14:textId="3968CEE5" w:rsidR="00C3362D" w:rsidRPr="00332874" w:rsidRDefault="00C3362D" w:rsidP="00F01B13">
      <w:pPr>
        <w:jc w:val="both"/>
        <w:rPr>
          <w:iCs/>
          <w:sz w:val="22"/>
          <w:lang w:val="fr-FR"/>
        </w:rPr>
      </w:pPr>
      <w:r w:rsidRPr="00332874">
        <w:rPr>
          <w:iCs/>
          <w:sz w:val="22"/>
          <w:lang w:val="fr-FR"/>
        </w:rPr>
        <w:t xml:space="preserve">6. </w:t>
      </w:r>
      <w:r w:rsidRPr="00332874">
        <w:rPr>
          <w:iCs/>
          <w:sz w:val="22"/>
          <w:lang w:val="fr-FR"/>
        </w:rPr>
        <w:tab/>
      </w:r>
      <w:r w:rsidR="001F2639">
        <w:rPr>
          <w:i/>
          <w:iCs/>
          <w:sz w:val="22"/>
          <w:lang w:val="fr-FR"/>
        </w:rPr>
        <w:t>Invite</w:t>
      </w:r>
      <w:r w:rsidR="001F2639" w:rsidRPr="00332874">
        <w:rPr>
          <w:iCs/>
          <w:sz w:val="22"/>
          <w:lang w:val="fr-FR"/>
        </w:rPr>
        <w:t xml:space="preserve"> </w:t>
      </w:r>
      <w:r>
        <w:rPr>
          <w:iCs/>
          <w:sz w:val="22"/>
          <w:lang w:val="fr-FR"/>
        </w:rPr>
        <w:t>les P</w:t>
      </w:r>
      <w:r w:rsidRPr="00332874">
        <w:rPr>
          <w:iCs/>
          <w:sz w:val="22"/>
          <w:lang w:val="fr-FR"/>
        </w:rPr>
        <w:t>arties</w:t>
      </w:r>
      <w:r>
        <w:rPr>
          <w:iCs/>
          <w:sz w:val="22"/>
          <w:lang w:val="fr-FR"/>
        </w:rPr>
        <w:t xml:space="preserve"> contractantes</w:t>
      </w:r>
      <w:r w:rsidRPr="00332874">
        <w:rPr>
          <w:iCs/>
          <w:sz w:val="22"/>
          <w:lang w:val="fr-FR"/>
        </w:rPr>
        <w:t xml:space="preserve">, </w:t>
      </w:r>
      <w:r>
        <w:rPr>
          <w:iCs/>
          <w:sz w:val="22"/>
          <w:lang w:val="fr-FR"/>
        </w:rPr>
        <w:t>les autres États de l’aire de répartition et les organisations partenaires internationales à mettre en place les mécanismes de coordination afin de faciliter la mise en œuvre des plans d’action pour les espèces qui ne sont pas mondialement menacées </w:t>
      </w:r>
      <w:r w:rsidR="001F2639">
        <w:rPr>
          <w:iCs/>
          <w:sz w:val="22"/>
          <w:lang w:val="fr-FR"/>
        </w:rPr>
        <w:t>ou quasi menacées</w:t>
      </w:r>
      <w:r w:rsidR="00910DF7">
        <w:rPr>
          <w:iCs/>
          <w:sz w:val="22"/>
          <w:lang w:val="fr-FR"/>
        </w:rPr>
        <w:t xml:space="preserve"> </w:t>
      </w:r>
      <w:r>
        <w:rPr>
          <w:iCs/>
          <w:sz w:val="22"/>
          <w:lang w:val="fr-FR"/>
        </w:rPr>
        <w:t>;</w:t>
      </w:r>
    </w:p>
    <w:p w14:paraId="0CA98E2F" w14:textId="77777777" w:rsidR="00C3362D" w:rsidRPr="00332874" w:rsidRDefault="00C3362D" w:rsidP="00F01B13">
      <w:pPr>
        <w:jc w:val="both"/>
        <w:rPr>
          <w:iCs/>
          <w:sz w:val="22"/>
          <w:lang w:val="fr-FR"/>
        </w:rPr>
      </w:pPr>
    </w:p>
    <w:p w14:paraId="0CA98E30" w14:textId="77777777" w:rsidR="00C3362D" w:rsidRPr="00332874" w:rsidRDefault="00C3362D" w:rsidP="00F01B13">
      <w:pPr>
        <w:jc w:val="both"/>
        <w:rPr>
          <w:iCs/>
          <w:sz w:val="22"/>
          <w:lang w:val="fr-FR"/>
        </w:rPr>
      </w:pPr>
      <w:r w:rsidRPr="00332874">
        <w:rPr>
          <w:iCs/>
          <w:sz w:val="22"/>
          <w:lang w:val="fr-FR"/>
        </w:rPr>
        <w:t>7.</w:t>
      </w:r>
      <w:r w:rsidRPr="00332874">
        <w:rPr>
          <w:iCs/>
          <w:sz w:val="22"/>
          <w:lang w:val="fr-FR"/>
        </w:rPr>
        <w:tab/>
      </w:r>
      <w:r w:rsidRPr="00CE24BC">
        <w:rPr>
          <w:i/>
          <w:iCs/>
          <w:sz w:val="22"/>
          <w:lang w:val="fr-FR"/>
        </w:rPr>
        <w:t>Demande</w:t>
      </w:r>
      <w:r>
        <w:rPr>
          <w:iCs/>
          <w:sz w:val="22"/>
          <w:lang w:val="fr-FR"/>
        </w:rPr>
        <w:t xml:space="preserve"> à tous les États de l’aire de répartition, les organisations </w:t>
      </w:r>
      <w:r w:rsidRPr="00332874">
        <w:rPr>
          <w:iCs/>
          <w:sz w:val="22"/>
          <w:lang w:val="fr-FR"/>
        </w:rPr>
        <w:t>gouvernement</w:t>
      </w:r>
      <w:r>
        <w:rPr>
          <w:iCs/>
          <w:sz w:val="22"/>
          <w:lang w:val="fr-FR"/>
        </w:rPr>
        <w:t xml:space="preserve">ales et </w:t>
      </w:r>
      <w:r w:rsidRPr="00332874">
        <w:rPr>
          <w:iCs/>
          <w:sz w:val="22"/>
          <w:lang w:val="fr-FR"/>
        </w:rPr>
        <w:t>non-gouvernement</w:t>
      </w:r>
      <w:r>
        <w:rPr>
          <w:iCs/>
          <w:sz w:val="22"/>
          <w:lang w:val="fr-FR"/>
        </w:rPr>
        <w:t xml:space="preserve">ales concernées, et aux donateurs bilatéraux et </w:t>
      </w:r>
      <w:r w:rsidRPr="00332874">
        <w:rPr>
          <w:iCs/>
          <w:sz w:val="22"/>
          <w:lang w:val="fr-FR"/>
        </w:rPr>
        <w:t>multilatéra</w:t>
      </w:r>
      <w:r>
        <w:rPr>
          <w:iCs/>
          <w:sz w:val="22"/>
          <w:lang w:val="fr-FR"/>
        </w:rPr>
        <w:t xml:space="preserve">ux d’apporter leur soutien à la </w:t>
      </w:r>
      <w:r w:rsidRPr="00332874">
        <w:rPr>
          <w:iCs/>
          <w:sz w:val="22"/>
          <w:lang w:val="fr-FR"/>
        </w:rPr>
        <w:t xml:space="preserve">coordination </w:t>
      </w:r>
      <w:r>
        <w:rPr>
          <w:iCs/>
          <w:sz w:val="22"/>
          <w:lang w:val="fr-FR"/>
        </w:rPr>
        <w:t>et à la mise en œuvre des Plans d’action internationaux par espèce</w:t>
      </w:r>
      <w:r w:rsidRPr="00332874">
        <w:rPr>
          <w:iCs/>
          <w:sz w:val="22"/>
          <w:lang w:val="fr-FR"/>
        </w:rPr>
        <w:t xml:space="preserve"> </w:t>
      </w:r>
      <w:r>
        <w:rPr>
          <w:iCs/>
          <w:sz w:val="22"/>
          <w:lang w:val="fr-FR"/>
        </w:rPr>
        <w:t>et du Plan de gestion des espèces qui ont été adoptés, en particulier par le biais d’une participation active et du financement des groupes de travail de l’AEWA sur les espèces ;</w:t>
      </w:r>
      <w:r w:rsidRPr="00332874">
        <w:rPr>
          <w:iCs/>
          <w:sz w:val="22"/>
          <w:lang w:val="fr-FR"/>
        </w:rPr>
        <w:t xml:space="preserve"> </w:t>
      </w:r>
    </w:p>
    <w:p w14:paraId="0CA98E31" w14:textId="77777777" w:rsidR="00C3362D" w:rsidRPr="00332874" w:rsidRDefault="00C3362D" w:rsidP="00F01B13">
      <w:pPr>
        <w:jc w:val="both"/>
        <w:rPr>
          <w:iCs/>
          <w:sz w:val="22"/>
          <w:lang w:val="fr-FR"/>
        </w:rPr>
      </w:pPr>
    </w:p>
    <w:p w14:paraId="0CA98E32" w14:textId="77777777" w:rsidR="00C3362D" w:rsidRPr="00332874" w:rsidRDefault="00C3362D" w:rsidP="009A1AEF">
      <w:pPr>
        <w:jc w:val="both"/>
        <w:rPr>
          <w:iCs/>
          <w:sz w:val="22"/>
          <w:lang w:val="fr-FR"/>
        </w:rPr>
      </w:pPr>
      <w:r w:rsidRPr="00332874">
        <w:rPr>
          <w:iCs/>
          <w:sz w:val="22"/>
          <w:lang w:val="fr-FR"/>
        </w:rPr>
        <w:t>8.</w:t>
      </w:r>
      <w:r w:rsidRPr="00332874">
        <w:rPr>
          <w:iCs/>
          <w:sz w:val="22"/>
          <w:lang w:val="fr-FR"/>
        </w:rPr>
        <w:tab/>
      </w:r>
      <w:r>
        <w:rPr>
          <w:i/>
          <w:iCs/>
          <w:sz w:val="22"/>
          <w:lang w:val="fr-FR"/>
        </w:rPr>
        <w:t xml:space="preserve">Charge le </w:t>
      </w:r>
      <w:r w:rsidRPr="00332874">
        <w:rPr>
          <w:iCs/>
          <w:sz w:val="22"/>
          <w:lang w:val="fr-FR"/>
        </w:rPr>
        <w:t xml:space="preserve">Secrétariat </w:t>
      </w:r>
      <w:r>
        <w:rPr>
          <w:iCs/>
          <w:sz w:val="22"/>
          <w:lang w:val="fr-FR"/>
        </w:rPr>
        <w:t>de diffuser auprès des</w:t>
      </w:r>
      <w:r w:rsidRPr="00332874">
        <w:rPr>
          <w:iCs/>
          <w:sz w:val="22"/>
          <w:lang w:val="fr-FR"/>
        </w:rPr>
        <w:t xml:space="preserve"> Parties </w:t>
      </w:r>
      <w:r>
        <w:rPr>
          <w:iCs/>
          <w:sz w:val="22"/>
          <w:lang w:val="fr-FR"/>
        </w:rPr>
        <w:t>et</w:t>
      </w:r>
      <w:r w:rsidRPr="00332874">
        <w:rPr>
          <w:iCs/>
          <w:sz w:val="22"/>
          <w:lang w:val="fr-FR"/>
        </w:rPr>
        <w:t xml:space="preserve"> organisations</w:t>
      </w:r>
      <w:r>
        <w:rPr>
          <w:iCs/>
          <w:sz w:val="22"/>
          <w:lang w:val="fr-FR"/>
        </w:rPr>
        <w:t xml:space="preserve"> concernées les Plans d’action internationaux par espèce et le Plan de gestion des espèces</w:t>
      </w:r>
      <w:r w:rsidRPr="00332874">
        <w:rPr>
          <w:iCs/>
          <w:sz w:val="22"/>
          <w:lang w:val="fr-FR"/>
        </w:rPr>
        <w:t xml:space="preserve">, </w:t>
      </w:r>
      <w:r>
        <w:rPr>
          <w:iCs/>
          <w:sz w:val="22"/>
          <w:lang w:val="fr-FR"/>
        </w:rPr>
        <w:t xml:space="preserve">de surveiller leur mise en œuvre et d’informer la Réunion des Parties sur le stade de préparation et de mise en œuvre des Plans d’action par espèce conformément au </w:t>
      </w:r>
      <w:r w:rsidRPr="00332874">
        <w:rPr>
          <w:iCs/>
          <w:sz w:val="22"/>
          <w:lang w:val="fr-FR"/>
        </w:rPr>
        <w:t>paragraph</w:t>
      </w:r>
      <w:r>
        <w:rPr>
          <w:iCs/>
          <w:sz w:val="22"/>
          <w:lang w:val="fr-FR"/>
        </w:rPr>
        <w:t>e</w:t>
      </w:r>
      <w:r w:rsidRPr="00332874">
        <w:rPr>
          <w:iCs/>
          <w:sz w:val="22"/>
          <w:lang w:val="fr-FR"/>
        </w:rPr>
        <w:t xml:space="preserve"> 7.4 </w:t>
      </w:r>
      <w:r>
        <w:rPr>
          <w:iCs/>
          <w:sz w:val="22"/>
          <w:lang w:val="fr-FR"/>
        </w:rPr>
        <w:t xml:space="preserve">du Plan d’action de l’Accord et par le biais des études internationales ; </w:t>
      </w:r>
    </w:p>
    <w:p w14:paraId="0CA98E33" w14:textId="77777777" w:rsidR="00C3362D" w:rsidRPr="00332874" w:rsidRDefault="00C3362D" w:rsidP="009A1AEF">
      <w:pPr>
        <w:jc w:val="both"/>
        <w:rPr>
          <w:iCs/>
          <w:sz w:val="22"/>
          <w:lang w:val="fr-FR"/>
        </w:rPr>
      </w:pPr>
    </w:p>
    <w:p w14:paraId="0CA98E34" w14:textId="384D2A60" w:rsidR="00C3362D" w:rsidRDefault="00C3362D" w:rsidP="009A1AEF">
      <w:pPr>
        <w:jc w:val="both"/>
        <w:rPr>
          <w:iCs/>
          <w:sz w:val="22"/>
          <w:lang w:val="fr-FR"/>
        </w:rPr>
      </w:pPr>
      <w:r w:rsidRPr="00332874">
        <w:rPr>
          <w:iCs/>
          <w:sz w:val="22"/>
          <w:lang w:val="fr-FR"/>
        </w:rPr>
        <w:t>9.</w:t>
      </w:r>
      <w:r w:rsidRPr="00332874">
        <w:rPr>
          <w:iCs/>
          <w:sz w:val="22"/>
          <w:lang w:val="fr-FR"/>
        </w:rPr>
        <w:tab/>
      </w:r>
      <w:r>
        <w:rPr>
          <w:i/>
          <w:iCs/>
          <w:sz w:val="22"/>
          <w:lang w:val="fr-FR"/>
        </w:rPr>
        <w:t xml:space="preserve">Demande </w:t>
      </w:r>
      <w:r>
        <w:rPr>
          <w:iCs/>
          <w:sz w:val="22"/>
          <w:lang w:val="fr-FR"/>
        </w:rPr>
        <w:t xml:space="preserve">au Comité technique de réviser </w:t>
      </w:r>
      <w:r w:rsidR="007956C4">
        <w:rPr>
          <w:iCs/>
          <w:sz w:val="22"/>
          <w:lang w:val="fr-FR"/>
        </w:rPr>
        <w:t>lors de sa première réunion</w:t>
      </w:r>
      <w:r w:rsidR="007D0B73">
        <w:rPr>
          <w:iCs/>
          <w:sz w:val="22"/>
          <w:lang w:val="fr-FR"/>
        </w:rPr>
        <w:t>,</w:t>
      </w:r>
      <w:r w:rsidR="007956C4">
        <w:rPr>
          <w:iCs/>
          <w:sz w:val="22"/>
          <w:lang w:val="fr-FR"/>
        </w:rPr>
        <w:t xml:space="preserve"> </w:t>
      </w:r>
      <w:r>
        <w:rPr>
          <w:iCs/>
          <w:sz w:val="22"/>
          <w:lang w:val="fr-FR"/>
        </w:rPr>
        <w:t xml:space="preserve">après chaque Réunion des </w:t>
      </w:r>
      <w:r w:rsidRPr="00332874">
        <w:rPr>
          <w:iCs/>
          <w:sz w:val="22"/>
          <w:lang w:val="fr-FR"/>
        </w:rPr>
        <w:t>Parties</w:t>
      </w:r>
      <w:r w:rsidR="007D0B73">
        <w:rPr>
          <w:iCs/>
          <w:sz w:val="22"/>
          <w:lang w:val="fr-FR"/>
        </w:rPr>
        <w:t>,</w:t>
      </w:r>
      <w:r w:rsidRPr="00332874">
        <w:rPr>
          <w:iCs/>
          <w:sz w:val="22"/>
          <w:lang w:val="fr-FR"/>
        </w:rPr>
        <w:t xml:space="preserve"> </w:t>
      </w:r>
      <w:r>
        <w:rPr>
          <w:iCs/>
          <w:sz w:val="22"/>
          <w:lang w:val="fr-FR"/>
        </w:rPr>
        <w:t xml:space="preserve">la liste des priorités se rapportant aux </w:t>
      </w:r>
      <w:r w:rsidRPr="00332874">
        <w:rPr>
          <w:iCs/>
          <w:sz w:val="22"/>
          <w:lang w:val="fr-FR"/>
        </w:rPr>
        <w:t>SSAP</w:t>
      </w:r>
      <w:r>
        <w:rPr>
          <w:iCs/>
          <w:sz w:val="22"/>
          <w:lang w:val="fr-FR"/>
        </w:rPr>
        <w:t xml:space="preserve"> à la lumière des changements approuvés pour le </w:t>
      </w:r>
      <w:bookmarkStart w:id="0" w:name="_GoBack"/>
      <w:bookmarkEnd w:id="0"/>
      <w:r>
        <w:rPr>
          <w:iCs/>
          <w:sz w:val="22"/>
          <w:lang w:val="fr-FR"/>
        </w:rPr>
        <w:t>Tableau</w:t>
      </w:r>
      <w:r w:rsidRPr="00332874">
        <w:rPr>
          <w:iCs/>
          <w:sz w:val="22"/>
          <w:lang w:val="fr-FR"/>
        </w:rPr>
        <w:t xml:space="preserve"> 1</w:t>
      </w:r>
      <w:r w:rsidR="002968D1">
        <w:rPr>
          <w:iCs/>
          <w:sz w:val="22"/>
          <w:lang w:val="fr-FR"/>
        </w:rPr>
        <w:t>.</w:t>
      </w:r>
    </w:p>
    <w:p w14:paraId="2BED76DB" w14:textId="77777777" w:rsidR="00E92312" w:rsidRDefault="00E92312" w:rsidP="009A1AEF">
      <w:pPr>
        <w:jc w:val="both"/>
        <w:rPr>
          <w:iCs/>
          <w:sz w:val="22"/>
          <w:lang w:val="fr-FR"/>
        </w:rPr>
      </w:pPr>
    </w:p>
    <w:sectPr w:rsidR="00E92312" w:rsidSect="00E02272">
      <w:headerReference w:type="default" r:id="rId11"/>
      <w:footerReference w:type="default" r:id="rId12"/>
      <w:footnotePr>
        <w:numFmt w:val="chicago"/>
      </w:footnotePr>
      <w:pgSz w:w="11907" w:h="16840" w:code="9"/>
      <w:pgMar w:top="102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A6150" w14:textId="77777777" w:rsidR="00FD5D6A" w:rsidRDefault="00FD5D6A">
      <w:r>
        <w:separator/>
      </w:r>
    </w:p>
  </w:endnote>
  <w:endnote w:type="continuationSeparator" w:id="0">
    <w:p w14:paraId="04041241" w14:textId="77777777" w:rsidR="00FD5D6A" w:rsidRDefault="00FD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98E48" w14:textId="77777777" w:rsidR="00FF78EA" w:rsidRDefault="00FF78EA" w:rsidP="001D21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A98E49" w14:textId="77777777" w:rsidR="00FF78EA" w:rsidRDefault="00FF78EA" w:rsidP="00E026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98E4A" w14:textId="77777777" w:rsidR="00FF78EA" w:rsidRDefault="00FF78EA" w:rsidP="00D012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CA98E4B" w14:textId="77777777" w:rsidR="00FF78EA" w:rsidRPr="009B3A9A" w:rsidRDefault="00FF78EA" w:rsidP="00BA57E8">
    <w:pPr>
      <w:jc w:val="right"/>
      <w:rPr>
        <w:i/>
        <w:sz w:val="16"/>
        <w:szCs w:val="16"/>
        <w:lang w:val="en-GB"/>
      </w:rPr>
    </w:pPr>
    <w:r w:rsidRPr="009B3A9A">
      <w:rPr>
        <w:i/>
        <w:sz w:val="16"/>
        <w:szCs w:val="16"/>
        <w:lang w:val="en-GB"/>
      </w:rPr>
      <w:t>4</w:t>
    </w:r>
    <w:r w:rsidRPr="009B3A9A">
      <w:rPr>
        <w:i/>
        <w:sz w:val="16"/>
        <w:szCs w:val="16"/>
        <w:vertAlign w:val="superscript"/>
        <w:lang w:val="en-GB"/>
      </w:rPr>
      <w:t>th</w:t>
    </w:r>
    <w:r w:rsidRPr="009B3A9A">
      <w:rPr>
        <w:i/>
        <w:sz w:val="16"/>
        <w:szCs w:val="16"/>
        <w:lang w:val="en-GB"/>
      </w:rPr>
      <w:t xml:space="preserve"> Session of the Meeting of the Parties</w:t>
    </w:r>
  </w:p>
  <w:p w14:paraId="0CA98E4C" w14:textId="77777777" w:rsidR="00FF78EA" w:rsidRPr="009B3A9A" w:rsidRDefault="00FF78EA" w:rsidP="00BA57E8">
    <w:pPr>
      <w:tabs>
        <w:tab w:val="left" w:pos="525"/>
        <w:tab w:val="right" w:pos="9639"/>
      </w:tabs>
      <w:rPr>
        <w:i/>
        <w:sz w:val="16"/>
        <w:szCs w:val="16"/>
        <w:lang w:val="en-GB"/>
      </w:rPr>
    </w:pPr>
    <w:r>
      <w:rPr>
        <w:i/>
        <w:sz w:val="16"/>
        <w:szCs w:val="16"/>
        <w:lang w:val="en-GB"/>
      </w:rPr>
      <w:tab/>
    </w:r>
    <w:r>
      <w:rPr>
        <w:i/>
        <w:sz w:val="16"/>
        <w:szCs w:val="16"/>
        <w:lang w:val="en-GB"/>
      </w:rPr>
      <w:tab/>
    </w:r>
    <w:r w:rsidRPr="009B3A9A">
      <w:rPr>
        <w:i/>
        <w:sz w:val="16"/>
        <w:szCs w:val="16"/>
        <w:lang w:val="en-GB"/>
      </w:rPr>
      <w:t>15 – 19 September 2008, Antananarivo, Madagascar</w:t>
    </w:r>
  </w:p>
  <w:p w14:paraId="0CA98E4D" w14:textId="77777777" w:rsidR="00FF78EA" w:rsidRDefault="00FF78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98E4F" w14:textId="77777777" w:rsidR="00FF78EA" w:rsidRPr="005B2B9F" w:rsidRDefault="00FF78EA" w:rsidP="004C78F9">
    <w:pPr>
      <w:jc w:val="center"/>
      <w:rPr>
        <w:szCs w:val="20"/>
        <w:lang w:val="en-GB"/>
      </w:rPr>
    </w:pPr>
    <w:r w:rsidRPr="005B2B9F">
      <w:rPr>
        <w:szCs w:val="20"/>
        <w:lang w:val="en-GB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65103" w14:textId="77777777" w:rsidR="00FD5D6A" w:rsidRDefault="00FD5D6A">
      <w:r>
        <w:separator/>
      </w:r>
    </w:p>
  </w:footnote>
  <w:footnote w:type="continuationSeparator" w:id="0">
    <w:p w14:paraId="2355964F" w14:textId="77777777" w:rsidR="00FD5D6A" w:rsidRDefault="00FD5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9B92E" w14:textId="77777777" w:rsidR="00910DF7" w:rsidRPr="007620D4" w:rsidRDefault="00910DF7" w:rsidP="00910DF7">
    <w:pPr>
      <w:rPr>
        <w:rStyle w:val="Emphasis"/>
      </w:rPr>
    </w:pPr>
  </w:p>
  <w:tbl>
    <w:tblPr>
      <w:tblW w:w="4923" w:type="pct"/>
      <w:tblLayout w:type="fixed"/>
      <w:tblLook w:val="0000" w:firstRow="0" w:lastRow="0" w:firstColumn="0" w:lastColumn="0" w:noHBand="0" w:noVBand="0"/>
    </w:tblPr>
    <w:tblGrid>
      <w:gridCol w:w="1525"/>
      <w:gridCol w:w="7231"/>
      <w:gridCol w:w="947"/>
    </w:tblGrid>
    <w:tr w:rsidR="00910DF7" w:rsidRPr="00897078" w14:paraId="3F54D62C" w14:textId="77777777" w:rsidTr="007517A0">
      <w:trPr>
        <w:trHeight w:val="2164"/>
      </w:trPr>
      <w:tc>
        <w:tcPr>
          <w:tcW w:w="786" w:type="pct"/>
        </w:tcPr>
        <w:p w14:paraId="1AA209F5" w14:textId="77777777" w:rsidR="00910DF7" w:rsidRDefault="00910DF7" w:rsidP="007517A0">
          <w:pPr>
            <w:ind w:right="33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68268A0D" wp14:editId="298AF4DB">
                <wp:simplePos x="0" y="0"/>
                <wp:positionH relativeFrom="column">
                  <wp:posOffset>-72390</wp:posOffset>
                </wp:positionH>
                <wp:positionV relativeFrom="paragraph">
                  <wp:posOffset>6985</wp:posOffset>
                </wp:positionV>
                <wp:extent cx="982980" cy="819150"/>
                <wp:effectExtent l="0" t="0" r="7620" b="0"/>
                <wp:wrapTight wrapText="bothSides">
                  <wp:wrapPolygon edited="0">
                    <wp:start x="0" y="0"/>
                    <wp:lineTo x="0" y="21098"/>
                    <wp:lineTo x="21349" y="21098"/>
                    <wp:lineTo x="21349" y="0"/>
                    <wp:lineTo x="0" y="0"/>
                  </wp:wrapPolygon>
                </wp:wrapTight>
                <wp:docPr id="5" name="Picture 5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26" w:type="pct"/>
        </w:tcPr>
        <w:p w14:paraId="5564B33A" w14:textId="77777777" w:rsidR="00910DF7" w:rsidRPr="00C606E5" w:rsidRDefault="00910DF7" w:rsidP="007517A0">
          <w:pPr>
            <w:tabs>
              <w:tab w:val="left" w:pos="2415"/>
            </w:tabs>
            <w:rPr>
              <w:i/>
              <w:caps/>
              <w:sz w:val="22"/>
              <w:szCs w:val="20"/>
              <w:lang w:val="fr-FR"/>
            </w:rPr>
          </w:pPr>
          <w:r>
            <w:rPr>
              <w:i/>
              <w:caps/>
              <w:sz w:val="22"/>
              <w:szCs w:val="20"/>
              <w:lang w:val="fr-FR"/>
            </w:rPr>
            <w:t xml:space="preserve">            </w:t>
          </w:r>
          <w:r w:rsidRPr="00C606E5">
            <w:rPr>
              <w:i/>
              <w:caps/>
              <w:sz w:val="22"/>
              <w:szCs w:val="20"/>
              <w:lang w:val="fr-FR"/>
            </w:rPr>
            <w:t xml:space="preserve">ACCORD SUR LA CONSERVATION DES OISEAUX </w:t>
          </w:r>
        </w:p>
        <w:p w14:paraId="133C8CE4" w14:textId="77777777" w:rsidR="00910DF7" w:rsidRPr="007620D4" w:rsidRDefault="00910DF7" w:rsidP="007517A0">
          <w:pPr>
            <w:tabs>
              <w:tab w:val="left" w:pos="2415"/>
            </w:tabs>
            <w:rPr>
              <w:i/>
              <w:caps/>
              <w:szCs w:val="22"/>
              <w:lang w:val="fr-FR"/>
            </w:rPr>
          </w:pPr>
          <w:r>
            <w:rPr>
              <w:i/>
              <w:caps/>
              <w:sz w:val="22"/>
              <w:szCs w:val="20"/>
              <w:lang w:val="fr-FR"/>
            </w:rPr>
            <w:t xml:space="preserve">                 </w:t>
          </w:r>
          <w:r w:rsidRPr="007620D4">
            <w:rPr>
              <w:i/>
              <w:caps/>
              <w:sz w:val="22"/>
              <w:szCs w:val="20"/>
              <w:lang w:val="fr-FR"/>
            </w:rPr>
            <w:t>D’eau migrateurs D’afrique-eurasie</w:t>
          </w:r>
        </w:p>
        <w:p w14:paraId="14F5D1FC" w14:textId="77777777" w:rsidR="00910DF7" w:rsidRPr="007620D4" w:rsidRDefault="00910DF7" w:rsidP="007517A0">
          <w:pPr>
            <w:tabs>
              <w:tab w:val="left" w:pos="2415"/>
            </w:tabs>
            <w:jc w:val="center"/>
            <w:rPr>
              <w:i/>
              <w:caps/>
              <w:sz w:val="22"/>
              <w:szCs w:val="22"/>
              <w:lang w:val="fr-FR"/>
            </w:rPr>
          </w:pPr>
        </w:p>
        <w:p w14:paraId="35856B24" w14:textId="77777777" w:rsidR="00910DF7" w:rsidRPr="007620D4" w:rsidRDefault="00910DF7" w:rsidP="007517A0">
          <w:pPr>
            <w:tabs>
              <w:tab w:val="left" w:pos="2415"/>
            </w:tabs>
            <w:jc w:val="center"/>
            <w:rPr>
              <w:i/>
              <w:caps/>
              <w:sz w:val="22"/>
              <w:szCs w:val="22"/>
              <w:lang w:val="fr-FR"/>
            </w:rPr>
          </w:pPr>
        </w:p>
        <w:p w14:paraId="5A6C1F90" w14:textId="77777777" w:rsidR="00910DF7" w:rsidRPr="00910DF7" w:rsidRDefault="00910DF7" w:rsidP="007517A0">
          <w:pPr>
            <w:pStyle w:val="BodyText2"/>
            <w:rPr>
              <w:b/>
              <w:bCs/>
              <w:caps/>
              <w:sz w:val="24"/>
              <w:lang w:val="fr-FR"/>
            </w:rPr>
          </w:pPr>
          <w:r>
            <w:rPr>
              <w:b/>
              <w:bCs/>
              <w:szCs w:val="26"/>
              <w:lang w:val="fr-FR"/>
            </w:rPr>
            <w:t xml:space="preserve">           </w:t>
          </w:r>
          <w:r w:rsidRPr="00910DF7">
            <w:rPr>
              <w:b/>
              <w:bCs/>
              <w:sz w:val="24"/>
              <w:lang w:val="fr-FR"/>
            </w:rPr>
            <w:t>5</w:t>
          </w:r>
          <w:r w:rsidRPr="00910DF7">
            <w:rPr>
              <w:b/>
              <w:bCs/>
              <w:sz w:val="24"/>
              <w:vertAlign w:val="superscript"/>
              <w:lang w:val="fr-FR"/>
            </w:rPr>
            <w:t>ème</w:t>
          </w:r>
          <w:r w:rsidRPr="00910DF7">
            <w:rPr>
              <w:b/>
              <w:bCs/>
              <w:sz w:val="24"/>
              <w:lang w:val="fr-FR"/>
            </w:rPr>
            <w:t xml:space="preserve"> </w:t>
          </w:r>
          <w:r w:rsidRPr="00910DF7">
            <w:rPr>
              <w:b/>
              <w:bCs/>
              <w:caps/>
              <w:sz w:val="24"/>
              <w:lang w:val="fr-FR"/>
            </w:rPr>
            <w:t xml:space="preserve">Session de la rÉunion des parties     </w:t>
          </w:r>
        </w:p>
        <w:p w14:paraId="0103CF34" w14:textId="77777777" w:rsidR="00910DF7" w:rsidRPr="00910DF7" w:rsidRDefault="00910DF7" w:rsidP="007517A0">
          <w:pPr>
            <w:pStyle w:val="BodyText2"/>
            <w:rPr>
              <w:b/>
              <w:bCs/>
              <w:caps/>
              <w:sz w:val="24"/>
              <w:lang w:val="fr-FR"/>
            </w:rPr>
          </w:pPr>
          <w:r w:rsidRPr="00910DF7">
            <w:rPr>
              <w:b/>
              <w:bCs/>
              <w:caps/>
              <w:sz w:val="24"/>
              <w:lang w:val="fr-FR"/>
            </w:rPr>
            <w:t xml:space="preserve">                                Contractantes</w:t>
          </w:r>
        </w:p>
        <w:p w14:paraId="0A30A2FC" w14:textId="77777777" w:rsidR="00910DF7" w:rsidRPr="00C606E5" w:rsidRDefault="00910DF7" w:rsidP="007517A0">
          <w:pPr>
            <w:tabs>
              <w:tab w:val="left" w:pos="2415"/>
              <w:tab w:val="left" w:pos="2975"/>
            </w:tabs>
            <w:rPr>
              <w:lang w:val="fr-FR"/>
            </w:rPr>
          </w:pPr>
          <w:r w:rsidRPr="00910DF7">
            <w:rPr>
              <w:iCs/>
              <w:sz w:val="24"/>
              <w:lang w:val="fr-FR"/>
            </w:rPr>
            <w:t xml:space="preserve">                    14 – 18 mai 2012, La Rochelle, France</w:t>
          </w:r>
        </w:p>
      </w:tc>
      <w:tc>
        <w:tcPr>
          <w:tcW w:w="488" w:type="pct"/>
        </w:tcPr>
        <w:p w14:paraId="06E94DA8" w14:textId="77777777" w:rsidR="00910DF7" w:rsidRPr="00C606E5" w:rsidRDefault="00910DF7" w:rsidP="007517A0">
          <w:pPr>
            <w:jc w:val="right"/>
            <w:rPr>
              <w:lang w:val="fr-F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2E0511F" wp14:editId="0294EAC2">
                <wp:simplePos x="0" y="0"/>
                <wp:positionH relativeFrom="column">
                  <wp:posOffset>90170</wp:posOffset>
                </wp:positionH>
                <wp:positionV relativeFrom="paragraph">
                  <wp:posOffset>-2540</wp:posOffset>
                </wp:positionV>
                <wp:extent cx="552450" cy="1310659"/>
                <wp:effectExtent l="0" t="0" r="0" b="381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aewa-mop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283" cy="1317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4A937A8" w14:textId="77777777" w:rsidR="00910DF7" w:rsidRDefault="00910DF7" w:rsidP="00910DF7">
    <w:pPr>
      <w:tabs>
        <w:tab w:val="left" w:pos="2415"/>
      </w:tabs>
      <w:ind w:left="108" w:hanging="108"/>
      <w:jc w:val="center"/>
      <w:rPr>
        <w:bCs/>
        <w:i/>
        <w:sz w:val="22"/>
        <w:lang w:val="fr-FR"/>
      </w:rPr>
    </w:pPr>
    <w:r w:rsidRPr="00C606E5">
      <w:rPr>
        <w:bCs/>
        <w:i/>
        <w:sz w:val="22"/>
        <w:lang w:val="fr-FR"/>
      </w:rPr>
      <w:t>« Les oiseaux d’eau migrateurs et les hommes – des zones humides en partage »</w:t>
    </w:r>
  </w:p>
  <w:p w14:paraId="5AC8E5D9" w14:textId="77777777" w:rsidR="00910DF7" w:rsidRDefault="00910DF7" w:rsidP="00910DF7">
    <w:pPr>
      <w:tabs>
        <w:tab w:val="left" w:pos="2415"/>
      </w:tabs>
      <w:ind w:left="108" w:hanging="108"/>
      <w:jc w:val="center"/>
      <w:rPr>
        <w:bCs/>
        <w:i/>
        <w:sz w:val="22"/>
        <w:lang w:val="fr-FR"/>
      </w:rPr>
    </w:pPr>
    <w:r>
      <w:rPr>
        <w:bCs/>
        <w:i/>
        <w:sz w:val="22"/>
        <w:lang w:val="fr-FR"/>
      </w:rPr>
      <w:t>_______________________________________________________________________________</w:t>
    </w:r>
  </w:p>
  <w:p w14:paraId="0CA98E47" w14:textId="77777777" w:rsidR="00FF78EA" w:rsidRPr="00E02272" w:rsidRDefault="00FF78E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98E4E" w14:textId="77777777" w:rsidR="00FF78EA" w:rsidRDefault="00FF78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E79BD"/>
    <w:multiLevelType w:val="hybridMultilevel"/>
    <w:tmpl w:val="354E5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BF04C9"/>
    <w:multiLevelType w:val="hybridMultilevel"/>
    <w:tmpl w:val="F91EAB6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FF8D4B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3F402A2"/>
    <w:multiLevelType w:val="hybridMultilevel"/>
    <w:tmpl w:val="765AF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6316D0E"/>
    <w:multiLevelType w:val="multilevel"/>
    <w:tmpl w:val="32566F1E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360"/>
        </w:tabs>
      </w:pPr>
      <w:rPr>
        <w:rFonts w:ascii="Garamond" w:hAnsi="Garamond" w:cs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cs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4">
    <w:nsid w:val="6BB07A4B"/>
    <w:multiLevelType w:val="hybridMultilevel"/>
    <w:tmpl w:val="A572A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93602"/>
    <w:multiLevelType w:val="hybridMultilevel"/>
    <w:tmpl w:val="7020D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EF"/>
    <w:rsid w:val="0000064A"/>
    <w:rsid w:val="0000073C"/>
    <w:rsid w:val="00014A53"/>
    <w:rsid w:val="00016E7B"/>
    <w:rsid w:val="0003034D"/>
    <w:rsid w:val="00030644"/>
    <w:rsid w:val="00032289"/>
    <w:rsid w:val="00037A5F"/>
    <w:rsid w:val="00041710"/>
    <w:rsid w:val="000464E5"/>
    <w:rsid w:val="00060494"/>
    <w:rsid w:val="0006129C"/>
    <w:rsid w:val="00065D5D"/>
    <w:rsid w:val="00070FBA"/>
    <w:rsid w:val="00074BD9"/>
    <w:rsid w:val="000977BB"/>
    <w:rsid w:val="000A5A47"/>
    <w:rsid w:val="000B352B"/>
    <w:rsid w:val="000C5FFE"/>
    <w:rsid w:val="000D1DB2"/>
    <w:rsid w:val="000E153E"/>
    <w:rsid w:val="000F21C0"/>
    <w:rsid w:val="001000E6"/>
    <w:rsid w:val="00100E7E"/>
    <w:rsid w:val="00104C13"/>
    <w:rsid w:val="00122496"/>
    <w:rsid w:val="00167D59"/>
    <w:rsid w:val="0017673C"/>
    <w:rsid w:val="001771F4"/>
    <w:rsid w:val="00182DCC"/>
    <w:rsid w:val="00186687"/>
    <w:rsid w:val="00196E67"/>
    <w:rsid w:val="001A00B6"/>
    <w:rsid w:val="001A0DCA"/>
    <w:rsid w:val="001A60BA"/>
    <w:rsid w:val="001B186D"/>
    <w:rsid w:val="001B3DE4"/>
    <w:rsid w:val="001C0638"/>
    <w:rsid w:val="001D21F7"/>
    <w:rsid w:val="001D78D3"/>
    <w:rsid w:val="001D7EA9"/>
    <w:rsid w:val="001E3607"/>
    <w:rsid w:val="001F1D9A"/>
    <w:rsid w:val="001F2639"/>
    <w:rsid w:val="0020058C"/>
    <w:rsid w:val="002014D0"/>
    <w:rsid w:val="00203F96"/>
    <w:rsid w:val="00207325"/>
    <w:rsid w:val="0022464D"/>
    <w:rsid w:val="002329DF"/>
    <w:rsid w:val="00242CF9"/>
    <w:rsid w:val="00242EFE"/>
    <w:rsid w:val="00263393"/>
    <w:rsid w:val="00277661"/>
    <w:rsid w:val="00277C90"/>
    <w:rsid w:val="0028286C"/>
    <w:rsid w:val="00286103"/>
    <w:rsid w:val="00291E17"/>
    <w:rsid w:val="002968D1"/>
    <w:rsid w:val="002A3D00"/>
    <w:rsid w:val="002A4B3E"/>
    <w:rsid w:val="002C3920"/>
    <w:rsid w:val="002C6289"/>
    <w:rsid w:val="002D2BEB"/>
    <w:rsid w:val="002E41AC"/>
    <w:rsid w:val="002E4C1F"/>
    <w:rsid w:val="002E6092"/>
    <w:rsid w:val="002E6D81"/>
    <w:rsid w:val="002F0141"/>
    <w:rsid w:val="002F14E4"/>
    <w:rsid w:val="002F7147"/>
    <w:rsid w:val="002F74BB"/>
    <w:rsid w:val="003026B9"/>
    <w:rsid w:val="00303606"/>
    <w:rsid w:val="00305237"/>
    <w:rsid w:val="00305321"/>
    <w:rsid w:val="003072A9"/>
    <w:rsid w:val="003079F6"/>
    <w:rsid w:val="00312BA0"/>
    <w:rsid w:val="003209C2"/>
    <w:rsid w:val="00332874"/>
    <w:rsid w:val="00340FB6"/>
    <w:rsid w:val="003412DF"/>
    <w:rsid w:val="00353767"/>
    <w:rsid w:val="00355966"/>
    <w:rsid w:val="00371633"/>
    <w:rsid w:val="00371B08"/>
    <w:rsid w:val="00375BDC"/>
    <w:rsid w:val="00383FCF"/>
    <w:rsid w:val="003943CD"/>
    <w:rsid w:val="003A3F99"/>
    <w:rsid w:val="003A596F"/>
    <w:rsid w:val="003B2918"/>
    <w:rsid w:val="003B4398"/>
    <w:rsid w:val="003C320A"/>
    <w:rsid w:val="003D46D2"/>
    <w:rsid w:val="003E0DB9"/>
    <w:rsid w:val="003E5C3F"/>
    <w:rsid w:val="003F4FC1"/>
    <w:rsid w:val="00405209"/>
    <w:rsid w:val="00406F76"/>
    <w:rsid w:val="0041331D"/>
    <w:rsid w:val="004133DD"/>
    <w:rsid w:val="004313BF"/>
    <w:rsid w:val="004370A6"/>
    <w:rsid w:val="00452ED9"/>
    <w:rsid w:val="004623B2"/>
    <w:rsid w:val="00482180"/>
    <w:rsid w:val="004857CA"/>
    <w:rsid w:val="00497689"/>
    <w:rsid w:val="004A35CA"/>
    <w:rsid w:val="004B28F3"/>
    <w:rsid w:val="004B57A6"/>
    <w:rsid w:val="004B75C0"/>
    <w:rsid w:val="004C7883"/>
    <w:rsid w:val="004C78F9"/>
    <w:rsid w:val="004E0A24"/>
    <w:rsid w:val="004E2A8B"/>
    <w:rsid w:val="004F4E6A"/>
    <w:rsid w:val="00500703"/>
    <w:rsid w:val="005075F8"/>
    <w:rsid w:val="00517C62"/>
    <w:rsid w:val="005223B9"/>
    <w:rsid w:val="00530AA9"/>
    <w:rsid w:val="005353CA"/>
    <w:rsid w:val="005426DD"/>
    <w:rsid w:val="005644D4"/>
    <w:rsid w:val="00567628"/>
    <w:rsid w:val="00575367"/>
    <w:rsid w:val="005765C0"/>
    <w:rsid w:val="00580B3C"/>
    <w:rsid w:val="00595DF0"/>
    <w:rsid w:val="005970C7"/>
    <w:rsid w:val="005A6CB5"/>
    <w:rsid w:val="005B2B9F"/>
    <w:rsid w:val="005D3292"/>
    <w:rsid w:val="005D54ED"/>
    <w:rsid w:val="006075EE"/>
    <w:rsid w:val="006122CD"/>
    <w:rsid w:val="006127A7"/>
    <w:rsid w:val="0063053E"/>
    <w:rsid w:val="0064378D"/>
    <w:rsid w:val="00651CAB"/>
    <w:rsid w:val="00651E75"/>
    <w:rsid w:val="00655CFA"/>
    <w:rsid w:val="00657A1D"/>
    <w:rsid w:val="0066074A"/>
    <w:rsid w:val="0066200A"/>
    <w:rsid w:val="0066367B"/>
    <w:rsid w:val="00671511"/>
    <w:rsid w:val="00676AD4"/>
    <w:rsid w:val="00684B04"/>
    <w:rsid w:val="0069010A"/>
    <w:rsid w:val="006925CF"/>
    <w:rsid w:val="006A1D69"/>
    <w:rsid w:val="006A36A7"/>
    <w:rsid w:val="006A4A6F"/>
    <w:rsid w:val="006A4AAE"/>
    <w:rsid w:val="006A7535"/>
    <w:rsid w:val="006B6B98"/>
    <w:rsid w:val="006D0AB5"/>
    <w:rsid w:val="006D1AB1"/>
    <w:rsid w:val="006D60BC"/>
    <w:rsid w:val="006D715B"/>
    <w:rsid w:val="006F0B73"/>
    <w:rsid w:val="006F3443"/>
    <w:rsid w:val="00703647"/>
    <w:rsid w:val="00710B83"/>
    <w:rsid w:val="007137CE"/>
    <w:rsid w:val="0071583A"/>
    <w:rsid w:val="00733E4E"/>
    <w:rsid w:val="00734B8A"/>
    <w:rsid w:val="00762F9A"/>
    <w:rsid w:val="0076430A"/>
    <w:rsid w:val="007747EF"/>
    <w:rsid w:val="00777BD1"/>
    <w:rsid w:val="00780358"/>
    <w:rsid w:val="00786AF1"/>
    <w:rsid w:val="007956C4"/>
    <w:rsid w:val="0079698D"/>
    <w:rsid w:val="007D0B73"/>
    <w:rsid w:val="007E054A"/>
    <w:rsid w:val="007E1121"/>
    <w:rsid w:val="007F02DB"/>
    <w:rsid w:val="007F7BF3"/>
    <w:rsid w:val="008115B4"/>
    <w:rsid w:val="00814C29"/>
    <w:rsid w:val="008169A4"/>
    <w:rsid w:val="0082215E"/>
    <w:rsid w:val="008221AA"/>
    <w:rsid w:val="008235E1"/>
    <w:rsid w:val="00824B75"/>
    <w:rsid w:val="00826923"/>
    <w:rsid w:val="00831E8C"/>
    <w:rsid w:val="00833B58"/>
    <w:rsid w:val="00843727"/>
    <w:rsid w:val="00844A13"/>
    <w:rsid w:val="0084706C"/>
    <w:rsid w:val="0084798D"/>
    <w:rsid w:val="00847E91"/>
    <w:rsid w:val="00862948"/>
    <w:rsid w:val="00863678"/>
    <w:rsid w:val="008650A4"/>
    <w:rsid w:val="0087299B"/>
    <w:rsid w:val="00872F44"/>
    <w:rsid w:val="00874818"/>
    <w:rsid w:val="00897078"/>
    <w:rsid w:val="008B1B36"/>
    <w:rsid w:val="008B3285"/>
    <w:rsid w:val="008C60C0"/>
    <w:rsid w:val="008D305B"/>
    <w:rsid w:val="008F0DEA"/>
    <w:rsid w:val="008F4E75"/>
    <w:rsid w:val="00902927"/>
    <w:rsid w:val="00903E6E"/>
    <w:rsid w:val="009079C2"/>
    <w:rsid w:val="00910DF7"/>
    <w:rsid w:val="009164F2"/>
    <w:rsid w:val="00960705"/>
    <w:rsid w:val="0096757D"/>
    <w:rsid w:val="0096780E"/>
    <w:rsid w:val="009714FA"/>
    <w:rsid w:val="009743A1"/>
    <w:rsid w:val="00983FBD"/>
    <w:rsid w:val="00987107"/>
    <w:rsid w:val="00990AB9"/>
    <w:rsid w:val="009A1AEF"/>
    <w:rsid w:val="009A7825"/>
    <w:rsid w:val="009B1626"/>
    <w:rsid w:val="009B3A9A"/>
    <w:rsid w:val="009B653A"/>
    <w:rsid w:val="009C02B2"/>
    <w:rsid w:val="009C6280"/>
    <w:rsid w:val="009D0326"/>
    <w:rsid w:val="009E0F5F"/>
    <w:rsid w:val="009F3584"/>
    <w:rsid w:val="009F77D3"/>
    <w:rsid w:val="00A13B54"/>
    <w:rsid w:val="00A238DA"/>
    <w:rsid w:val="00A32F06"/>
    <w:rsid w:val="00A36A12"/>
    <w:rsid w:val="00A40D12"/>
    <w:rsid w:val="00A4521F"/>
    <w:rsid w:val="00A62341"/>
    <w:rsid w:val="00A749C8"/>
    <w:rsid w:val="00A84DF2"/>
    <w:rsid w:val="00A86EF9"/>
    <w:rsid w:val="00A92BAD"/>
    <w:rsid w:val="00A957D7"/>
    <w:rsid w:val="00AC386C"/>
    <w:rsid w:val="00AC55DC"/>
    <w:rsid w:val="00AE68B1"/>
    <w:rsid w:val="00B00D64"/>
    <w:rsid w:val="00B041C2"/>
    <w:rsid w:val="00B04408"/>
    <w:rsid w:val="00B0727E"/>
    <w:rsid w:val="00B13FC2"/>
    <w:rsid w:val="00B2022E"/>
    <w:rsid w:val="00B237DA"/>
    <w:rsid w:val="00B30BE0"/>
    <w:rsid w:val="00B37E95"/>
    <w:rsid w:val="00B421A5"/>
    <w:rsid w:val="00B56DEB"/>
    <w:rsid w:val="00B60B81"/>
    <w:rsid w:val="00B70453"/>
    <w:rsid w:val="00B83EE5"/>
    <w:rsid w:val="00B85D91"/>
    <w:rsid w:val="00BA4B62"/>
    <w:rsid w:val="00BA57E8"/>
    <w:rsid w:val="00BA790F"/>
    <w:rsid w:val="00BB0FDF"/>
    <w:rsid w:val="00BB4D3D"/>
    <w:rsid w:val="00BB60C5"/>
    <w:rsid w:val="00BC1B3E"/>
    <w:rsid w:val="00BC2E3C"/>
    <w:rsid w:val="00BE45AC"/>
    <w:rsid w:val="00C03817"/>
    <w:rsid w:val="00C10107"/>
    <w:rsid w:val="00C16DC2"/>
    <w:rsid w:val="00C31A30"/>
    <w:rsid w:val="00C3362D"/>
    <w:rsid w:val="00C37179"/>
    <w:rsid w:val="00C645F5"/>
    <w:rsid w:val="00C72EF1"/>
    <w:rsid w:val="00C83EC9"/>
    <w:rsid w:val="00CA69E3"/>
    <w:rsid w:val="00CB1CAA"/>
    <w:rsid w:val="00CB20D0"/>
    <w:rsid w:val="00CC031B"/>
    <w:rsid w:val="00CC0A11"/>
    <w:rsid w:val="00CC3F9D"/>
    <w:rsid w:val="00CC4573"/>
    <w:rsid w:val="00CC509F"/>
    <w:rsid w:val="00CE22DF"/>
    <w:rsid w:val="00CE24BC"/>
    <w:rsid w:val="00CE5F4E"/>
    <w:rsid w:val="00CF1CDE"/>
    <w:rsid w:val="00CF5F07"/>
    <w:rsid w:val="00D012E8"/>
    <w:rsid w:val="00D06DD6"/>
    <w:rsid w:val="00D23D56"/>
    <w:rsid w:val="00D334BC"/>
    <w:rsid w:val="00D3493D"/>
    <w:rsid w:val="00D43057"/>
    <w:rsid w:val="00D46E79"/>
    <w:rsid w:val="00D5502E"/>
    <w:rsid w:val="00D645AF"/>
    <w:rsid w:val="00D801A7"/>
    <w:rsid w:val="00DA2E04"/>
    <w:rsid w:val="00DB0554"/>
    <w:rsid w:val="00DB38E7"/>
    <w:rsid w:val="00DB6FF8"/>
    <w:rsid w:val="00DC309F"/>
    <w:rsid w:val="00DD1460"/>
    <w:rsid w:val="00DD5AE1"/>
    <w:rsid w:val="00DE6C76"/>
    <w:rsid w:val="00DF26A5"/>
    <w:rsid w:val="00E02272"/>
    <w:rsid w:val="00E02643"/>
    <w:rsid w:val="00E043A4"/>
    <w:rsid w:val="00E07B49"/>
    <w:rsid w:val="00E47446"/>
    <w:rsid w:val="00E527D1"/>
    <w:rsid w:val="00E52AE0"/>
    <w:rsid w:val="00E53027"/>
    <w:rsid w:val="00E55F1B"/>
    <w:rsid w:val="00E635A6"/>
    <w:rsid w:val="00E719DA"/>
    <w:rsid w:val="00E74F2B"/>
    <w:rsid w:val="00E90F8C"/>
    <w:rsid w:val="00E92312"/>
    <w:rsid w:val="00E965A8"/>
    <w:rsid w:val="00EA033B"/>
    <w:rsid w:val="00EA173C"/>
    <w:rsid w:val="00EA1BA4"/>
    <w:rsid w:val="00EA3711"/>
    <w:rsid w:val="00EB133A"/>
    <w:rsid w:val="00EC24EB"/>
    <w:rsid w:val="00EC7300"/>
    <w:rsid w:val="00EE17D7"/>
    <w:rsid w:val="00EE395C"/>
    <w:rsid w:val="00EE5DFB"/>
    <w:rsid w:val="00F01B13"/>
    <w:rsid w:val="00F14DB8"/>
    <w:rsid w:val="00F2754A"/>
    <w:rsid w:val="00F3060F"/>
    <w:rsid w:val="00F37E65"/>
    <w:rsid w:val="00F467C4"/>
    <w:rsid w:val="00F52E2F"/>
    <w:rsid w:val="00F627E9"/>
    <w:rsid w:val="00F7569E"/>
    <w:rsid w:val="00F81B26"/>
    <w:rsid w:val="00F84D4A"/>
    <w:rsid w:val="00F85886"/>
    <w:rsid w:val="00F87386"/>
    <w:rsid w:val="00F951E4"/>
    <w:rsid w:val="00FD40E2"/>
    <w:rsid w:val="00FD5D6A"/>
    <w:rsid w:val="00FD6323"/>
    <w:rsid w:val="00FE4106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CA98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EF"/>
    <w:rPr>
      <w:sz w:val="20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0DEA"/>
    <w:pPr>
      <w:keepNext/>
      <w:numPr>
        <w:numId w:val="5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0DE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747EF"/>
    <w:pPr>
      <w:keepNext/>
      <w:widowControl w:val="0"/>
      <w:tabs>
        <w:tab w:val="left" w:pos="720"/>
      </w:tabs>
      <w:spacing w:line="260" w:lineRule="atLeast"/>
      <w:ind w:left="720" w:right="-427" w:hanging="720"/>
      <w:jc w:val="center"/>
      <w:outlineLvl w:val="8"/>
    </w:pPr>
    <w:rPr>
      <w:b/>
      <w:kern w:val="14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0E7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00E7E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00E7E"/>
    <w:rPr>
      <w:rFonts w:ascii="Cambria" w:hAnsi="Cambria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747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0E7E"/>
    <w:rPr>
      <w:rFonts w:cs="Times New Roman"/>
      <w:sz w:val="2"/>
      <w:lang w:val="en-US" w:eastAsia="en-US"/>
    </w:rPr>
  </w:style>
  <w:style w:type="paragraph" w:styleId="Header">
    <w:name w:val="header"/>
    <w:basedOn w:val="Normal"/>
    <w:link w:val="HeaderChar"/>
    <w:uiPriority w:val="99"/>
    <w:rsid w:val="00F627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0E7E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627E9"/>
    <w:pPr>
      <w:tabs>
        <w:tab w:val="center" w:pos="4320"/>
        <w:tab w:val="right" w:pos="8640"/>
      </w:tabs>
    </w:pPr>
    <w:rPr>
      <w:lang w:val="nl-NL" w:eastAsia="nl-N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C78F9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F627E9"/>
    <w:rPr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00E7E"/>
    <w:rPr>
      <w:rFonts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8F0D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8F0DE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0E7E"/>
    <w:rPr>
      <w:rFonts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8F0DEA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8F0DEA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7747EF"/>
    <w:pPr>
      <w:keepNext/>
      <w:keepLines/>
      <w:ind w:left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00E7E"/>
    <w:rPr>
      <w:rFonts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F84D4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84D4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00E7E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4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00E7E"/>
    <w:rPr>
      <w:rFonts w:cs="Times New Roman"/>
      <w:b/>
      <w:bCs/>
      <w:sz w:val="20"/>
      <w:szCs w:val="20"/>
      <w:lang w:val="en-US" w:eastAsia="en-US"/>
    </w:rPr>
  </w:style>
  <w:style w:type="table" w:customStyle="1" w:styleId="TableGrid1">
    <w:name w:val="Table Grid1"/>
    <w:uiPriority w:val="99"/>
    <w:rsid w:val="00E07B49"/>
    <w:rPr>
      <w:rFonts w:ascii="Calibri" w:hAnsi="Calibri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DD5AE1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00E7E"/>
    <w:rPr>
      <w:rFonts w:cs="Times New Roman"/>
      <w:sz w:val="2"/>
      <w:lang w:val="en-US" w:eastAsia="en-US"/>
    </w:rPr>
  </w:style>
  <w:style w:type="character" w:styleId="Emphasis">
    <w:name w:val="Emphasis"/>
    <w:basedOn w:val="DefaultParagraphFont"/>
    <w:qFormat/>
    <w:locked/>
    <w:rsid w:val="00FF78EA"/>
    <w:rPr>
      <w:i/>
      <w:iCs/>
    </w:rPr>
  </w:style>
  <w:style w:type="character" w:styleId="Strong">
    <w:name w:val="Strong"/>
    <w:basedOn w:val="DefaultParagraphFont"/>
    <w:qFormat/>
    <w:locked/>
    <w:rsid w:val="006D71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EF"/>
    <w:rPr>
      <w:sz w:val="20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0DEA"/>
    <w:pPr>
      <w:keepNext/>
      <w:numPr>
        <w:numId w:val="5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0DE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747EF"/>
    <w:pPr>
      <w:keepNext/>
      <w:widowControl w:val="0"/>
      <w:tabs>
        <w:tab w:val="left" w:pos="720"/>
      </w:tabs>
      <w:spacing w:line="260" w:lineRule="atLeast"/>
      <w:ind w:left="720" w:right="-427" w:hanging="720"/>
      <w:jc w:val="center"/>
      <w:outlineLvl w:val="8"/>
    </w:pPr>
    <w:rPr>
      <w:b/>
      <w:kern w:val="14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0E7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00E7E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00E7E"/>
    <w:rPr>
      <w:rFonts w:ascii="Cambria" w:hAnsi="Cambria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747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0E7E"/>
    <w:rPr>
      <w:rFonts w:cs="Times New Roman"/>
      <w:sz w:val="2"/>
      <w:lang w:val="en-US" w:eastAsia="en-US"/>
    </w:rPr>
  </w:style>
  <w:style w:type="paragraph" w:styleId="Header">
    <w:name w:val="header"/>
    <w:basedOn w:val="Normal"/>
    <w:link w:val="HeaderChar"/>
    <w:uiPriority w:val="99"/>
    <w:rsid w:val="00F627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0E7E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627E9"/>
    <w:pPr>
      <w:tabs>
        <w:tab w:val="center" w:pos="4320"/>
        <w:tab w:val="right" w:pos="8640"/>
      </w:tabs>
    </w:pPr>
    <w:rPr>
      <w:lang w:val="nl-NL" w:eastAsia="nl-N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C78F9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F627E9"/>
    <w:rPr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00E7E"/>
    <w:rPr>
      <w:rFonts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8F0D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8F0DE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0E7E"/>
    <w:rPr>
      <w:rFonts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8F0DEA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8F0DEA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7747EF"/>
    <w:pPr>
      <w:keepNext/>
      <w:keepLines/>
      <w:ind w:left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00E7E"/>
    <w:rPr>
      <w:rFonts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F84D4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84D4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00E7E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4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00E7E"/>
    <w:rPr>
      <w:rFonts w:cs="Times New Roman"/>
      <w:b/>
      <w:bCs/>
      <w:sz w:val="20"/>
      <w:szCs w:val="20"/>
      <w:lang w:val="en-US" w:eastAsia="en-US"/>
    </w:rPr>
  </w:style>
  <w:style w:type="table" w:customStyle="1" w:styleId="TableGrid1">
    <w:name w:val="Table Grid1"/>
    <w:uiPriority w:val="99"/>
    <w:rsid w:val="00E07B49"/>
    <w:rPr>
      <w:rFonts w:ascii="Calibri" w:hAnsi="Calibri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DD5AE1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00E7E"/>
    <w:rPr>
      <w:rFonts w:cs="Times New Roman"/>
      <w:sz w:val="2"/>
      <w:lang w:val="en-US" w:eastAsia="en-US"/>
    </w:rPr>
  </w:style>
  <w:style w:type="character" w:styleId="Emphasis">
    <w:name w:val="Emphasis"/>
    <w:basedOn w:val="DefaultParagraphFont"/>
    <w:qFormat/>
    <w:locked/>
    <w:rsid w:val="00FF78EA"/>
    <w:rPr>
      <w:i/>
      <w:iCs/>
    </w:rPr>
  </w:style>
  <w:style w:type="character" w:styleId="Strong">
    <w:name w:val="Strong"/>
    <w:basedOn w:val="DefaultParagraphFont"/>
    <w:qFormat/>
    <w:locked/>
    <w:rsid w:val="006D71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12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872</Words>
  <Characters>4551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The quick brown fox jumps over the lazy dog</vt:lpstr>
      <vt:lpstr>The quick brown fox jumps over the lazy dog</vt:lpstr>
    </vt:vector>
  </TitlesOfParts>
  <Company>aewa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quick brown fox jumps over the lazy dog</dc:title>
  <dc:creator>jkremer</dc:creator>
  <cp:lastModifiedBy>Catherine Lehmann (UNEP/AEWA Secretariat)</cp:lastModifiedBy>
  <cp:revision>6</cp:revision>
  <cp:lastPrinted>2011-10-10T09:49:00Z</cp:lastPrinted>
  <dcterms:created xsi:type="dcterms:W3CDTF">2012-07-17T09:21:00Z</dcterms:created>
  <dcterms:modified xsi:type="dcterms:W3CDTF">2012-09-19T07:24:00Z</dcterms:modified>
</cp:coreProperties>
</file>