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D9" w:rsidRDefault="000954D9" w:rsidP="007D4378">
      <w:pPr>
        <w:jc w:val="center"/>
        <w:rPr>
          <w:lang w:val="fr-FR"/>
        </w:rPr>
      </w:pPr>
    </w:p>
    <w:p w:rsidR="000944DE" w:rsidRPr="00172390" w:rsidRDefault="000944DE" w:rsidP="007D4378">
      <w:pPr>
        <w:jc w:val="center"/>
        <w:rPr>
          <w:lang w:val="fr-FR"/>
        </w:rPr>
      </w:pPr>
      <w:r w:rsidRPr="00172390">
        <w:rPr>
          <w:lang w:val="fr-FR"/>
        </w:rPr>
        <w:t>R</w:t>
      </w:r>
      <w:r>
        <w:rPr>
          <w:lang w:val="fr-FR"/>
        </w:rPr>
        <w:t>É</w:t>
      </w:r>
      <w:r w:rsidRPr="00172390">
        <w:rPr>
          <w:lang w:val="fr-FR"/>
        </w:rPr>
        <w:t>SOLUTION 5.4</w:t>
      </w:r>
    </w:p>
    <w:p w:rsidR="000944DE" w:rsidRPr="00172390" w:rsidRDefault="000944DE" w:rsidP="00286D6A">
      <w:pPr>
        <w:pStyle w:val="BodyText3"/>
        <w:spacing w:after="0"/>
        <w:jc w:val="center"/>
        <w:rPr>
          <w:iCs/>
          <w:sz w:val="24"/>
          <w:szCs w:val="24"/>
          <w:lang w:val="fr-FR"/>
        </w:rPr>
      </w:pPr>
    </w:p>
    <w:p w:rsidR="000944DE" w:rsidRPr="00E90ECB" w:rsidRDefault="00E90ECB" w:rsidP="00E90ECB">
      <w:pPr>
        <w:pStyle w:val="BodyText3"/>
        <w:spacing w:after="0"/>
        <w:jc w:val="center"/>
        <w:rPr>
          <w:b/>
          <w:sz w:val="24"/>
          <w:szCs w:val="24"/>
          <w:lang w:val="fr-FR"/>
        </w:rPr>
      </w:pPr>
      <w:r>
        <w:rPr>
          <w:b/>
          <w:sz w:val="24"/>
          <w:szCs w:val="24"/>
          <w:lang w:val="fr-FR"/>
        </w:rPr>
        <w:t>MISE EN Œ</w:t>
      </w:r>
      <w:r w:rsidR="000944DE" w:rsidRPr="007D4378">
        <w:rPr>
          <w:b/>
          <w:sz w:val="24"/>
          <w:szCs w:val="24"/>
          <w:lang w:val="fr-FR"/>
        </w:rPr>
        <w:t>UVRE DU PROJET WINGS OVER WETLANDS (WOW) DU PNUE-FEM SUR LES VOIES DE MIGRATION D'AFRIQUE-EURASIE ET PERSPECTIVES D'AVENIR APRÈS-WOW</w:t>
      </w:r>
    </w:p>
    <w:p w:rsidR="000944DE" w:rsidRPr="00172390" w:rsidRDefault="000944DE" w:rsidP="008C04CB">
      <w:pPr>
        <w:pStyle w:val="BodyText3"/>
        <w:jc w:val="both"/>
        <w:rPr>
          <w:i/>
          <w:iCs/>
          <w:sz w:val="22"/>
          <w:szCs w:val="22"/>
          <w:lang w:val="fr-FR"/>
        </w:rPr>
      </w:pPr>
    </w:p>
    <w:p w:rsidR="000944DE" w:rsidRPr="00787C85" w:rsidRDefault="000944DE" w:rsidP="00E90ECB">
      <w:pPr>
        <w:jc w:val="both"/>
        <w:rPr>
          <w:lang w:val="fr-FR"/>
        </w:rPr>
      </w:pPr>
      <w:r w:rsidRPr="00172390">
        <w:rPr>
          <w:i/>
          <w:iCs/>
          <w:sz w:val="22"/>
          <w:szCs w:val="22"/>
          <w:lang w:val="fr-FR"/>
        </w:rPr>
        <w:tab/>
        <w:t>R</w:t>
      </w:r>
      <w:r>
        <w:rPr>
          <w:i/>
          <w:iCs/>
          <w:sz w:val="22"/>
          <w:szCs w:val="22"/>
          <w:lang w:val="fr-FR"/>
        </w:rPr>
        <w:t xml:space="preserve">appelant la </w:t>
      </w:r>
      <w:r w:rsidRPr="00FA016C">
        <w:rPr>
          <w:sz w:val="22"/>
          <w:szCs w:val="22"/>
          <w:lang w:val="fr-FR"/>
        </w:rPr>
        <w:t>Résolution 2.4, dans laquelle les Parties contractantes apprécient le soutien fourni par le Fonds pour l</w:t>
      </w:r>
      <w:r>
        <w:rPr>
          <w:sz w:val="22"/>
          <w:szCs w:val="22"/>
          <w:lang w:val="fr-FR"/>
        </w:rPr>
        <w:t>’e</w:t>
      </w:r>
      <w:r w:rsidRPr="00FA016C">
        <w:rPr>
          <w:sz w:val="22"/>
          <w:szCs w:val="22"/>
          <w:lang w:val="fr-FR"/>
        </w:rPr>
        <w:t>nvironnement mondial (FEM) en vue d’élaborer une proposition de projet pour</w:t>
      </w:r>
      <w:r>
        <w:rPr>
          <w:sz w:val="22"/>
          <w:szCs w:val="22"/>
          <w:lang w:val="fr-FR"/>
        </w:rPr>
        <w:t xml:space="preserve"> </w:t>
      </w:r>
      <w:r w:rsidRPr="00FA016C">
        <w:rPr>
          <w:sz w:val="22"/>
          <w:szCs w:val="22"/>
          <w:lang w:val="fr-FR"/>
        </w:rPr>
        <w:t xml:space="preserve">« </w:t>
      </w:r>
      <w:r w:rsidRPr="00A37FFD">
        <w:rPr>
          <w:i/>
          <w:sz w:val="22"/>
          <w:szCs w:val="22"/>
          <w:lang w:val="fr-FR"/>
        </w:rPr>
        <w:t>le renforcement de la conservation du réseau sensible des zones humides nécessaires aux oiseaux d’eau migrateurs sur les itinéraires de migration Afrique-Eur</w:t>
      </w:r>
      <w:r w:rsidRPr="00A37FFD">
        <w:rPr>
          <w:i/>
          <w:lang w:val="fr-FR"/>
        </w:rPr>
        <w:t>asie</w:t>
      </w:r>
      <w:r>
        <w:rPr>
          <w:lang w:val="fr-FR"/>
        </w:rPr>
        <w:t xml:space="preserve"> », </w:t>
      </w:r>
    </w:p>
    <w:p w:rsidR="000944DE" w:rsidRPr="00172390" w:rsidRDefault="000944DE" w:rsidP="00E90ECB">
      <w:pPr>
        <w:pStyle w:val="BodyText3"/>
        <w:spacing w:after="0"/>
        <w:jc w:val="both"/>
        <w:rPr>
          <w:sz w:val="22"/>
          <w:szCs w:val="22"/>
          <w:lang w:val="fr-FR"/>
        </w:rPr>
      </w:pPr>
      <w:r w:rsidRPr="00172390">
        <w:rPr>
          <w:sz w:val="22"/>
          <w:szCs w:val="22"/>
          <w:lang w:val="fr-FR"/>
        </w:rPr>
        <w:t xml:space="preserve"> </w:t>
      </w:r>
    </w:p>
    <w:p w:rsidR="000944DE" w:rsidRPr="00787C85" w:rsidRDefault="000944DE" w:rsidP="005701B3">
      <w:pPr>
        <w:pStyle w:val="BodyText3"/>
        <w:spacing w:after="0"/>
        <w:jc w:val="both"/>
        <w:rPr>
          <w:sz w:val="22"/>
          <w:szCs w:val="22"/>
          <w:lang w:val="fr-FR"/>
        </w:rPr>
      </w:pPr>
      <w:r w:rsidRPr="00172390">
        <w:rPr>
          <w:i/>
          <w:iCs/>
          <w:sz w:val="22"/>
          <w:szCs w:val="22"/>
          <w:lang w:val="fr-FR"/>
        </w:rPr>
        <w:tab/>
      </w:r>
      <w:r w:rsidRPr="000D3FA3">
        <w:rPr>
          <w:i/>
          <w:iCs/>
          <w:sz w:val="22"/>
          <w:szCs w:val="22"/>
          <w:lang w:val="fr-FR"/>
        </w:rPr>
        <w:t>Rappelant également</w:t>
      </w:r>
      <w:r w:rsidRPr="000D3FA3">
        <w:rPr>
          <w:sz w:val="22"/>
          <w:szCs w:val="22"/>
          <w:lang w:val="fr-FR"/>
        </w:rPr>
        <w:t xml:space="preserve"> les Résolutions 3.11 et 4.10 qui incitent les Parties contractantes, le Secrétariat de l’Accord et les organisations internationales spécialisées à fournir des financements d’appoint au </w:t>
      </w:r>
      <w:r w:rsidRPr="00F07D64">
        <w:rPr>
          <w:i/>
          <w:sz w:val="22"/>
          <w:szCs w:val="22"/>
          <w:lang w:val="fr-FR"/>
        </w:rPr>
        <w:t xml:space="preserve">Projet </w:t>
      </w:r>
      <w:proofErr w:type="spellStart"/>
      <w:r w:rsidRPr="00F07D64">
        <w:rPr>
          <w:i/>
          <w:sz w:val="22"/>
          <w:szCs w:val="22"/>
          <w:lang w:val="fr-FR"/>
        </w:rPr>
        <w:t>Wings</w:t>
      </w:r>
      <w:proofErr w:type="spellEnd"/>
      <w:r w:rsidRPr="00F07D64">
        <w:rPr>
          <w:i/>
          <w:sz w:val="22"/>
          <w:szCs w:val="22"/>
          <w:lang w:val="fr-FR"/>
        </w:rPr>
        <w:t xml:space="preserve"> over </w:t>
      </w:r>
      <w:proofErr w:type="spellStart"/>
      <w:r w:rsidRPr="00F07D64">
        <w:rPr>
          <w:i/>
          <w:sz w:val="22"/>
          <w:szCs w:val="22"/>
          <w:lang w:val="fr-FR"/>
        </w:rPr>
        <w:t>Wetlands</w:t>
      </w:r>
      <w:proofErr w:type="spellEnd"/>
      <w:r w:rsidRPr="00F07D64">
        <w:rPr>
          <w:i/>
          <w:sz w:val="22"/>
          <w:szCs w:val="22"/>
          <w:lang w:val="fr-FR"/>
        </w:rPr>
        <w:t xml:space="preserve"> (WOW) du PNUE-FEM sur les voies de migration d’Afrique-Eurasie</w:t>
      </w:r>
      <w:r w:rsidRPr="000D3FA3">
        <w:rPr>
          <w:sz w:val="22"/>
          <w:szCs w:val="22"/>
          <w:lang w:val="fr-FR"/>
        </w:rPr>
        <w:t xml:space="preserve"> (dénommé ci-après</w:t>
      </w:r>
      <w:r>
        <w:rPr>
          <w:sz w:val="22"/>
          <w:szCs w:val="22"/>
          <w:lang w:val="fr-FR"/>
        </w:rPr>
        <w:t xml:space="preserve"> </w:t>
      </w:r>
      <w:r w:rsidRPr="000D3FA3">
        <w:rPr>
          <w:i/>
          <w:sz w:val="22"/>
          <w:szCs w:val="22"/>
          <w:lang w:val="fr-FR"/>
        </w:rPr>
        <w:t>Projet WOW</w:t>
      </w:r>
      <w:r w:rsidRPr="000D3FA3">
        <w:rPr>
          <w:sz w:val="22"/>
          <w:szCs w:val="22"/>
          <w:lang w:val="fr-FR"/>
        </w:rPr>
        <w:t xml:space="preserve">), ainsi qu’à accorder la </w:t>
      </w:r>
      <w:r>
        <w:rPr>
          <w:sz w:val="22"/>
          <w:szCs w:val="22"/>
          <w:lang w:val="fr-FR"/>
        </w:rPr>
        <w:t xml:space="preserve">plus haute </w:t>
      </w:r>
      <w:r w:rsidRPr="000D3FA3">
        <w:rPr>
          <w:sz w:val="22"/>
          <w:szCs w:val="22"/>
          <w:lang w:val="fr-FR"/>
        </w:rPr>
        <w:t>priorité</w:t>
      </w:r>
      <w:r>
        <w:rPr>
          <w:sz w:val="22"/>
          <w:szCs w:val="22"/>
          <w:lang w:val="fr-FR"/>
        </w:rPr>
        <w:t xml:space="preserve"> au financement des activités et des projets des Tâches internationales de mise en œuvre </w:t>
      </w:r>
      <w:r w:rsidRPr="000D3FA3">
        <w:rPr>
          <w:sz w:val="22"/>
          <w:szCs w:val="22"/>
          <w:lang w:val="fr-FR"/>
        </w:rPr>
        <w:t xml:space="preserve">(IIT) </w:t>
      </w:r>
      <w:r>
        <w:rPr>
          <w:sz w:val="22"/>
          <w:szCs w:val="22"/>
          <w:lang w:val="fr-FR"/>
        </w:rPr>
        <w:t xml:space="preserve">spécifiquement liés au </w:t>
      </w:r>
      <w:r w:rsidRPr="00F07D64">
        <w:rPr>
          <w:i/>
          <w:sz w:val="22"/>
          <w:szCs w:val="22"/>
          <w:lang w:val="fr-FR"/>
        </w:rPr>
        <w:t>Projet WOW</w:t>
      </w:r>
      <w:r w:rsidRPr="00172390">
        <w:rPr>
          <w:sz w:val="22"/>
          <w:szCs w:val="22"/>
          <w:lang w:val="fr-FR"/>
        </w:rPr>
        <w:t>,</w:t>
      </w:r>
      <w:r w:rsidR="00787C85">
        <w:rPr>
          <w:sz w:val="22"/>
          <w:szCs w:val="22"/>
          <w:lang w:val="fr-FR"/>
        </w:rPr>
        <w:t xml:space="preserve"> </w:t>
      </w:r>
    </w:p>
    <w:p w:rsidR="000944DE" w:rsidRPr="00172390" w:rsidRDefault="000944DE" w:rsidP="005701B3">
      <w:pPr>
        <w:pStyle w:val="BodyText3"/>
        <w:spacing w:after="0"/>
        <w:jc w:val="both"/>
        <w:rPr>
          <w:sz w:val="22"/>
          <w:szCs w:val="22"/>
          <w:lang w:val="fr-FR"/>
        </w:rPr>
      </w:pPr>
    </w:p>
    <w:p w:rsidR="000944DE" w:rsidRPr="00172390" w:rsidRDefault="000944DE" w:rsidP="005701B3">
      <w:pPr>
        <w:pStyle w:val="BodyText3"/>
        <w:spacing w:after="0"/>
        <w:jc w:val="both"/>
        <w:rPr>
          <w:sz w:val="22"/>
          <w:szCs w:val="22"/>
          <w:lang w:val="fr-FR"/>
        </w:rPr>
      </w:pPr>
      <w:r w:rsidRPr="00172390">
        <w:rPr>
          <w:i/>
          <w:iCs/>
          <w:sz w:val="22"/>
          <w:szCs w:val="22"/>
          <w:lang w:val="fr-FR"/>
        </w:rPr>
        <w:tab/>
        <w:t>No</w:t>
      </w:r>
      <w:r>
        <w:rPr>
          <w:i/>
          <w:iCs/>
          <w:sz w:val="22"/>
          <w:szCs w:val="22"/>
          <w:lang w:val="fr-FR"/>
        </w:rPr>
        <w:t>tant avec satisfaction</w:t>
      </w:r>
      <w:r>
        <w:rPr>
          <w:iCs/>
          <w:sz w:val="22"/>
          <w:szCs w:val="22"/>
          <w:lang w:val="fr-FR"/>
        </w:rPr>
        <w:t xml:space="preserve"> les</w:t>
      </w:r>
      <w:r w:rsidRPr="00172390">
        <w:rPr>
          <w:sz w:val="22"/>
          <w:szCs w:val="22"/>
          <w:lang w:val="fr-FR"/>
        </w:rPr>
        <w:t xml:space="preserve"> décisions </w:t>
      </w:r>
      <w:r>
        <w:rPr>
          <w:sz w:val="22"/>
          <w:szCs w:val="22"/>
          <w:lang w:val="fr-FR"/>
        </w:rPr>
        <w:t xml:space="preserve">précédentes liées à la conservation au niveau de la voie de migration de la </w:t>
      </w:r>
      <w:r w:rsidRPr="00172390">
        <w:rPr>
          <w:sz w:val="22"/>
          <w:szCs w:val="22"/>
          <w:lang w:val="fr-FR"/>
        </w:rPr>
        <w:t xml:space="preserve">Convention </w:t>
      </w:r>
      <w:r>
        <w:rPr>
          <w:sz w:val="22"/>
          <w:szCs w:val="22"/>
          <w:lang w:val="fr-FR"/>
        </w:rPr>
        <w:t>sur les espèces migratrices</w:t>
      </w:r>
      <w:r w:rsidRPr="00172390">
        <w:rPr>
          <w:sz w:val="22"/>
          <w:szCs w:val="22"/>
          <w:lang w:val="fr-FR"/>
        </w:rPr>
        <w:t xml:space="preserve"> (CMS), </w:t>
      </w:r>
      <w:r>
        <w:rPr>
          <w:sz w:val="22"/>
          <w:szCs w:val="22"/>
          <w:lang w:val="fr-FR"/>
        </w:rPr>
        <w:t xml:space="preserve">tout particulièrement la </w:t>
      </w:r>
      <w:r w:rsidRPr="00172390">
        <w:rPr>
          <w:sz w:val="22"/>
          <w:szCs w:val="22"/>
          <w:lang w:val="fr-FR"/>
        </w:rPr>
        <w:t>Résolution 9.2</w:t>
      </w:r>
      <w:r>
        <w:rPr>
          <w:sz w:val="22"/>
          <w:szCs w:val="22"/>
          <w:lang w:val="fr-FR"/>
        </w:rPr>
        <w:t xml:space="preserve"> de la CMS qui met en place un Groupe de travail sur les voies de migrations, et la </w:t>
      </w:r>
      <w:r w:rsidRPr="00172390">
        <w:rPr>
          <w:sz w:val="22"/>
          <w:szCs w:val="22"/>
          <w:lang w:val="fr-FR"/>
        </w:rPr>
        <w:t>Résolution 10.10</w:t>
      </w:r>
      <w:r>
        <w:rPr>
          <w:sz w:val="22"/>
          <w:szCs w:val="22"/>
          <w:lang w:val="fr-FR"/>
        </w:rPr>
        <w:t xml:space="preserve"> de la CMS</w:t>
      </w:r>
      <w:r w:rsidRPr="00172390">
        <w:rPr>
          <w:sz w:val="22"/>
          <w:szCs w:val="22"/>
          <w:lang w:val="fr-FR"/>
        </w:rPr>
        <w:t xml:space="preserve"> </w:t>
      </w:r>
      <w:r>
        <w:rPr>
          <w:sz w:val="22"/>
          <w:szCs w:val="22"/>
          <w:lang w:val="fr-FR"/>
        </w:rPr>
        <w:t xml:space="preserve">qui reconnait le </w:t>
      </w:r>
      <w:r>
        <w:rPr>
          <w:i/>
          <w:iCs/>
          <w:sz w:val="22"/>
          <w:szCs w:val="22"/>
          <w:lang w:val="fr-FR"/>
        </w:rPr>
        <w:t>Projet WOW</w:t>
      </w:r>
      <w:r w:rsidRPr="00172390">
        <w:rPr>
          <w:sz w:val="22"/>
          <w:szCs w:val="22"/>
          <w:lang w:val="fr-FR"/>
        </w:rPr>
        <w:t xml:space="preserve"> </w:t>
      </w:r>
      <w:r>
        <w:rPr>
          <w:sz w:val="22"/>
          <w:szCs w:val="22"/>
          <w:lang w:val="fr-FR"/>
        </w:rPr>
        <w:t xml:space="preserve">comme étant à ce jour la plus grande initiative de la région d’Afrique-Eurasie pour la </w:t>
      </w:r>
      <w:r w:rsidRPr="00172390">
        <w:rPr>
          <w:sz w:val="22"/>
          <w:szCs w:val="22"/>
          <w:lang w:val="fr-FR"/>
        </w:rPr>
        <w:t xml:space="preserve">conservation </w:t>
      </w:r>
      <w:r>
        <w:rPr>
          <w:sz w:val="22"/>
          <w:szCs w:val="22"/>
          <w:lang w:val="fr-FR"/>
        </w:rPr>
        <w:t>des</w:t>
      </w:r>
      <w:r w:rsidRPr="00172390">
        <w:rPr>
          <w:sz w:val="22"/>
          <w:szCs w:val="22"/>
          <w:lang w:val="fr-FR"/>
        </w:rPr>
        <w:t xml:space="preserve"> </w:t>
      </w:r>
      <w:r>
        <w:rPr>
          <w:sz w:val="22"/>
          <w:szCs w:val="22"/>
          <w:lang w:val="fr-FR"/>
        </w:rPr>
        <w:t>oiseaux d’eau migrateurs</w:t>
      </w:r>
      <w:r w:rsidRPr="00172390">
        <w:rPr>
          <w:sz w:val="22"/>
          <w:szCs w:val="22"/>
          <w:lang w:val="fr-FR"/>
        </w:rPr>
        <w:t xml:space="preserve"> </w:t>
      </w:r>
      <w:r>
        <w:rPr>
          <w:sz w:val="22"/>
          <w:szCs w:val="22"/>
          <w:lang w:val="fr-FR"/>
        </w:rPr>
        <w:t>et de leurs</w:t>
      </w:r>
      <w:r w:rsidRPr="00172390">
        <w:rPr>
          <w:sz w:val="22"/>
          <w:szCs w:val="22"/>
          <w:lang w:val="fr-FR"/>
        </w:rPr>
        <w:t xml:space="preserve"> habitats, </w:t>
      </w:r>
      <w:r>
        <w:rPr>
          <w:sz w:val="22"/>
          <w:szCs w:val="22"/>
          <w:lang w:val="fr-FR"/>
        </w:rPr>
        <w:t>et tout particulièrement l’Outil Réseau de sites critiques</w:t>
      </w:r>
      <w:r w:rsidRPr="00172390">
        <w:rPr>
          <w:sz w:val="22"/>
          <w:szCs w:val="22"/>
          <w:lang w:val="fr-FR"/>
        </w:rPr>
        <w:t xml:space="preserve"> (CSN)</w:t>
      </w:r>
      <w:r>
        <w:rPr>
          <w:sz w:val="22"/>
          <w:szCs w:val="22"/>
          <w:lang w:val="fr-FR"/>
        </w:rPr>
        <w:t xml:space="preserve"> qui y est associé</w:t>
      </w:r>
      <w:r w:rsidRPr="00172390">
        <w:rPr>
          <w:sz w:val="22"/>
          <w:szCs w:val="22"/>
          <w:lang w:val="fr-FR"/>
        </w:rPr>
        <w:t>,</w:t>
      </w:r>
      <w:r w:rsidR="00787C85" w:rsidRPr="00787C85">
        <w:rPr>
          <w:sz w:val="22"/>
          <w:szCs w:val="22"/>
          <w:lang w:val="fr-FR"/>
        </w:rPr>
        <w:t xml:space="preserve"> </w:t>
      </w:r>
    </w:p>
    <w:p w:rsidR="000944DE" w:rsidRPr="00172390" w:rsidRDefault="000944DE" w:rsidP="005701B3">
      <w:pPr>
        <w:pStyle w:val="BodyText3"/>
        <w:spacing w:after="0"/>
        <w:jc w:val="both"/>
        <w:rPr>
          <w:sz w:val="22"/>
          <w:szCs w:val="22"/>
          <w:lang w:val="fr-FR"/>
        </w:rPr>
      </w:pPr>
    </w:p>
    <w:p w:rsidR="000944DE" w:rsidRPr="00172390" w:rsidRDefault="000944DE" w:rsidP="005701B3">
      <w:pPr>
        <w:pStyle w:val="BodyText3"/>
        <w:spacing w:after="0"/>
        <w:jc w:val="both"/>
        <w:rPr>
          <w:sz w:val="22"/>
          <w:szCs w:val="22"/>
          <w:lang w:val="fr-FR"/>
        </w:rPr>
      </w:pPr>
      <w:r w:rsidRPr="00172390">
        <w:rPr>
          <w:i/>
          <w:iCs/>
          <w:sz w:val="22"/>
          <w:szCs w:val="22"/>
          <w:lang w:val="fr-FR"/>
        </w:rPr>
        <w:tab/>
        <w:t>Not</w:t>
      </w:r>
      <w:r>
        <w:rPr>
          <w:i/>
          <w:iCs/>
          <w:sz w:val="22"/>
          <w:szCs w:val="22"/>
          <w:lang w:val="fr-FR"/>
        </w:rPr>
        <w:t>ant</w:t>
      </w:r>
      <w:r w:rsidRPr="00172390">
        <w:rPr>
          <w:sz w:val="22"/>
          <w:szCs w:val="22"/>
          <w:lang w:val="fr-FR"/>
        </w:rPr>
        <w:t xml:space="preserve"> </w:t>
      </w:r>
      <w:r>
        <w:rPr>
          <w:sz w:val="22"/>
          <w:szCs w:val="22"/>
          <w:lang w:val="fr-FR"/>
        </w:rPr>
        <w:t>les</w:t>
      </w:r>
      <w:r w:rsidRPr="00172390">
        <w:rPr>
          <w:sz w:val="22"/>
          <w:szCs w:val="22"/>
          <w:lang w:val="fr-FR"/>
        </w:rPr>
        <w:t xml:space="preserve"> décisions </w:t>
      </w:r>
      <w:r>
        <w:rPr>
          <w:sz w:val="22"/>
          <w:szCs w:val="22"/>
          <w:lang w:val="fr-FR"/>
        </w:rPr>
        <w:t xml:space="preserve">précédentes de la </w:t>
      </w:r>
      <w:r w:rsidRPr="00172390">
        <w:rPr>
          <w:sz w:val="22"/>
          <w:szCs w:val="22"/>
          <w:lang w:val="fr-FR"/>
        </w:rPr>
        <w:t xml:space="preserve">Convention </w:t>
      </w:r>
      <w:r>
        <w:rPr>
          <w:sz w:val="22"/>
          <w:szCs w:val="22"/>
          <w:lang w:val="fr-FR"/>
        </w:rPr>
        <w:t xml:space="preserve">de </w:t>
      </w:r>
      <w:proofErr w:type="spellStart"/>
      <w:r>
        <w:rPr>
          <w:sz w:val="22"/>
          <w:szCs w:val="22"/>
          <w:lang w:val="fr-FR"/>
        </w:rPr>
        <w:t>Ramsar</w:t>
      </w:r>
      <w:proofErr w:type="spellEnd"/>
      <w:r>
        <w:rPr>
          <w:sz w:val="22"/>
          <w:szCs w:val="22"/>
          <w:lang w:val="fr-FR"/>
        </w:rPr>
        <w:t xml:space="preserve"> sur les zones humides relatives à la conservation au niveau de la voie de migration, en particulier la</w:t>
      </w:r>
      <w:r w:rsidRPr="00172390">
        <w:rPr>
          <w:sz w:val="22"/>
          <w:szCs w:val="22"/>
          <w:lang w:val="fr-FR"/>
        </w:rPr>
        <w:t xml:space="preserve"> Résolution X.22, </w:t>
      </w:r>
      <w:r>
        <w:rPr>
          <w:sz w:val="22"/>
          <w:szCs w:val="22"/>
          <w:lang w:val="fr-FR"/>
        </w:rPr>
        <w:t>qui accueille favorablement le</w:t>
      </w:r>
      <w:r w:rsidRPr="00172390">
        <w:rPr>
          <w:sz w:val="22"/>
          <w:szCs w:val="22"/>
          <w:lang w:val="fr-FR"/>
        </w:rPr>
        <w:t xml:space="preserve"> </w:t>
      </w:r>
      <w:r>
        <w:rPr>
          <w:i/>
          <w:iCs/>
          <w:sz w:val="22"/>
          <w:szCs w:val="22"/>
          <w:lang w:val="fr-FR"/>
        </w:rPr>
        <w:t>Projet WOW</w:t>
      </w:r>
      <w:r w:rsidRPr="00172390">
        <w:rPr>
          <w:sz w:val="22"/>
          <w:szCs w:val="22"/>
          <w:lang w:val="fr-FR"/>
        </w:rPr>
        <w:t xml:space="preserve">, </w:t>
      </w:r>
      <w:r>
        <w:rPr>
          <w:sz w:val="22"/>
          <w:szCs w:val="22"/>
          <w:lang w:val="fr-FR"/>
        </w:rPr>
        <w:t>notamment les projets de</w:t>
      </w:r>
      <w:r w:rsidRPr="00172390">
        <w:rPr>
          <w:sz w:val="22"/>
          <w:szCs w:val="22"/>
          <w:lang w:val="fr-FR"/>
        </w:rPr>
        <w:t xml:space="preserve"> démonstration</w:t>
      </w:r>
      <w:r>
        <w:rPr>
          <w:sz w:val="22"/>
          <w:szCs w:val="22"/>
          <w:lang w:val="fr-FR"/>
        </w:rPr>
        <w:t>, les activités de renforcement de la capacité et l’Outil CSN</w:t>
      </w:r>
      <w:r w:rsidRPr="00172390">
        <w:rPr>
          <w:sz w:val="22"/>
          <w:szCs w:val="22"/>
          <w:lang w:val="fr-FR"/>
        </w:rPr>
        <w:t>,</w:t>
      </w:r>
      <w:r w:rsidR="00787C85" w:rsidRPr="00787C85">
        <w:rPr>
          <w:sz w:val="22"/>
          <w:szCs w:val="22"/>
          <w:lang w:val="fr-FR"/>
        </w:rPr>
        <w:t xml:space="preserve"> </w:t>
      </w:r>
    </w:p>
    <w:p w:rsidR="000944DE" w:rsidRPr="00172390" w:rsidRDefault="000944DE" w:rsidP="005701B3">
      <w:pPr>
        <w:pStyle w:val="BodyText3"/>
        <w:spacing w:after="0"/>
        <w:jc w:val="both"/>
        <w:rPr>
          <w:sz w:val="22"/>
          <w:szCs w:val="22"/>
          <w:lang w:val="fr-FR"/>
        </w:rPr>
      </w:pPr>
    </w:p>
    <w:p w:rsidR="000944DE" w:rsidRPr="00172390" w:rsidRDefault="000944DE" w:rsidP="005701B3">
      <w:pPr>
        <w:pStyle w:val="BodyText3"/>
        <w:spacing w:after="0"/>
        <w:jc w:val="both"/>
        <w:rPr>
          <w:sz w:val="22"/>
          <w:szCs w:val="22"/>
          <w:lang w:val="fr-FR"/>
        </w:rPr>
      </w:pPr>
      <w:r w:rsidRPr="00172390">
        <w:rPr>
          <w:i/>
          <w:iCs/>
          <w:sz w:val="22"/>
          <w:szCs w:val="22"/>
          <w:lang w:val="fr-FR"/>
        </w:rPr>
        <w:tab/>
        <w:t>R</w:t>
      </w:r>
      <w:r>
        <w:rPr>
          <w:i/>
          <w:iCs/>
          <w:sz w:val="22"/>
          <w:szCs w:val="22"/>
          <w:lang w:val="fr-FR"/>
        </w:rPr>
        <w:t xml:space="preserve">appelant </w:t>
      </w:r>
      <w:r>
        <w:rPr>
          <w:iCs/>
          <w:sz w:val="22"/>
          <w:szCs w:val="22"/>
          <w:lang w:val="fr-FR"/>
        </w:rPr>
        <w:t>les</w:t>
      </w:r>
      <w:r w:rsidRPr="00172390">
        <w:rPr>
          <w:sz w:val="22"/>
          <w:szCs w:val="22"/>
          <w:lang w:val="fr-FR"/>
        </w:rPr>
        <w:t xml:space="preserve"> priorit</w:t>
      </w:r>
      <w:r>
        <w:rPr>
          <w:sz w:val="22"/>
          <w:szCs w:val="22"/>
          <w:lang w:val="fr-FR"/>
        </w:rPr>
        <w:t>és pour la c</w:t>
      </w:r>
      <w:r w:rsidRPr="00172390">
        <w:rPr>
          <w:sz w:val="22"/>
          <w:szCs w:val="22"/>
          <w:lang w:val="fr-FR"/>
        </w:rPr>
        <w:t xml:space="preserve">onservation </w:t>
      </w:r>
      <w:r>
        <w:rPr>
          <w:sz w:val="22"/>
          <w:szCs w:val="22"/>
          <w:lang w:val="fr-FR"/>
        </w:rPr>
        <w:t xml:space="preserve">des oiseaux d’eau soulignées en </w:t>
      </w:r>
      <w:r w:rsidRPr="00172390">
        <w:rPr>
          <w:sz w:val="22"/>
          <w:szCs w:val="22"/>
          <w:lang w:val="fr-FR"/>
        </w:rPr>
        <w:t xml:space="preserve">2004 </w:t>
      </w:r>
      <w:r>
        <w:rPr>
          <w:sz w:val="22"/>
          <w:szCs w:val="22"/>
          <w:lang w:val="fr-FR"/>
        </w:rPr>
        <w:t xml:space="preserve">lors de la conférence internationale « Oiseaux d’eau du monde entier » et sa conclusion contenue dans la </w:t>
      </w:r>
      <w:r w:rsidRPr="00172390">
        <w:rPr>
          <w:i/>
          <w:iCs/>
          <w:sz w:val="22"/>
          <w:szCs w:val="22"/>
          <w:lang w:val="fr-FR"/>
        </w:rPr>
        <w:t>Déclaration</w:t>
      </w:r>
      <w:r>
        <w:rPr>
          <w:i/>
          <w:iCs/>
          <w:sz w:val="22"/>
          <w:szCs w:val="22"/>
          <w:lang w:val="fr-FR"/>
        </w:rPr>
        <w:t xml:space="preserve"> d’Edimbourg</w:t>
      </w:r>
      <w:r w:rsidRPr="00172390">
        <w:rPr>
          <w:sz w:val="22"/>
          <w:szCs w:val="22"/>
          <w:lang w:val="fr-FR"/>
        </w:rPr>
        <w:t xml:space="preserve">, </w:t>
      </w:r>
      <w:r>
        <w:rPr>
          <w:sz w:val="22"/>
          <w:szCs w:val="22"/>
          <w:lang w:val="fr-FR"/>
        </w:rPr>
        <w:t>qui</w:t>
      </w:r>
      <w:r w:rsidRPr="00172390">
        <w:rPr>
          <w:sz w:val="22"/>
          <w:szCs w:val="22"/>
          <w:lang w:val="fr-FR"/>
        </w:rPr>
        <w:t xml:space="preserve"> encourage</w:t>
      </w:r>
      <w:r>
        <w:rPr>
          <w:sz w:val="22"/>
          <w:szCs w:val="22"/>
          <w:lang w:val="fr-FR"/>
        </w:rPr>
        <w:t xml:space="preserve"> vivement les pays à faire usage des </w:t>
      </w:r>
      <w:r w:rsidRPr="00172390">
        <w:rPr>
          <w:sz w:val="22"/>
          <w:szCs w:val="22"/>
          <w:lang w:val="fr-FR"/>
        </w:rPr>
        <w:t xml:space="preserve">ressources </w:t>
      </w:r>
      <w:r>
        <w:rPr>
          <w:sz w:val="22"/>
          <w:szCs w:val="22"/>
          <w:lang w:val="fr-FR"/>
        </w:rPr>
        <w:t xml:space="preserve">disponibles, notamment le Fonds pour l’environnement mondial (FEM), afin de financer les actions requises aux termes de la </w:t>
      </w:r>
      <w:r w:rsidRPr="00172390">
        <w:rPr>
          <w:i/>
          <w:iCs/>
          <w:sz w:val="22"/>
          <w:szCs w:val="22"/>
          <w:lang w:val="fr-FR"/>
        </w:rPr>
        <w:t>Déclaration</w:t>
      </w:r>
      <w:r w:rsidRPr="00172390">
        <w:rPr>
          <w:sz w:val="22"/>
          <w:szCs w:val="22"/>
          <w:lang w:val="fr-FR"/>
        </w:rPr>
        <w:t>,</w:t>
      </w:r>
    </w:p>
    <w:p w:rsidR="000944DE" w:rsidRPr="007D4378" w:rsidRDefault="000944DE" w:rsidP="005701B3">
      <w:pPr>
        <w:pStyle w:val="BodyText3"/>
        <w:spacing w:after="0"/>
        <w:jc w:val="both"/>
        <w:rPr>
          <w:i/>
          <w:iCs/>
          <w:sz w:val="22"/>
          <w:szCs w:val="22"/>
          <w:lang w:val="fr-FR"/>
        </w:rPr>
      </w:pPr>
    </w:p>
    <w:p w:rsidR="000944DE" w:rsidRPr="00A66A25" w:rsidRDefault="000944DE" w:rsidP="005701B3">
      <w:pPr>
        <w:pStyle w:val="BodyText3"/>
        <w:spacing w:after="0"/>
        <w:jc w:val="both"/>
        <w:rPr>
          <w:sz w:val="22"/>
          <w:szCs w:val="22"/>
          <w:lang w:val="fr-FR"/>
        </w:rPr>
      </w:pPr>
      <w:r w:rsidRPr="007D4378">
        <w:rPr>
          <w:i/>
          <w:iCs/>
          <w:sz w:val="22"/>
          <w:szCs w:val="22"/>
          <w:lang w:val="fr-FR"/>
        </w:rPr>
        <w:tab/>
      </w:r>
      <w:r w:rsidRPr="00A66A25">
        <w:rPr>
          <w:i/>
          <w:iCs/>
          <w:sz w:val="22"/>
          <w:szCs w:val="22"/>
          <w:lang w:val="fr-FR"/>
        </w:rPr>
        <w:t xml:space="preserve">Prenant note </w:t>
      </w:r>
      <w:r w:rsidRPr="005B4411">
        <w:rPr>
          <w:iCs/>
          <w:sz w:val="22"/>
          <w:szCs w:val="22"/>
          <w:lang w:val="fr-FR"/>
        </w:rPr>
        <w:t>de</w:t>
      </w:r>
      <w:r w:rsidRPr="00A66A25">
        <w:rPr>
          <w:i/>
          <w:iCs/>
          <w:sz w:val="22"/>
          <w:szCs w:val="22"/>
          <w:lang w:val="fr-FR"/>
        </w:rPr>
        <w:t xml:space="preserve"> l’Énoncé d’action de la Haye </w:t>
      </w:r>
      <w:r w:rsidRPr="00A66A25">
        <w:rPr>
          <w:iCs/>
          <w:sz w:val="22"/>
          <w:szCs w:val="22"/>
          <w:lang w:val="fr-FR"/>
        </w:rPr>
        <w:t>publiée à l’occasion du 15</w:t>
      </w:r>
      <w:r w:rsidRPr="00A66A25">
        <w:rPr>
          <w:iCs/>
          <w:sz w:val="22"/>
          <w:szCs w:val="22"/>
          <w:vertAlign w:val="superscript"/>
          <w:lang w:val="fr-FR"/>
        </w:rPr>
        <w:t>ème</w:t>
      </w:r>
      <w:r>
        <w:rPr>
          <w:iCs/>
          <w:sz w:val="22"/>
          <w:szCs w:val="22"/>
          <w:lang w:val="fr-FR"/>
        </w:rPr>
        <w:t xml:space="preserve"> </w:t>
      </w:r>
      <w:r w:rsidRPr="00A66A25">
        <w:rPr>
          <w:iCs/>
          <w:sz w:val="22"/>
          <w:szCs w:val="22"/>
          <w:lang w:val="fr-FR"/>
        </w:rPr>
        <w:t>anniversaire de l’AEWA, en juin</w:t>
      </w:r>
      <w:r>
        <w:rPr>
          <w:iCs/>
          <w:sz w:val="22"/>
          <w:szCs w:val="22"/>
          <w:lang w:val="fr-FR"/>
        </w:rPr>
        <w:t xml:space="preserve"> </w:t>
      </w:r>
      <w:r w:rsidRPr="00A66A25">
        <w:rPr>
          <w:sz w:val="22"/>
          <w:szCs w:val="22"/>
          <w:lang w:val="fr-FR"/>
        </w:rPr>
        <w:t>2010, dans lequel les participants reconnaiss</w:t>
      </w:r>
      <w:r>
        <w:rPr>
          <w:sz w:val="22"/>
          <w:szCs w:val="22"/>
          <w:lang w:val="fr-FR"/>
        </w:rPr>
        <w:t>aie</w:t>
      </w:r>
      <w:r w:rsidRPr="00A66A25">
        <w:rPr>
          <w:sz w:val="22"/>
          <w:szCs w:val="22"/>
          <w:lang w:val="fr-FR"/>
        </w:rPr>
        <w:t>nt les outils novateurs développés par le</w:t>
      </w:r>
      <w:r>
        <w:rPr>
          <w:sz w:val="22"/>
          <w:szCs w:val="22"/>
          <w:lang w:val="fr-FR"/>
        </w:rPr>
        <w:t xml:space="preserve"> </w:t>
      </w:r>
      <w:r w:rsidRPr="00A66A25">
        <w:rPr>
          <w:i/>
          <w:iCs/>
          <w:sz w:val="22"/>
          <w:szCs w:val="22"/>
          <w:lang w:val="fr-FR"/>
        </w:rPr>
        <w:t>Projet WOW</w:t>
      </w:r>
      <w:r w:rsidRPr="00A66A25">
        <w:rPr>
          <w:sz w:val="22"/>
          <w:szCs w:val="22"/>
          <w:lang w:val="fr-FR"/>
        </w:rPr>
        <w:t xml:space="preserve"> pour aider à la mise en </w:t>
      </w:r>
      <w:r>
        <w:rPr>
          <w:sz w:val="22"/>
          <w:szCs w:val="22"/>
          <w:lang w:val="fr-FR"/>
        </w:rPr>
        <w:t xml:space="preserve">œuvre </w:t>
      </w:r>
      <w:r w:rsidRPr="00A66A25">
        <w:rPr>
          <w:sz w:val="22"/>
          <w:szCs w:val="22"/>
          <w:lang w:val="fr-FR"/>
        </w:rPr>
        <w:t>de l’AEWA et exhortaient également le FEM à continuer à soutenir dans le futur</w:t>
      </w:r>
      <w:r>
        <w:rPr>
          <w:sz w:val="22"/>
          <w:szCs w:val="22"/>
          <w:lang w:val="fr-FR"/>
        </w:rPr>
        <w:t xml:space="preserve"> </w:t>
      </w:r>
      <w:r w:rsidRPr="00A66A25">
        <w:rPr>
          <w:sz w:val="22"/>
          <w:szCs w:val="22"/>
          <w:lang w:val="fr-FR"/>
        </w:rPr>
        <w:t>des</w:t>
      </w:r>
      <w:r>
        <w:rPr>
          <w:sz w:val="22"/>
          <w:szCs w:val="22"/>
          <w:lang w:val="fr-FR"/>
        </w:rPr>
        <w:t xml:space="preserve"> </w:t>
      </w:r>
      <w:r w:rsidRPr="00A66A25">
        <w:rPr>
          <w:sz w:val="22"/>
          <w:szCs w:val="22"/>
          <w:lang w:val="fr-FR"/>
        </w:rPr>
        <w:t>projets internationaux à l’</w:t>
      </w:r>
      <w:r>
        <w:rPr>
          <w:sz w:val="22"/>
          <w:szCs w:val="22"/>
          <w:lang w:val="fr-FR"/>
        </w:rPr>
        <w:t>échelle</w:t>
      </w:r>
      <w:r w:rsidRPr="00A66A25">
        <w:rPr>
          <w:sz w:val="22"/>
          <w:szCs w:val="22"/>
          <w:lang w:val="fr-FR"/>
        </w:rPr>
        <w:t xml:space="preserve"> de la voie de migration,</w:t>
      </w:r>
      <w:r w:rsidR="00787C85" w:rsidRPr="00787C85">
        <w:rPr>
          <w:sz w:val="22"/>
          <w:szCs w:val="22"/>
          <w:lang w:val="fr-FR"/>
        </w:rPr>
        <w:t xml:space="preserve"> </w:t>
      </w:r>
    </w:p>
    <w:p w:rsidR="000944DE" w:rsidRPr="00A66A25" w:rsidRDefault="000944DE" w:rsidP="005701B3">
      <w:pPr>
        <w:pStyle w:val="BodyText3"/>
        <w:spacing w:after="0"/>
        <w:jc w:val="both"/>
        <w:rPr>
          <w:sz w:val="22"/>
          <w:szCs w:val="22"/>
          <w:lang w:val="fr-FR"/>
        </w:rPr>
      </w:pPr>
    </w:p>
    <w:p w:rsidR="000944DE" w:rsidRPr="00A66A25" w:rsidRDefault="000944DE" w:rsidP="007D4378">
      <w:pPr>
        <w:pStyle w:val="BodyText3"/>
        <w:spacing w:after="0"/>
        <w:jc w:val="both"/>
        <w:rPr>
          <w:sz w:val="22"/>
          <w:szCs w:val="22"/>
          <w:lang w:val="fr-FR"/>
        </w:rPr>
      </w:pPr>
      <w:r w:rsidRPr="00A66A25">
        <w:rPr>
          <w:i/>
          <w:iCs/>
          <w:sz w:val="22"/>
          <w:szCs w:val="22"/>
          <w:lang w:val="fr-FR"/>
        </w:rPr>
        <w:tab/>
        <w:t>No</w:t>
      </w:r>
      <w:r>
        <w:rPr>
          <w:i/>
          <w:iCs/>
          <w:sz w:val="22"/>
          <w:szCs w:val="22"/>
          <w:lang w:val="fr-FR"/>
        </w:rPr>
        <w:t>tant avec sa</w:t>
      </w:r>
      <w:r w:rsidRPr="00A66A25">
        <w:rPr>
          <w:i/>
          <w:iCs/>
          <w:sz w:val="22"/>
          <w:szCs w:val="22"/>
          <w:lang w:val="fr-FR"/>
        </w:rPr>
        <w:t xml:space="preserve">tisfaction </w:t>
      </w:r>
      <w:r w:rsidRPr="006B1452">
        <w:rPr>
          <w:iCs/>
          <w:sz w:val="22"/>
          <w:szCs w:val="22"/>
          <w:lang w:val="fr-FR"/>
        </w:rPr>
        <w:t>que le</w:t>
      </w:r>
      <w:r w:rsidRPr="00A66A25">
        <w:rPr>
          <w:sz w:val="22"/>
          <w:szCs w:val="22"/>
          <w:lang w:val="fr-FR"/>
        </w:rPr>
        <w:t xml:space="preserve"> </w:t>
      </w:r>
      <w:r w:rsidRPr="00A66A25">
        <w:rPr>
          <w:i/>
          <w:iCs/>
          <w:sz w:val="22"/>
          <w:szCs w:val="22"/>
          <w:lang w:val="fr-FR"/>
        </w:rPr>
        <w:t xml:space="preserve">Projet WOW </w:t>
      </w:r>
      <w:r>
        <w:rPr>
          <w:sz w:val="22"/>
          <w:szCs w:val="22"/>
          <w:lang w:val="fr-FR"/>
        </w:rPr>
        <w:t>faisait partie des vingt meilleurs projets sélectionnés en 2011 par le PNUE pour présenter ses vingt années d’engagement au sein du FEM, et que l’Outil de Réseau de sites critiques</w:t>
      </w:r>
      <w:r w:rsidRPr="00172390">
        <w:rPr>
          <w:sz w:val="22"/>
          <w:szCs w:val="22"/>
          <w:lang w:val="fr-FR"/>
        </w:rPr>
        <w:t xml:space="preserve"> (CSN) </w:t>
      </w:r>
      <w:r>
        <w:rPr>
          <w:sz w:val="22"/>
          <w:szCs w:val="22"/>
          <w:lang w:val="fr-FR"/>
        </w:rPr>
        <w:t>du</w:t>
      </w:r>
      <w:r w:rsidRPr="00A66A25">
        <w:rPr>
          <w:sz w:val="22"/>
          <w:szCs w:val="22"/>
          <w:lang w:val="fr-FR"/>
        </w:rPr>
        <w:t xml:space="preserve"> </w:t>
      </w:r>
      <w:r w:rsidRPr="00A66A25">
        <w:rPr>
          <w:i/>
          <w:iCs/>
          <w:sz w:val="22"/>
          <w:szCs w:val="22"/>
          <w:lang w:val="fr-FR"/>
        </w:rPr>
        <w:t>Projet WOW</w:t>
      </w:r>
      <w:r>
        <w:rPr>
          <w:i/>
          <w:iCs/>
          <w:sz w:val="22"/>
          <w:szCs w:val="22"/>
          <w:lang w:val="fr-FR"/>
        </w:rPr>
        <w:t xml:space="preserve"> </w:t>
      </w:r>
      <w:r>
        <w:rPr>
          <w:iCs/>
          <w:sz w:val="22"/>
          <w:szCs w:val="22"/>
          <w:lang w:val="fr-FR"/>
        </w:rPr>
        <w:t xml:space="preserve">a remporté en juin 2011 le premier prix du Concours international de cartographie pour la conservation, organisé par </w:t>
      </w:r>
      <w:r w:rsidRPr="00A66A25">
        <w:rPr>
          <w:sz w:val="22"/>
          <w:szCs w:val="22"/>
          <w:lang w:val="fr-FR"/>
        </w:rPr>
        <w:t>ESRI/SCGIS</w:t>
      </w:r>
      <w:r>
        <w:rPr>
          <w:sz w:val="22"/>
          <w:szCs w:val="22"/>
          <w:lang w:val="fr-FR"/>
        </w:rPr>
        <w:t>, dans la catégorie « Meilleure cartographie interactive sur le Web »</w:t>
      </w:r>
      <w:r w:rsidR="001643E7">
        <w:rPr>
          <w:sz w:val="22"/>
          <w:szCs w:val="22"/>
          <w:lang w:val="fr-FR"/>
        </w:rPr>
        <w:t>,</w:t>
      </w:r>
      <w:r>
        <w:rPr>
          <w:sz w:val="22"/>
          <w:szCs w:val="22"/>
          <w:lang w:val="fr-FR"/>
        </w:rPr>
        <w:t xml:space="preserve"> </w:t>
      </w:r>
    </w:p>
    <w:p w:rsidR="000944DE" w:rsidRPr="007D4378" w:rsidRDefault="000944DE" w:rsidP="005701B3">
      <w:pPr>
        <w:jc w:val="both"/>
        <w:rPr>
          <w:sz w:val="22"/>
          <w:szCs w:val="22"/>
          <w:lang w:val="fr-FR"/>
        </w:rPr>
      </w:pPr>
    </w:p>
    <w:p w:rsidR="000944DE" w:rsidRPr="00D14E4C" w:rsidRDefault="000944DE" w:rsidP="005701B3">
      <w:pPr>
        <w:tabs>
          <w:tab w:val="left" w:pos="709"/>
        </w:tabs>
        <w:jc w:val="both"/>
        <w:rPr>
          <w:sz w:val="22"/>
          <w:szCs w:val="22"/>
          <w:lang w:val="fr-FR"/>
        </w:rPr>
      </w:pPr>
      <w:r w:rsidRPr="007D4378">
        <w:rPr>
          <w:i/>
          <w:iCs/>
          <w:sz w:val="22"/>
          <w:szCs w:val="22"/>
          <w:lang w:val="fr-FR"/>
        </w:rPr>
        <w:lastRenderedPageBreak/>
        <w:tab/>
      </w:r>
      <w:r w:rsidRPr="00D14E4C">
        <w:rPr>
          <w:i/>
          <w:iCs/>
          <w:sz w:val="22"/>
          <w:szCs w:val="22"/>
          <w:lang w:val="fr-FR"/>
        </w:rPr>
        <w:t xml:space="preserve">Accueillant favorablement </w:t>
      </w:r>
      <w:r w:rsidRPr="00D14E4C">
        <w:rPr>
          <w:iCs/>
          <w:sz w:val="22"/>
          <w:szCs w:val="22"/>
          <w:lang w:val="fr-FR"/>
        </w:rPr>
        <w:t>l’engagement du</w:t>
      </w:r>
      <w:r w:rsidRPr="00D14E4C">
        <w:rPr>
          <w:i/>
          <w:iCs/>
          <w:sz w:val="22"/>
          <w:szCs w:val="22"/>
          <w:lang w:val="fr-FR"/>
        </w:rPr>
        <w:t xml:space="preserve"> </w:t>
      </w:r>
      <w:r w:rsidRPr="00D14E4C">
        <w:rPr>
          <w:sz w:val="22"/>
          <w:szCs w:val="22"/>
          <w:lang w:val="fr-FR"/>
        </w:rPr>
        <w:t xml:space="preserve">Secrétariat </w:t>
      </w:r>
      <w:r>
        <w:rPr>
          <w:sz w:val="22"/>
          <w:szCs w:val="22"/>
          <w:lang w:val="fr-FR"/>
        </w:rPr>
        <w:t>de la Convention de</w:t>
      </w:r>
      <w:r w:rsidRPr="00D14E4C">
        <w:rPr>
          <w:sz w:val="22"/>
          <w:szCs w:val="22"/>
          <w:lang w:val="fr-FR"/>
        </w:rPr>
        <w:t xml:space="preserve"> </w:t>
      </w:r>
      <w:proofErr w:type="spellStart"/>
      <w:r w:rsidRPr="00D14E4C">
        <w:rPr>
          <w:sz w:val="22"/>
          <w:szCs w:val="22"/>
          <w:lang w:val="fr-FR"/>
        </w:rPr>
        <w:t>Ramsar</w:t>
      </w:r>
      <w:proofErr w:type="spellEnd"/>
      <w:r w:rsidRPr="00D14E4C">
        <w:rPr>
          <w:sz w:val="22"/>
          <w:szCs w:val="22"/>
          <w:lang w:val="fr-FR"/>
        </w:rPr>
        <w:t xml:space="preserve"> </w:t>
      </w:r>
      <w:r>
        <w:rPr>
          <w:sz w:val="22"/>
          <w:szCs w:val="22"/>
          <w:lang w:val="fr-FR"/>
        </w:rPr>
        <w:t xml:space="preserve">sur les zones humides, du </w:t>
      </w:r>
      <w:r w:rsidRPr="00D14E4C">
        <w:rPr>
          <w:sz w:val="22"/>
          <w:szCs w:val="22"/>
          <w:lang w:val="fr-FR"/>
        </w:rPr>
        <w:t>Secrétariat</w:t>
      </w:r>
      <w:r>
        <w:rPr>
          <w:sz w:val="22"/>
          <w:szCs w:val="22"/>
          <w:lang w:val="fr-FR"/>
        </w:rPr>
        <w:t xml:space="preserve"> PNUE/AEWA</w:t>
      </w:r>
      <w:r w:rsidRPr="00D14E4C">
        <w:rPr>
          <w:sz w:val="22"/>
          <w:szCs w:val="22"/>
          <w:lang w:val="fr-FR"/>
        </w:rPr>
        <w:t xml:space="preserve">, </w:t>
      </w:r>
      <w:r>
        <w:rPr>
          <w:sz w:val="22"/>
          <w:szCs w:val="22"/>
          <w:lang w:val="fr-FR"/>
        </w:rPr>
        <w:t xml:space="preserve">de </w:t>
      </w:r>
      <w:proofErr w:type="spellStart"/>
      <w:r w:rsidRPr="00D14E4C">
        <w:rPr>
          <w:sz w:val="22"/>
          <w:szCs w:val="22"/>
          <w:lang w:val="fr-FR"/>
        </w:rPr>
        <w:t>BirdLife</w:t>
      </w:r>
      <w:proofErr w:type="spellEnd"/>
      <w:r w:rsidRPr="00D14E4C">
        <w:rPr>
          <w:sz w:val="22"/>
          <w:szCs w:val="22"/>
          <w:lang w:val="fr-FR"/>
        </w:rPr>
        <w:t xml:space="preserve"> International </w:t>
      </w:r>
      <w:r>
        <w:rPr>
          <w:sz w:val="22"/>
          <w:szCs w:val="22"/>
          <w:lang w:val="fr-FR"/>
        </w:rPr>
        <w:t>et de</w:t>
      </w:r>
      <w:r w:rsidRPr="00D14E4C">
        <w:rPr>
          <w:sz w:val="22"/>
          <w:szCs w:val="22"/>
          <w:lang w:val="fr-FR"/>
        </w:rPr>
        <w:t xml:space="preserve"> </w:t>
      </w:r>
      <w:proofErr w:type="spellStart"/>
      <w:r w:rsidRPr="00D14E4C">
        <w:rPr>
          <w:sz w:val="22"/>
          <w:szCs w:val="22"/>
          <w:lang w:val="fr-FR"/>
        </w:rPr>
        <w:t>Wetlands</w:t>
      </w:r>
      <w:proofErr w:type="spellEnd"/>
      <w:r w:rsidRPr="00D14E4C">
        <w:rPr>
          <w:sz w:val="22"/>
          <w:szCs w:val="22"/>
          <w:lang w:val="fr-FR"/>
        </w:rPr>
        <w:t xml:space="preserve"> International </w:t>
      </w:r>
      <w:r>
        <w:rPr>
          <w:sz w:val="22"/>
          <w:szCs w:val="22"/>
          <w:lang w:val="fr-FR"/>
        </w:rPr>
        <w:t xml:space="preserve">en vue de consolider et faire avancer un partenariat </w:t>
      </w:r>
      <w:r w:rsidRPr="00D14E4C">
        <w:rPr>
          <w:sz w:val="22"/>
          <w:szCs w:val="22"/>
          <w:lang w:val="fr-FR"/>
        </w:rPr>
        <w:t xml:space="preserve">programmatique </w:t>
      </w:r>
      <w:r>
        <w:rPr>
          <w:sz w:val="22"/>
          <w:szCs w:val="22"/>
          <w:lang w:val="fr-FR"/>
        </w:rPr>
        <w:t>basé sur le</w:t>
      </w:r>
      <w:r w:rsidRPr="00D14E4C">
        <w:rPr>
          <w:sz w:val="22"/>
          <w:szCs w:val="22"/>
          <w:lang w:val="fr-FR"/>
        </w:rPr>
        <w:t xml:space="preserve"> </w:t>
      </w:r>
      <w:r w:rsidRPr="00D14E4C">
        <w:rPr>
          <w:i/>
          <w:iCs/>
          <w:sz w:val="22"/>
          <w:szCs w:val="22"/>
          <w:lang w:val="fr-FR"/>
        </w:rPr>
        <w:t>Projet WOW</w:t>
      </w:r>
      <w:r w:rsidRPr="00D14E4C">
        <w:rPr>
          <w:sz w:val="22"/>
          <w:szCs w:val="22"/>
          <w:lang w:val="fr-FR"/>
        </w:rPr>
        <w:t xml:space="preserve"> </w:t>
      </w:r>
      <w:r>
        <w:rPr>
          <w:sz w:val="22"/>
          <w:szCs w:val="22"/>
          <w:lang w:val="fr-FR"/>
        </w:rPr>
        <w:t>pour la</w:t>
      </w:r>
      <w:r w:rsidRPr="00D14E4C">
        <w:rPr>
          <w:sz w:val="22"/>
          <w:szCs w:val="22"/>
          <w:lang w:val="fr-FR"/>
        </w:rPr>
        <w:t xml:space="preserve"> conservation </w:t>
      </w:r>
      <w:r>
        <w:rPr>
          <w:sz w:val="22"/>
          <w:szCs w:val="22"/>
          <w:lang w:val="fr-FR"/>
        </w:rPr>
        <w:t xml:space="preserve">des </w:t>
      </w:r>
      <w:r w:rsidRPr="00D14E4C">
        <w:rPr>
          <w:sz w:val="22"/>
          <w:szCs w:val="22"/>
          <w:lang w:val="fr-FR"/>
        </w:rPr>
        <w:t xml:space="preserve">oiseaux migrateurs </w:t>
      </w:r>
      <w:r>
        <w:rPr>
          <w:sz w:val="22"/>
          <w:szCs w:val="22"/>
          <w:lang w:val="fr-FR"/>
        </w:rPr>
        <w:t xml:space="preserve">à l’échelle de la voie de migration et l’utilisation judicieuse des zones humides, engagement exposé dans le </w:t>
      </w:r>
      <w:r w:rsidRPr="00D14E4C">
        <w:rPr>
          <w:sz w:val="22"/>
          <w:szCs w:val="22"/>
          <w:lang w:val="fr-FR"/>
        </w:rPr>
        <w:t xml:space="preserve">Mémorandum </w:t>
      </w:r>
      <w:r>
        <w:rPr>
          <w:sz w:val="22"/>
          <w:szCs w:val="22"/>
          <w:lang w:val="fr-FR"/>
        </w:rPr>
        <w:t xml:space="preserve">de </w:t>
      </w:r>
      <w:r w:rsidRPr="00D14E4C">
        <w:rPr>
          <w:sz w:val="22"/>
          <w:szCs w:val="22"/>
          <w:lang w:val="fr-FR"/>
        </w:rPr>
        <w:t>Coopération (</w:t>
      </w:r>
      <w:proofErr w:type="spellStart"/>
      <w:r w:rsidRPr="00D14E4C">
        <w:rPr>
          <w:sz w:val="22"/>
          <w:szCs w:val="22"/>
          <w:lang w:val="fr-FR"/>
        </w:rPr>
        <w:t>M</w:t>
      </w:r>
      <w:r>
        <w:rPr>
          <w:sz w:val="22"/>
          <w:szCs w:val="22"/>
          <w:lang w:val="fr-FR"/>
        </w:rPr>
        <w:t>d</w:t>
      </w:r>
      <w:r w:rsidRPr="00D14E4C">
        <w:rPr>
          <w:sz w:val="22"/>
          <w:szCs w:val="22"/>
          <w:lang w:val="fr-FR"/>
        </w:rPr>
        <w:t>C</w:t>
      </w:r>
      <w:proofErr w:type="spellEnd"/>
      <w:r w:rsidRPr="00D14E4C">
        <w:rPr>
          <w:sz w:val="22"/>
          <w:szCs w:val="22"/>
          <w:lang w:val="fr-FR"/>
        </w:rPr>
        <w:t xml:space="preserve">) </w:t>
      </w:r>
      <w:r>
        <w:rPr>
          <w:sz w:val="22"/>
          <w:szCs w:val="22"/>
          <w:lang w:val="fr-FR"/>
        </w:rPr>
        <w:t xml:space="preserve">sur le </w:t>
      </w:r>
      <w:r w:rsidRPr="003C0E00">
        <w:rPr>
          <w:i/>
          <w:sz w:val="22"/>
          <w:szCs w:val="22"/>
          <w:lang w:val="fr-FR"/>
        </w:rPr>
        <w:t>« Partenariat</w:t>
      </w:r>
      <w:r>
        <w:rPr>
          <w:i/>
          <w:sz w:val="22"/>
          <w:szCs w:val="22"/>
          <w:lang w:val="fr-FR"/>
        </w:rPr>
        <w:t xml:space="preserve"> </w:t>
      </w:r>
      <w:r w:rsidRPr="003C0E00">
        <w:rPr>
          <w:i/>
          <w:sz w:val="22"/>
          <w:szCs w:val="22"/>
          <w:lang w:val="fr-FR"/>
        </w:rPr>
        <w:t>pour la</w:t>
      </w:r>
      <w:r w:rsidRPr="00D14E4C">
        <w:rPr>
          <w:i/>
          <w:iCs/>
          <w:sz w:val="22"/>
          <w:szCs w:val="22"/>
          <w:lang w:val="fr-FR"/>
        </w:rPr>
        <w:t xml:space="preserve"> Conservation </w:t>
      </w:r>
      <w:r>
        <w:rPr>
          <w:i/>
          <w:iCs/>
          <w:sz w:val="22"/>
          <w:szCs w:val="22"/>
          <w:lang w:val="fr-FR"/>
        </w:rPr>
        <w:t>des oiseaux d’eau migrateurs et de leurs h</w:t>
      </w:r>
      <w:r w:rsidRPr="00D14E4C">
        <w:rPr>
          <w:i/>
          <w:iCs/>
          <w:sz w:val="22"/>
          <w:szCs w:val="22"/>
          <w:lang w:val="fr-FR"/>
        </w:rPr>
        <w:t>abitats (</w:t>
      </w:r>
      <w:proofErr w:type="spellStart"/>
      <w:r w:rsidRPr="00D14E4C">
        <w:rPr>
          <w:i/>
          <w:iCs/>
          <w:sz w:val="22"/>
          <w:szCs w:val="22"/>
          <w:lang w:val="fr-FR"/>
        </w:rPr>
        <w:t>Wings</w:t>
      </w:r>
      <w:proofErr w:type="spellEnd"/>
      <w:r w:rsidRPr="00D14E4C">
        <w:rPr>
          <w:i/>
          <w:iCs/>
          <w:sz w:val="22"/>
          <w:szCs w:val="22"/>
          <w:lang w:val="fr-FR"/>
        </w:rPr>
        <w:t xml:space="preserve"> Over </w:t>
      </w:r>
      <w:proofErr w:type="spellStart"/>
      <w:r w:rsidRPr="00D14E4C">
        <w:rPr>
          <w:i/>
          <w:iCs/>
          <w:sz w:val="22"/>
          <w:szCs w:val="22"/>
          <w:lang w:val="fr-FR"/>
        </w:rPr>
        <w:t>Wetlands</w:t>
      </w:r>
      <w:proofErr w:type="spellEnd"/>
      <w:r w:rsidRPr="00D14E4C">
        <w:rPr>
          <w:i/>
          <w:iCs/>
          <w:sz w:val="22"/>
          <w:szCs w:val="22"/>
          <w:lang w:val="fr-FR"/>
        </w:rPr>
        <w:t>)</w:t>
      </w:r>
      <w:r>
        <w:rPr>
          <w:i/>
          <w:iCs/>
          <w:sz w:val="22"/>
          <w:szCs w:val="22"/>
          <w:lang w:val="fr-FR"/>
        </w:rPr>
        <w:t> »</w:t>
      </w:r>
      <w:r w:rsidRPr="00D14E4C">
        <w:rPr>
          <w:sz w:val="22"/>
          <w:szCs w:val="22"/>
          <w:lang w:val="fr-FR"/>
        </w:rPr>
        <w:t>, sign</w:t>
      </w:r>
      <w:r>
        <w:rPr>
          <w:sz w:val="22"/>
          <w:szCs w:val="22"/>
          <w:lang w:val="fr-FR"/>
        </w:rPr>
        <w:t>é le 14 juin 2010 par tous les partenaires lors du Symposium du 15</w:t>
      </w:r>
      <w:r w:rsidRPr="003C0E00">
        <w:rPr>
          <w:sz w:val="22"/>
          <w:szCs w:val="22"/>
          <w:vertAlign w:val="superscript"/>
          <w:lang w:val="fr-FR"/>
        </w:rPr>
        <w:t>ème</w:t>
      </w:r>
      <w:r>
        <w:rPr>
          <w:sz w:val="22"/>
          <w:szCs w:val="22"/>
          <w:lang w:val="fr-FR"/>
        </w:rPr>
        <w:t xml:space="preserve"> anniversaire de l’</w:t>
      </w:r>
      <w:r w:rsidRPr="00D14E4C">
        <w:rPr>
          <w:sz w:val="22"/>
          <w:szCs w:val="22"/>
          <w:lang w:val="fr-FR"/>
        </w:rPr>
        <w:t>AEWA</w:t>
      </w:r>
      <w:r>
        <w:rPr>
          <w:sz w:val="22"/>
          <w:szCs w:val="22"/>
          <w:lang w:val="fr-FR"/>
        </w:rPr>
        <w:t>, à la Haye, Pays-Bas</w:t>
      </w:r>
      <w:r w:rsidRPr="00D14E4C">
        <w:rPr>
          <w:sz w:val="22"/>
          <w:szCs w:val="22"/>
          <w:lang w:val="fr-FR"/>
        </w:rPr>
        <w:t>,</w:t>
      </w:r>
      <w:r w:rsidR="00787C85">
        <w:rPr>
          <w:sz w:val="22"/>
          <w:szCs w:val="22"/>
          <w:lang w:val="fr-FR"/>
        </w:rPr>
        <w:t xml:space="preserve"> </w:t>
      </w:r>
    </w:p>
    <w:p w:rsidR="000944DE" w:rsidRPr="00D14E4C" w:rsidRDefault="000944DE" w:rsidP="00B67BC9">
      <w:pPr>
        <w:jc w:val="both"/>
        <w:rPr>
          <w:sz w:val="22"/>
          <w:szCs w:val="22"/>
          <w:lang w:val="fr-FR"/>
        </w:rPr>
      </w:pPr>
    </w:p>
    <w:p w:rsidR="000944DE" w:rsidRPr="00D14E4C" w:rsidRDefault="000944DE" w:rsidP="00B67BC9">
      <w:pPr>
        <w:jc w:val="both"/>
        <w:rPr>
          <w:sz w:val="22"/>
          <w:szCs w:val="22"/>
          <w:lang w:val="fr-FR"/>
        </w:rPr>
      </w:pPr>
      <w:r w:rsidRPr="00D14E4C">
        <w:rPr>
          <w:i/>
          <w:iCs/>
          <w:sz w:val="22"/>
          <w:szCs w:val="22"/>
          <w:lang w:val="fr-FR"/>
        </w:rPr>
        <w:tab/>
      </w:r>
      <w:r>
        <w:rPr>
          <w:i/>
          <w:iCs/>
          <w:sz w:val="22"/>
          <w:szCs w:val="22"/>
          <w:lang w:val="fr-FR"/>
        </w:rPr>
        <w:t>Félicitant</w:t>
      </w:r>
      <w:r w:rsidRPr="008D4681">
        <w:rPr>
          <w:iCs/>
          <w:sz w:val="22"/>
          <w:szCs w:val="22"/>
          <w:lang w:val="fr-FR"/>
        </w:rPr>
        <w:t xml:space="preserve"> </w:t>
      </w:r>
      <w:r w:rsidRPr="009A7D1B">
        <w:rPr>
          <w:iCs/>
          <w:sz w:val="22"/>
          <w:szCs w:val="22"/>
          <w:lang w:val="fr-FR"/>
        </w:rPr>
        <w:t>pour l</w:t>
      </w:r>
      <w:r>
        <w:rPr>
          <w:iCs/>
          <w:sz w:val="22"/>
          <w:szCs w:val="22"/>
          <w:lang w:val="fr-FR"/>
        </w:rPr>
        <w:t>eur</w:t>
      </w:r>
      <w:r w:rsidRPr="009A7D1B">
        <w:rPr>
          <w:iCs/>
          <w:sz w:val="22"/>
          <w:szCs w:val="22"/>
          <w:lang w:val="fr-FR"/>
        </w:rPr>
        <w:t xml:space="preserve"> mise en œuvre réussie </w:t>
      </w:r>
      <w:r w:rsidRPr="008D4681">
        <w:rPr>
          <w:iCs/>
          <w:sz w:val="22"/>
          <w:szCs w:val="22"/>
          <w:lang w:val="fr-FR"/>
        </w:rPr>
        <w:t>les principaux par</w:t>
      </w:r>
      <w:r>
        <w:rPr>
          <w:iCs/>
          <w:sz w:val="22"/>
          <w:szCs w:val="22"/>
          <w:lang w:val="fr-FR"/>
        </w:rPr>
        <w:t>t</w:t>
      </w:r>
      <w:r w:rsidRPr="008D4681">
        <w:rPr>
          <w:iCs/>
          <w:sz w:val="22"/>
          <w:szCs w:val="22"/>
          <w:lang w:val="fr-FR"/>
        </w:rPr>
        <w:t>enaires</w:t>
      </w:r>
      <w:r>
        <w:rPr>
          <w:i/>
          <w:iCs/>
          <w:sz w:val="22"/>
          <w:szCs w:val="22"/>
          <w:lang w:val="fr-FR"/>
        </w:rPr>
        <w:t xml:space="preserve"> </w:t>
      </w:r>
      <w:r w:rsidRPr="009A7D1B">
        <w:rPr>
          <w:iCs/>
          <w:sz w:val="22"/>
          <w:szCs w:val="22"/>
          <w:lang w:val="fr-FR"/>
        </w:rPr>
        <w:t>du</w:t>
      </w:r>
      <w:r>
        <w:rPr>
          <w:i/>
          <w:iCs/>
          <w:sz w:val="22"/>
          <w:szCs w:val="22"/>
          <w:lang w:val="fr-FR"/>
        </w:rPr>
        <w:t xml:space="preserve"> </w:t>
      </w:r>
      <w:r w:rsidRPr="00D14E4C">
        <w:rPr>
          <w:i/>
          <w:iCs/>
          <w:sz w:val="22"/>
          <w:szCs w:val="22"/>
          <w:lang w:val="fr-FR"/>
        </w:rPr>
        <w:t>Projet WOW</w:t>
      </w:r>
      <w:r>
        <w:rPr>
          <w:i/>
          <w:iCs/>
          <w:sz w:val="22"/>
          <w:szCs w:val="22"/>
          <w:lang w:val="fr-FR"/>
        </w:rPr>
        <w:t xml:space="preserve">, </w:t>
      </w:r>
      <w:r w:rsidRPr="008D4681">
        <w:rPr>
          <w:iCs/>
          <w:sz w:val="22"/>
          <w:szCs w:val="22"/>
          <w:lang w:val="fr-FR"/>
        </w:rPr>
        <w:t>à savoir</w:t>
      </w:r>
      <w:r>
        <w:rPr>
          <w:i/>
          <w:iCs/>
          <w:sz w:val="22"/>
          <w:szCs w:val="22"/>
          <w:lang w:val="fr-FR"/>
        </w:rPr>
        <w:t xml:space="preserve"> </w:t>
      </w:r>
      <w:r w:rsidRPr="000C2B07">
        <w:rPr>
          <w:iCs/>
          <w:sz w:val="22"/>
          <w:szCs w:val="22"/>
          <w:lang w:val="fr-FR"/>
        </w:rPr>
        <w:t>le Fonds pour l’environnement mondial</w:t>
      </w:r>
      <w:r>
        <w:rPr>
          <w:iCs/>
          <w:sz w:val="22"/>
          <w:szCs w:val="22"/>
          <w:lang w:val="fr-FR"/>
        </w:rPr>
        <w:t xml:space="preserve"> (FEM), le PNUE, </w:t>
      </w:r>
      <w:proofErr w:type="spellStart"/>
      <w:r w:rsidRPr="00D14E4C">
        <w:rPr>
          <w:sz w:val="22"/>
          <w:szCs w:val="22"/>
          <w:lang w:val="fr-FR"/>
        </w:rPr>
        <w:t>Wetlands</w:t>
      </w:r>
      <w:proofErr w:type="spellEnd"/>
      <w:r w:rsidRPr="00D14E4C">
        <w:rPr>
          <w:sz w:val="22"/>
          <w:szCs w:val="22"/>
          <w:lang w:val="fr-FR"/>
        </w:rPr>
        <w:t xml:space="preserve"> International, </w:t>
      </w:r>
      <w:proofErr w:type="spellStart"/>
      <w:r w:rsidRPr="00D14E4C">
        <w:rPr>
          <w:sz w:val="22"/>
          <w:szCs w:val="22"/>
          <w:lang w:val="fr-FR"/>
        </w:rPr>
        <w:t>BirdLife</w:t>
      </w:r>
      <w:proofErr w:type="spellEnd"/>
      <w:r w:rsidRPr="00D14E4C">
        <w:rPr>
          <w:sz w:val="22"/>
          <w:szCs w:val="22"/>
          <w:lang w:val="fr-FR"/>
        </w:rPr>
        <w:t xml:space="preserve"> International, </w:t>
      </w:r>
      <w:r>
        <w:rPr>
          <w:sz w:val="22"/>
          <w:szCs w:val="22"/>
          <w:lang w:val="fr-FR"/>
        </w:rPr>
        <w:t xml:space="preserve">l’Accord sur la conservation des oiseaux d’eau migrateurs d’Afrique-Eurasie </w:t>
      </w:r>
      <w:r w:rsidRPr="00D14E4C">
        <w:rPr>
          <w:sz w:val="22"/>
          <w:szCs w:val="22"/>
          <w:lang w:val="fr-FR"/>
        </w:rPr>
        <w:t xml:space="preserve">(AEWA), </w:t>
      </w:r>
      <w:r>
        <w:rPr>
          <w:sz w:val="22"/>
          <w:szCs w:val="22"/>
          <w:lang w:val="fr-FR"/>
        </w:rPr>
        <w:t>l’Agence fédérale allemande pour la conservation de la nature</w:t>
      </w:r>
      <w:r w:rsidRPr="00D14E4C">
        <w:rPr>
          <w:sz w:val="22"/>
          <w:szCs w:val="22"/>
          <w:lang w:val="fr-FR"/>
        </w:rPr>
        <w:t xml:space="preserve"> (</w:t>
      </w:r>
      <w:proofErr w:type="spellStart"/>
      <w:r w:rsidRPr="00D14E4C">
        <w:rPr>
          <w:sz w:val="22"/>
          <w:szCs w:val="22"/>
          <w:lang w:val="fr-FR"/>
        </w:rPr>
        <w:t>BfN</w:t>
      </w:r>
      <w:proofErr w:type="spellEnd"/>
      <w:r w:rsidRPr="00D14E4C">
        <w:rPr>
          <w:sz w:val="22"/>
          <w:szCs w:val="22"/>
          <w:lang w:val="fr-FR"/>
        </w:rPr>
        <w:t xml:space="preserve">), </w:t>
      </w:r>
      <w:r>
        <w:rPr>
          <w:sz w:val="22"/>
          <w:szCs w:val="22"/>
          <w:lang w:val="fr-FR"/>
        </w:rPr>
        <w:t>la</w:t>
      </w:r>
      <w:r w:rsidRPr="00D14E4C">
        <w:rPr>
          <w:sz w:val="22"/>
          <w:szCs w:val="22"/>
          <w:lang w:val="fr-FR"/>
        </w:rPr>
        <w:t xml:space="preserve"> Convention </w:t>
      </w:r>
      <w:r>
        <w:rPr>
          <w:sz w:val="22"/>
          <w:szCs w:val="22"/>
          <w:lang w:val="fr-FR"/>
        </w:rPr>
        <w:t xml:space="preserve">de </w:t>
      </w:r>
      <w:proofErr w:type="spellStart"/>
      <w:r>
        <w:rPr>
          <w:sz w:val="22"/>
          <w:szCs w:val="22"/>
          <w:lang w:val="fr-FR"/>
        </w:rPr>
        <w:t>Ramsar</w:t>
      </w:r>
      <w:proofErr w:type="spellEnd"/>
      <w:r>
        <w:rPr>
          <w:sz w:val="22"/>
          <w:szCs w:val="22"/>
          <w:lang w:val="fr-FR"/>
        </w:rPr>
        <w:t xml:space="preserve"> sur les zones humides, le Bureau des Nations Unies pour les s</w:t>
      </w:r>
      <w:r w:rsidRPr="00D14E4C">
        <w:rPr>
          <w:sz w:val="22"/>
          <w:szCs w:val="22"/>
          <w:lang w:val="fr-FR"/>
        </w:rPr>
        <w:t>ervices</w:t>
      </w:r>
      <w:r>
        <w:rPr>
          <w:sz w:val="22"/>
          <w:szCs w:val="22"/>
          <w:lang w:val="fr-FR"/>
        </w:rPr>
        <w:t xml:space="preserve"> d’appui aux projets</w:t>
      </w:r>
      <w:r w:rsidRPr="00D14E4C">
        <w:rPr>
          <w:sz w:val="22"/>
          <w:szCs w:val="22"/>
          <w:lang w:val="fr-FR"/>
        </w:rPr>
        <w:t xml:space="preserve"> (UNOPS) </w:t>
      </w:r>
      <w:r w:rsidR="00E90ECB">
        <w:rPr>
          <w:sz w:val="22"/>
          <w:szCs w:val="22"/>
          <w:lang w:val="fr-FR"/>
        </w:rPr>
        <w:t>et le Centre mondial</w:t>
      </w:r>
      <w:r>
        <w:rPr>
          <w:sz w:val="22"/>
          <w:szCs w:val="22"/>
          <w:lang w:val="fr-FR"/>
        </w:rPr>
        <w:t xml:space="preserve"> de surveillance pour la conservation de la nature (PNUE-CMSC), ainsi que plusieurs autres partenaires locaux d’Afrique et d’Eurasie</w:t>
      </w:r>
      <w:r w:rsidRPr="00D14E4C">
        <w:rPr>
          <w:sz w:val="22"/>
          <w:szCs w:val="22"/>
          <w:lang w:val="fr-FR"/>
        </w:rPr>
        <w:t>,</w:t>
      </w:r>
      <w:r w:rsidR="00787C85" w:rsidRPr="00787C85">
        <w:rPr>
          <w:sz w:val="22"/>
          <w:szCs w:val="22"/>
          <w:lang w:val="fr-FR"/>
        </w:rPr>
        <w:t xml:space="preserve"> </w:t>
      </w:r>
    </w:p>
    <w:p w:rsidR="000944DE" w:rsidRPr="00A94FE4" w:rsidRDefault="000944DE" w:rsidP="00B67BC9">
      <w:pPr>
        <w:jc w:val="both"/>
        <w:rPr>
          <w:sz w:val="22"/>
          <w:szCs w:val="22"/>
          <w:lang w:val="fr-FR"/>
        </w:rPr>
      </w:pPr>
    </w:p>
    <w:p w:rsidR="000944DE" w:rsidRPr="001A1C71" w:rsidRDefault="000944DE" w:rsidP="00286D6A">
      <w:pPr>
        <w:pStyle w:val="BodyText3"/>
        <w:spacing w:after="0"/>
        <w:jc w:val="both"/>
        <w:rPr>
          <w:sz w:val="22"/>
          <w:szCs w:val="22"/>
          <w:lang w:val="fr-FR"/>
        </w:rPr>
      </w:pPr>
      <w:r w:rsidRPr="00A94FE4">
        <w:rPr>
          <w:i/>
          <w:iCs/>
          <w:sz w:val="22"/>
          <w:szCs w:val="22"/>
          <w:lang w:val="fr-FR"/>
        </w:rPr>
        <w:tab/>
      </w:r>
      <w:r>
        <w:rPr>
          <w:i/>
          <w:iCs/>
          <w:sz w:val="22"/>
          <w:szCs w:val="22"/>
          <w:lang w:val="fr-FR"/>
        </w:rPr>
        <w:t xml:space="preserve">Prenant note </w:t>
      </w:r>
      <w:r w:rsidRPr="00E90ECB">
        <w:rPr>
          <w:i/>
          <w:iCs/>
          <w:sz w:val="22"/>
          <w:szCs w:val="22"/>
          <w:lang w:val="fr-FR"/>
        </w:rPr>
        <w:t>avec satisfaction</w:t>
      </w:r>
      <w:r w:rsidRPr="00207810">
        <w:rPr>
          <w:iCs/>
          <w:sz w:val="22"/>
          <w:szCs w:val="22"/>
          <w:lang w:val="fr-FR"/>
        </w:rPr>
        <w:t xml:space="preserve"> du </w:t>
      </w:r>
      <w:r>
        <w:rPr>
          <w:iCs/>
          <w:sz w:val="22"/>
          <w:szCs w:val="22"/>
          <w:lang w:val="fr-FR"/>
        </w:rPr>
        <w:t xml:space="preserve">généreux </w:t>
      </w:r>
      <w:r w:rsidRPr="00207810">
        <w:rPr>
          <w:iCs/>
          <w:sz w:val="22"/>
          <w:szCs w:val="22"/>
          <w:lang w:val="fr-FR"/>
        </w:rPr>
        <w:t>soutien financier apporté</w:t>
      </w:r>
      <w:r>
        <w:rPr>
          <w:iCs/>
          <w:sz w:val="22"/>
          <w:szCs w:val="22"/>
          <w:lang w:val="fr-FR"/>
        </w:rPr>
        <w:t xml:space="preserve"> </w:t>
      </w:r>
      <w:r w:rsidRPr="00207810">
        <w:rPr>
          <w:iCs/>
          <w:sz w:val="22"/>
          <w:szCs w:val="22"/>
          <w:lang w:val="fr-FR"/>
        </w:rPr>
        <w:t>au</w:t>
      </w:r>
      <w:r>
        <w:rPr>
          <w:i/>
          <w:iCs/>
          <w:sz w:val="22"/>
          <w:szCs w:val="22"/>
          <w:lang w:val="fr-FR"/>
        </w:rPr>
        <w:t xml:space="preserve"> </w:t>
      </w:r>
      <w:r w:rsidRPr="00A94FE4">
        <w:rPr>
          <w:i/>
          <w:iCs/>
          <w:sz w:val="22"/>
          <w:szCs w:val="22"/>
          <w:lang w:val="fr-FR"/>
        </w:rPr>
        <w:t>Projet WOW</w:t>
      </w:r>
      <w:r>
        <w:rPr>
          <w:i/>
          <w:iCs/>
          <w:sz w:val="22"/>
          <w:szCs w:val="22"/>
          <w:lang w:val="fr-FR"/>
        </w:rPr>
        <w:t xml:space="preserve"> </w:t>
      </w:r>
      <w:r w:rsidRPr="00207810">
        <w:rPr>
          <w:iCs/>
          <w:sz w:val="22"/>
          <w:szCs w:val="22"/>
          <w:lang w:val="fr-FR"/>
        </w:rPr>
        <w:t>par de</w:t>
      </w:r>
      <w:r>
        <w:rPr>
          <w:iCs/>
          <w:sz w:val="22"/>
          <w:szCs w:val="22"/>
          <w:lang w:val="fr-FR"/>
        </w:rPr>
        <w:t xml:space="preserve"> nombreux donateurs aux niveaux </w:t>
      </w:r>
      <w:r w:rsidRPr="00A94FE4">
        <w:rPr>
          <w:sz w:val="22"/>
          <w:szCs w:val="22"/>
          <w:lang w:val="fr-FR"/>
        </w:rPr>
        <w:t xml:space="preserve">international, national </w:t>
      </w:r>
      <w:r>
        <w:rPr>
          <w:sz w:val="22"/>
          <w:szCs w:val="22"/>
          <w:lang w:val="fr-FR"/>
        </w:rPr>
        <w:t xml:space="preserve">et </w:t>
      </w:r>
      <w:r w:rsidRPr="00A94FE4">
        <w:rPr>
          <w:sz w:val="22"/>
          <w:szCs w:val="22"/>
          <w:lang w:val="fr-FR"/>
        </w:rPr>
        <w:t>local</w:t>
      </w:r>
      <w:r>
        <w:rPr>
          <w:sz w:val="22"/>
          <w:szCs w:val="22"/>
          <w:lang w:val="fr-FR"/>
        </w:rPr>
        <w:t xml:space="preserve">, tout particulièrement celui du FEM et du gouvernement de l’Allemagne mais aussi de l’Union européenne et des gouvernements du </w:t>
      </w:r>
      <w:r w:rsidRPr="00A94FE4">
        <w:rPr>
          <w:sz w:val="22"/>
          <w:szCs w:val="22"/>
          <w:lang w:val="fr-FR"/>
        </w:rPr>
        <w:t xml:space="preserve">Danemark, </w:t>
      </w:r>
      <w:r>
        <w:rPr>
          <w:sz w:val="22"/>
          <w:szCs w:val="22"/>
          <w:lang w:val="fr-FR"/>
        </w:rPr>
        <w:t xml:space="preserve">de la </w:t>
      </w:r>
      <w:r w:rsidRPr="00A94FE4">
        <w:rPr>
          <w:sz w:val="22"/>
          <w:szCs w:val="22"/>
          <w:lang w:val="fr-FR"/>
        </w:rPr>
        <w:t xml:space="preserve">France, </w:t>
      </w:r>
      <w:r>
        <w:rPr>
          <w:sz w:val="22"/>
          <w:szCs w:val="22"/>
          <w:lang w:val="fr-FR"/>
        </w:rPr>
        <w:t xml:space="preserve">des Pays-Bas, de l’Espagne, de la Suède et de la Suisse, ainsi que des autres donateurs qui ont fourni des </w:t>
      </w:r>
      <w:r w:rsidRPr="001A1C71">
        <w:rPr>
          <w:sz w:val="22"/>
          <w:szCs w:val="22"/>
          <w:lang w:val="fr-FR"/>
        </w:rPr>
        <w:t xml:space="preserve">fonds d’appoint au </w:t>
      </w:r>
      <w:r w:rsidRPr="001A1C71">
        <w:rPr>
          <w:i/>
          <w:iCs/>
          <w:sz w:val="22"/>
          <w:szCs w:val="22"/>
          <w:lang w:val="fr-FR"/>
        </w:rPr>
        <w:t>Projet WOW</w:t>
      </w:r>
      <w:r w:rsidRPr="001A1C71">
        <w:rPr>
          <w:sz w:val="22"/>
          <w:szCs w:val="22"/>
          <w:lang w:val="fr-FR"/>
        </w:rPr>
        <w:t xml:space="preserve"> par l’intermédiaire du Secrétariat de l’Accord, la mise à disposition d’un </w:t>
      </w:r>
      <w:r w:rsidR="001643E7" w:rsidRPr="001A1C71">
        <w:rPr>
          <w:sz w:val="22"/>
          <w:szCs w:val="22"/>
          <w:lang w:val="fr-FR"/>
        </w:rPr>
        <w:t>Jeune Expert Associé</w:t>
      </w:r>
      <w:r w:rsidRPr="001A1C71">
        <w:rPr>
          <w:sz w:val="22"/>
          <w:szCs w:val="22"/>
          <w:lang w:val="fr-FR"/>
        </w:rPr>
        <w:t xml:space="preserve"> (J</w:t>
      </w:r>
      <w:r w:rsidR="001643E7" w:rsidRPr="001A1C71">
        <w:rPr>
          <w:sz w:val="22"/>
          <w:szCs w:val="22"/>
          <w:lang w:val="fr-FR"/>
        </w:rPr>
        <w:t>EA</w:t>
      </w:r>
      <w:r w:rsidRPr="001A1C71">
        <w:rPr>
          <w:sz w:val="22"/>
          <w:szCs w:val="22"/>
          <w:lang w:val="fr-FR"/>
        </w:rPr>
        <w:t xml:space="preserve">) par </w:t>
      </w:r>
      <w:r w:rsidR="00E90ECB">
        <w:rPr>
          <w:sz w:val="22"/>
          <w:szCs w:val="22"/>
          <w:lang w:val="fr-FR"/>
        </w:rPr>
        <w:t>l’</w:t>
      </w:r>
      <w:r w:rsidRPr="001A1C71">
        <w:rPr>
          <w:sz w:val="22"/>
          <w:szCs w:val="22"/>
          <w:lang w:val="fr-FR"/>
        </w:rPr>
        <w:t xml:space="preserve">Allemagne afin d’aider à la mise en œuvre du </w:t>
      </w:r>
      <w:r w:rsidRPr="001A1C71">
        <w:rPr>
          <w:i/>
          <w:iCs/>
          <w:sz w:val="22"/>
          <w:szCs w:val="22"/>
          <w:lang w:val="fr-FR"/>
        </w:rPr>
        <w:t>Projet WOW</w:t>
      </w:r>
      <w:r w:rsidRPr="001A1C71">
        <w:rPr>
          <w:sz w:val="22"/>
          <w:szCs w:val="22"/>
          <w:lang w:val="fr-FR"/>
        </w:rPr>
        <w:t xml:space="preserve">, ainsi que le cofinancement important fourni par les partenaires individuels du WOW et les pays du Projet de démonstration : </w:t>
      </w:r>
      <w:r w:rsidR="001643E7" w:rsidRPr="001A1C71">
        <w:rPr>
          <w:sz w:val="22"/>
          <w:szCs w:val="22"/>
          <w:lang w:val="fr-FR"/>
        </w:rPr>
        <w:t>l’</w:t>
      </w:r>
      <w:r w:rsidRPr="001A1C71">
        <w:rPr>
          <w:sz w:val="22"/>
          <w:szCs w:val="22"/>
          <w:lang w:val="fr-FR"/>
        </w:rPr>
        <w:t xml:space="preserve">Afrique du Sud, </w:t>
      </w:r>
      <w:r w:rsidR="001643E7" w:rsidRPr="001A1C71">
        <w:rPr>
          <w:sz w:val="22"/>
          <w:szCs w:val="22"/>
          <w:lang w:val="fr-FR"/>
        </w:rPr>
        <w:t>l’</w:t>
      </w:r>
      <w:r w:rsidRPr="001A1C71">
        <w:rPr>
          <w:sz w:val="22"/>
          <w:szCs w:val="22"/>
          <w:lang w:val="fr-FR"/>
        </w:rPr>
        <w:t xml:space="preserve">Estonie, </w:t>
      </w:r>
      <w:r w:rsidR="001643E7" w:rsidRPr="001A1C71">
        <w:rPr>
          <w:sz w:val="22"/>
          <w:szCs w:val="22"/>
          <w:lang w:val="fr-FR"/>
        </w:rPr>
        <w:t xml:space="preserve">la </w:t>
      </w:r>
      <w:r w:rsidRPr="001A1C71">
        <w:rPr>
          <w:sz w:val="22"/>
          <w:szCs w:val="22"/>
          <w:lang w:val="fr-FR"/>
        </w:rPr>
        <w:t xml:space="preserve">Gambie, </w:t>
      </w:r>
      <w:r w:rsidR="001643E7" w:rsidRPr="001A1C71">
        <w:rPr>
          <w:sz w:val="22"/>
          <w:szCs w:val="22"/>
          <w:lang w:val="fr-FR"/>
        </w:rPr>
        <w:t xml:space="preserve">la </w:t>
      </w:r>
      <w:r w:rsidRPr="001A1C71">
        <w:rPr>
          <w:sz w:val="22"/>
          <w:szCs w:val="22"/>
          <w:lang w:val="fr-FR"/>
        </w:rPr>
        <w:t xml:space="preserve">Hongrie, </w:t>
      </w:r>
      <w:r w:rsidR="001643E7" w:rsidRPr="001A1C71">
        <w:rPr>
          <w:sz w:val="22"/>
          <w:szCs w:val="22"/>
          <w:lang w:val="fr-FR"/>
        </w:rPr>
        <w:t xml:space="preserve">la </w:t>
      </w:r>
      <w:r w:rsidRPr="001A1C71">
        <w:rPr>
          <w:sz w:val="22"/>
          <w:szCs w:val="22"/>
          <w:lang w:val="fr-FR"/>
        </w:rPr>
        <w:t xml:space="preserve">Lituanie, </w:t>
      </w:r>
      <w:r w:rsidR="004C443E" w:rsidRPr="001A1C71">
        <w:rPr>
          <w:sz w:val="22"/>
          <w:szCs w:val="22"/>
          <w:lang w:val="fr-FR"/>
        </w:rPr>
        <w:t xml:space="preserve">la Mauritanie, </w:t>
      </w:r>
      <w:r w:rsidR="001643E7" w:rsidRPr="001A1C71">
        <w:rPr>
          <w:sz w:val="22"/>
          <w:szCs w:val="22"/>
          <w:lang w:val="fr-FR"/>
        </w:rPr>
        <w:t xml:space="preserve">le </w:t>
      </w:r>
      <w:r w:rsidRPr="001A1C71">
        <w:rPr>
          <w:sz w:val="22"/>
          <w:szCs w:val="22"/>
          <w:lang w:val="fr-FR"/>
        </w:rPr>
        <w:t xml:space="preserve">Niger, </w:t>
      </w:r>
      <w:r w:rsidR="001643E7" w:rsidRPr="001A1C71">
        <w:rPr>
          <w:sz w:val="22"/>
          <w:szCs w:val="22"/>
          <w:lang w:val="fr-FR"/>
        </w:rPr>
        <w:t xml:space="preserve">le </w:t>
      </w:r>
      <w:r w:rsidRPr="001A1C71">
        <w:rPr>
          <w:sz w:val="22"/>
          <w:szCs w:val="22"/>
          <w:lang w:val="fr-FR"/>
        </w:rPr>
        <w:t xml:space="preserve">Nigeria, </w:t>
      </w:r>
      <w:r w:rsidR="001643E7" w:rsidRPr="001A1C71">
        <w:rPr>
          <w:sz w:val="22"/>
          <w:szCs w:val="22"/>
          <w:lang w:val="fr-FR"/>
        </w:rPr>
        <w:t xml:space="preserve">le </w:t>
      </w:r>
      <w:r w:rsidRPr="001A1C71">
        <w:rPr>
          <w:sz w:val="22"/>
          <w:szCs w:val="22"/>
          <w:lang w:val="fr-FR"/>
        </w:rPr>
        <w:t xml:space="preserve">Sénégal, </w:t>
      </w:r>
      <w:r w:rsidR="001643E7" w:rsidRPr="001A1C71">
        <w:rPr>
          <w:sz w:val="22"/>
          <w:szCs w:val="22"/>
          <w:lang w:val="fr-FR"/>
        </w:rPr>
        <w:t xml:space="preserve">la </w:t>
      </w:r>
      <w:r w:rsidRPr="001A1C71">
        <w:rPr>
          <w:sz w:val="22"/>
          <w:szCs w:val="22"/>
          <w:lang w:val="fr-FR"/>
        </w:rPr>
        <w:t>République Unie de Tanzanie</w:t>
      </w:r>
      <w:r w:rsidR="001643E7" w:rsidRPr="001A1C71">
        <w:rPr>
          <w:sz w:val="22"/>
          <w:szCs w:val="22"/>
          <w:lang w:val="fr-FR"/>
        </w:rPr>
        <w:t>, la</w:t>
      </w:r>
      <w:r w:rsidRPr="001A1C71">
        <w:rPr>
          <w:sz w:val="22"/>
          <w:szCs w:val="22"/>
          <w:lang w:val="fr-FR"/>
        </w:rPr>
        <w:t xml:space="preserve"> Turquie et </w:t>
      </w:r>
      <w:r w:rsidR="001643E7" w:rsidRPr="001A1C71">
        <w:rPr>
          <w:sz w:val="22"/>
          <w:szCs w:val="22"/>
          <w:lang w:val="fr-FR"/>
        </w:rPr>
        <w:t xml:space="preserve">le </w:t>
      </w:r>
      <w:r w:rsidRPr="001A1C71">
        <w:rPr>
          <w:sz w:val="22"/>
          <w:szCs w:val="22"/>
          <w:lang w:val="fr-FR"/>
        </w:rPr>
        <w:t>Yémen</w:t>
      </w:r>
      <w:r w:rsidR="007A2281" w:rsidRPr="001A1C71">
        <w:rPr>
          <w:sz w:val="22"/>
          <w:szCs w:val="22"/>
          <w:lang w:val="fr-FR"/>
        </w:rPr>
        <w:t xml:space="preserve">, </w:t>
      </w:r>
    </w:p>
    <w:p w:rsidR="00787C85" w:rsidRPr="001A1C71" w:rsidRDefault="00787C85" w:rsidP="00286D6A">
      <w:pPr>
        <w:pStyle w:val="BodyText3"/>
        <w:spacing w:after="0"/>
        <w:jc w:val="both"/>
        <w:rPr>
          <w:sz w:val="22"/>
          <w:szCs w:val="22"/>
          <w:lang w:val="fr-FR"/>
        </w:rPr>
      </w:pPr>
    </w:p>
    <w:p w:rsidR="000944DE" w:rsidRPr="001A1C71" w:rsidRDefault="00787C85" w:rsidP="00AC0E75">
      <w:pPr>
        <w:ind w:firstLine="720"/>
        <w:jc w:val="both"/>
        <w:rPr>
          <w:iCs/>
          <w:sz w:val="22"/>
          <w:szCs w:val="22"/>
          <w:lang w:val="fr-FR"/>
        </w:rPr>
      </w:pPr>
      <w:r w:rsidRPr="001A1C71">
        <w:rPr>
          <w:i/>
          <w:iCs/>
          <w:sz w:val="22"/>
          <w:szCs w:val="22"/>
          <w:lang w:val="fr-FR"/>
        </w:rPr>
        <w:t xml:space="preserve">Reconnaissant </w:t>
      </w:r>
      <w:r w:rsidRPr="001A1C71">
        <w:rPr>
          <w:iCs/>
          <w:sz w:val="22"/>
          <w:szCs w:val="22"/>
          <w:lang w:val="fr-FR"/>
        </w:rPr>
        <w:t>que « l’</w:t>
      </w:r>
      <w:r w:rsidR="007A2281" w:rsidRPr="001A1C71">
        <w:rPr>
          <w:iCs/>
          <w:sz w:val="22"/>
          <w:szCs w:val="22"/>
          <w:lang w:val="fr-FR"/>
        </w:rPr>
        <w:t>I</w:t>
      </w:r>
      <w:r w:rsidRPr="001A1C71">
        <w:rPr>
          <w:iCs/>
          <w:sz w:val="22"/>
          <w:szCs w:val="22"/>
          <w:lang w:val="fr-FR"/>
        </w:rPr>
        <w:t xml:space="preserve">nitiative africaine » </w:t>
      </w:r>
      <w:r w:rsidR="00E90ECB">
        <w:rPr>
          <w:iCs/>
          <w:sz w:val="22"/>
          <w:szCs w:val="22"/>
          <w:lang w:val="fr-FR"/>
        </w:rPr>
        <w:t>(Résolution 5.9</w:t>
      </w:r>
      <w:r w:rsidR="00A90607" w:rsidRPr="001A1C71">
        <w:rPr>
          <w:iCs/>
          <w:sz w:val="22"/>
          <w:szCs w:val="22"/>
          <w:lang w:val="fr-FR"/>
        </w:rPr>
        <w:t>) offre un cadre approprié pour la suite du projet WOW.</w:t>
      </w:r>
      <w:r w:rsidR="006B7648" w:rsidRPr="001A1C71">
        <w:rPr>
          <w:iCs/>
          <w:sz w:val="22"/>
          <w:szCs w:val="22"/>
          <w:lang w:val="fr-FR"/>
        </w:rPr>
        <w:t xml:space="preserve"> Ceci s’applique à l’initiative en cours de la voie de migration de la mer Wadden ainsi qu’au projet de conservation des oiseaux migrateurs de </w:t>
      </w:r>
      <w:proofErr w:type="spellStart"/>
      <w:r w:rsidR="006B7648" w:rsidRPr="001A1C71">
        <w:rPr>
          <w:iCs/>
          <w:sz w:val="22"/>
          <w:szCs w:val="22"/>
          <w:lang w:val="fr-FR"/>
        </w:rPr>
        <w:t>W</w:t>
      </w:r>
      <w:r w:rsidR="004E16A2" w:rsidRPr="001A1C71">
        <w:rPr>
          <w:iCs/>
          <w:sz w:val="22"/>
          <w:szCs w:val="22"/>
          <w:lang w:val="fr-FR"/>
        </w:rPr>
        <w:t>e</w:t>
      </w:r>
      <w:r w:rsidR="006B7648" w:rsidRPr="001A1C71">
        <w:rPr>
          <w:iCs/>
          <w:sz w:val="22"/>
          <w:szCs w:val="22"/>
          <w:lang w:val="fr-FR"/>
        </w:rPr>
        <w:t>tlands</w:t>
      </w:r>
      <w:proofErr w:type="spellEnd"/>
      <w:r w:rsidR="006B7648" w:rsidRPr="001A1C71">
        <w:rPr>
          <w:iCs/>
          <w:sz w:val="22"/>
          <w:szCs w:val="22"/>
          <w:lang w:val="fr-FR"/>
        </w:rPr>
        <w:t xml:space="preserve"> international et </w:t>
      </w:r>
      <w:proofErr w:type="spellStart"/>
      <w:r w:rsidR="006B7648" w:rsidRPr="001A1C71">
        <w:rPr>
          <w:iCs/>
          <w:sz w:val="22"/>
          <w:szCs w:val="22"/>
          <w:lang w:val="fr-FR"/>
        </w:rPr>
        <w:t>BirdLife</w:t>
      </w:r>
      <w:proofErr w:type="spellEnd"/>
      <w:r w:rsidR="006B7648" w:rsidRPr="001A1C71">
        <w:rPr>
          <w:iCs/>
          <w:sz w:val="22"/>
          <w:szCs w:val="22"/>
          <w:lang w:val="fr-FR"/>
        </w:rPr>
        <w:t xml:space="preserve"> International.</w:t>
      </w:r>
    </w:p>
    <w:p w:rsidR="000944DE" w:rsidRPr="001A1C71" w:rsidRDefault="000944DE" w:rsidP="00286D6A">
      <w:pPr>
        <w:jc w:val="both"/>
        <w:rPr>
          <w:i/>
          <w:iCs/>
          <w:sz w:val="22"/>
          <w:szCs w:val="22"/>
          <w:lang w:val="fr-FR"/>
        </w:rPr>
      </w:pPr>
    </w:p>
    <w:p w:rsidR="004C0029" w:rsidRPr="001A1C71" w:rsidRDefault="004C0029" w:rsidP="00286D6A">
      <w:pPr>
        <w:jc w:val="both"/>
        <w:rPr>
          <w:i/>
          <w:iCs/>
          <w:sz w:val="22"/>
          <w:szCs w:val="22"/>
          <w:lang w:val="fr-FR"/>
        </w:rPr>
      </w:pPr>
    </w:p>
    <w:p w:rsidR="000944DE" w:rsidRPr="001A1C71" w:rsidRDefault="000944DE" w:rsidP="00286D6A">
      <w:pPr>
        <w:jc w:val="both"/>
        <w:rPr>
          <w:sz w:val="22"/>
          <w:szCs w:val="22"/>
          <w:lang w:val="fr-FR"/>
        </w:rPr>
      </w:pPr>
      <w:r w:rsidRPr="001A1C71">
        <w:rPr>
          <w:i/>
          <w:iCs/>
          <w:sz w:val="22"/>
          <w:szCs w:val="22"/>
          <w:lang w:val="fr-FR"/>
        </w:rPr>
        <w:t>La Réunion des Parties </w:t>
      </w:r>
      <w:r w:rsidRPr="001A1C71">
        <w:rPr>
          <w:sz w:val="22"/>
          <w:szCs w:val="22"/>
          <w:lang w:val="fr-FR"/>
        </w:rPr>
        <w:t>:</w:t>
      </w:r>
    </w:p>
    <w:p w:rsidR="000944DE" w:rsidRPr="001A1C71" w:rsidRDefault="000944DE" w:rsidP="008C04CB">
      <w:pPr>
        <w:jc w:val="both"/>
        <w:rPr>
          <w:sz w:val="22"/>
          <w:szCs w:val="22"/>
          <w:lang w:val="fr-FR"/>
        </w:rPr>
      </w:pPr>
    </w:p>
    <w:p w:rsidR="000944DE" w:rsidRPr="001A1C71" w:rsidRDefault="000944DE" w:rsidP="00286D6A">
      <w:pPr>
        <w:jc w:val="both"/>
        <w:rPr>
          <w:sz w:val="22"/>
          <w:szCs w:val="22"/>
          <w:lang w:val="fr-FR"/>
        </w:rPr>
      </w:pPr>
      <w:bookmarkStart w:id="0" w:name="OLE_LINK1"/>
      <w:bookmarkStart w:id="1" w:name="OLE_LINK2"/>
      <w:r w:rsidRPr="001A1C71">
        <w:rPr>
          <w:sz w:val="22"/>
          <w:szCs w:val="22"/>
          <w:lang w:val="fr-FR"/>
        </w:rPr>
        <w:t>1.</w:t>
      </w:r>
      <w:r w:rsidRPr="001A1C71">
        <w:rPr>
          <w:i/>
          <w:iCs/>
          <w:sz w:val="22"/>
          <w:szCs w:val="22"/>
          <w:lang w:val="fr-FR"/>
        </w:rPr>
        <w:tab/>
        <w:t>Prend note avec satisfaction</w:t>
      </w:r>
      <w:r w:rsidRPr="001A1C71">
        <w:rPr>
          <w:sz w:val="22"/>
          <w:szCs w:val="22"/>
          <w:lang w:val="fr-FR"/>
        </w:rPr>
        <w:t xml:space="preserve"> des résultats du </w:t>
      </w:r>
      <w:r w:rsidRPr="001A1C71">
        <w:rPr>
          <w:i/>
          <w:iCs/>
          <w:sz w:val="22"/>
          <w:szCs w:val="22"/>
          <w:lang w:val="fr-FR"/>
        </w:rPr>
        <w:t xml:space="preserve">Projet WOW </w:t>
      </w:r>
      <w:r w:rsidRPr="001A1C71">
        <w:rPr>
          <w:iCs/>
          <w:sz w:val="22"/>
          <w:szCs w:val="22"/>
          <w:lang w:val="fr-FR"/>
        </w:rPr>
        <w:t>aux partenaires multiples</w:t>
      </w:r>
      <w:r w:rsidRPr="001A1C71">
        <w:rPr>
          <w:i/>
          <w:iCs/>
          <w:sz w:val="22"/>
          <w:szCs w:val="22"/>
          <w:lang w:val="fr-FR"/>
        </w:rPr>
        <w:t>,</w:t>
      </w:r>
      <w:r w:rsidRPr="001A1C71">
        <w:rPr>
          <w:sz w:val="22"/>
          <w:szCs w:val="22"/>
          <w:lang w:val="fr-FR"/>
        </w:rPr>
        <w:t xml:space="preserve"> tout particulièrement le développement de l’Outil Réseau de sites critiques (CSN), le Kit de formation Voie de migration (FTK) et les nombreux résultats obtenus au niveau national et à celui des sites à travers les Projets de démonstration</w:t>
      </w:r>
      <w:r w:rsidR="00A8630C" w:rsidRPr="001A1C71">
        <w:rPr>
          <w:sz w:val="22"/>
          <w:szCs w:val="22"/>
          <w:lang w:val="fr-FR"/>
        </w:rPr>
        <w:t> ;</w:t>
      </w:r>
      <w:r w:rsidRPr="001A1C71">
        <w:rPr>
          <w:sz w:val="22"/>
          <w:szCs w:val="22"/>
          <w:lang w:val="fr-FR"/>
        </w:rPr>
        <w:t xml:space="preserve"> </w:t>
      </w:r>
    </w:p>
    <w:bookmarkEnd w:id="0"/>
    <w:bookmarkEnd w:id="1"/>
    <w:p w:rsidR="000944DE" w:rsidRPr="001A1C71" w:rsidRDefault="000944DE" w:rsidP="00286D6A">
      <w:pPr>
        <w:pStyle w:val="BodyText3"/>
        <w:spacing w:after="0"/>
        <w:jc w:val="both"/>
        <w:rPr>
          <w:sz w:val="22"/>
          <w:szCs w:val="22"/>
          <w:lang w:val="fr-FR"/>
        </w:rPr>
      </w:pPr>
    </w:p>
    <w:p w:rsidR="000944DE" w:rsidRPr="001A1C71" w:rsidRDefault="000944DE" w:rsidP="00286D6A">
      <w:pPr>
        <w:pStyle w:val="BodyText3"/>
        <w:spacing w:after="0"/>
        <w:jc w:val="both"/>
        <w:rPr>
          <w:sz w:val="22"/>
          <w:szCs w:val="22"/>
          <w:lang w:val="fr-FR"/>
        </w:rPr>
      </w:pPr>
      <w:r w:rsidRPr="001A1C71">
        <w:rPr>
          <w:sz w:val="22"/>
          <w:szCs w:val="22"/>
          <w:lang w:val="fr-FR"/>
        </w:rPr>
        <w:t>2.</w:t>
      </w:r>
      <w:r w:rsidRPr="001A1C71">
        <w:rPr>
          <w:sz w:val="22"/>
          <w:szCs w:val="22"/>
          <w:lang w:val="fr-FR"/>
        </w:rPr>
        <w:tab/>
      </w:r>
      <w:r w:rsidRPr="001A1C71">
        <w:rPr>
          <w:i/>
          <w:iCs/>
          <w:sz w:val="22"/>
          <w:szCs w:val="22"/>
          <w:lang w:val="fr-FR"/>
        </w:rPr>
        <w:t xml:space="preserve">Exhorte </w:t>
      </w:r>
      <w:r w:rsidRPr="001A1C71">
        <w:rPr>
          <w:iCs/>
          <w:sz w:val="22"/>
          <w:szCs w:val="22"/>
          <w:lang w:val="fr-FR"/>
        </w:rPr>
        <w:t>les Par</w:t>
      </w:r>
      <w:r w:rsidRPr="001A1C71">
        <w:rPr>
          <w:sz w:val="22"/>
          <w:szCs w:val="22"/>
          <w:lang w:val="fr-FR"/>
        </w:rPr>
        <w:t xml:space="preserve">ties contractantes à faire un plus grand usage des produits du </w:t>
      </w:r>
      <w:r w:rsidRPr="001A1C71">
        <w:rPr>
          <w:i/>
          <w:iCs/>
          <w:sz w:val="22"/>
          <w:szCs w:val="22"/>
          <w:lang w:val="fr-FR"/>
        </w:rPr>
        <w:t>Projet WOW</w:t>
      </w:r>
      <w:r w:rsidRPr="001A1C71">
        <w:rPr>
          <w:iCs/>
          <w:sz w:val="22"/>
          <w:szCs w:val="22"/>
          <w:lang w:val="fr-FR"/>
        </w:rPr>
        <w:t xml:space="preserve">, en particulier de l’Outil </w:t>
      </w:r>
      <w:r w:rsidRPr="001A1C71">
        <w:rPr>
          <w:sz w:val="22"/>
          <w:szCs w:val="22"/>
          <w:lang w:val="fr-FR"/>
        </w:rPr>
        <w:t xml:space="preserve">CSN et du Kit de formation Voie de migration pour soutenir la conservation des oiseaux d’eau migrateurs et les efforts de formation et de renforcement de capacité dans toute la région d’Afrique-Eurasie, et de faire part au Secrétariat de tous les besoins spécifiques relatifs </w:t>
      </w:r>
      <w:r w:rsidR="00A8630C" w:rsidRPr="001A1C71">
        <w:rPr>
          <w:sz w:val="22"/>
          <w:szCs w:val="22"/>
          <w:lang w:val="fr-FR"/>
        </w:rPr>
        <w:t>à l’utilisation de ces produits ;</w:t>
      </w:r>
    </w:p>
    <w:p w:rsidR="000944DE" w:rsidRPr="001A1C71" w:rsidRDefault="000944DE" w:rsidP="00286D6A">
      <w:pPr>
        <w:pStyle w:val="BodyText3"/>
        <w:spacing w:after="0"/>
        <w:jc w:val="both"/>
        <w:rPr>
          <w:sz w:val="22"/>
          <w:szCs w:val="22"/>
          <w:lang w:val="fr-FR"/>
        </w:rPr>
      </w:pPr>
    </w:p>
    <w:p w:rsidR="000944DE" w:rsidRPr="001A1C71" w:rsidRDefault="000944DE" w:rsidP="00286D6A">
      <w:pPr>
        <w:pStyle w:val="BodyText3"/>
        <w:spacing w:after="0"/>
        <w:jc w:val="both"/>
        <w:rPr>
          <w:sz w:val="22"/>
          <w:szCs w:val="22"/>
          <w:lang w:val="fr-FR"/>
        </w:rPr>
      </w:pPr>
      <w:r w:rsidRPr="001A1C71">
        <w:rPr>
          <w:sz w:val="22"/>
          <w:szCs w:val="22"/>
          <w:lang w:val="fr-FR"/>
        </w:rPr>
        <w:t>3.</w:t>
      </w:r>
      <w:r w:rsidRPr="001A1C71">
        <w:rPr>
          <w:sz w:val="22"/>
          <w:szCs w:val="22"/>
          <w:lang w:val="fr-FR"/>
        </w:rPr>
        <w:tab/>
      </w:r>
      <w:r w:rsidRPr="001A1C71">
        <w:rPr>
          <w:i/>
          <w:iCs/>
          <w:sz w:val="22"/>
          <w:szCs w:val="22"/>
          <w:lang w:val="fr-FR"/>
        </w:rPr>
        <w:t xml:space="preserve">Invite </w:t>
      </w:r>
      <w:r w:rsidRPr="001A1C71">
        <w:rPr>
          <w:iCs/>
          <w:sz w:val="22"/>
          <w:szCs w:val="22"/>
          <w:lang w:val="fr-FR"/>
        </w:rPr>
        <w:t>les i</w:t>
      </w:r>
      <w:r w:rsidRPr="001A1C71">
        <w:rPr>
          <w:sz w:val="22"/>
          <w:szCs w:val="22"/>
          <w:lang w:val="fr-FR"/>
        </w:rPr>
        <w:t>nstitutions régiona</w:t>
      </w:r>
      <w:r w:rsidR="00CE0946" w:rsidRPr="001A1C71">
        <w:rPr>
          <w:sz w:val="22"/>
          <w:szCs w:val="22"/>
          <w:lang w:val="fr-FR"/>
        </w:rPr>
        <w:t>les</w:t>
      </w:r>
      <w:r w:rsidR="007A2281" w:rsidRPr="001A1C71">
        <w:rPr>
          <w:sz w:val="22"/>
          <w:szCs w:val="22"/>
          <w:lang w:val="fr-FR"/>
        </w:rPr>
        <w:t xml:space="preserve"> et </w:t>
      </w:r>
      <w:proofErr w:type="spellStart"/>
      <w:r w:rsidR="007A2281" w:rsidRPr="001A1C71">
        <w:rPr>
          <w:sz w:val="22"/>
          <w:szCs w:val="22"/>
          <w:lang w:val="fr-FR"/>
        </w:rPr>
        <w:t>sous-régiona</w:t>
      </w:r>
      <w:r w:rsidR="00CE0946" w:rsidRPr="001A1C71">
        <w:rPr>
          <w:sz w:val="22"/>
          <w:szCs w:val="22"/>
          <w:lang w:val="fr-FR"/>
        </w:rPr>
        <w:t>les</w:t>
      </w:r>
      <w:proofErr w:type="spellEnd"/>
      <w:r w:rsidRPr="001A1C71">
        <w:rPr>
          <w:sz w:val="22"/>
          <w:szCs w:val="22"/>
          <w:lang w:val="fr-FR"/>
        </w:rPr>
        <w:t xml:space="preserve"> </w:t>
      </w:r>
      <w:r w:rsidR="00A90607" w:rsidRPr="001A1C71">
        <w:rPr>
          <w:sz w:val="22"/>
          <w:szCs w:val="22"/>
          <w:lang w:val="fr-FR"/>
        </w:rPr>
        <w:t>pertinent</w:t>
      </w:r>
      <w:r w:rsidR="00CE0946" w:rsidRPr="001A1C71">
        <w:rPr>
          <w:sz w:val="22"/>
          <w:szCs w:val="22"/>
          <w:lang w:val="fr-FR"/>
        </w:rPr>
        <w:t>e</w:t>
      </w:r>
      <w:r w:rsidR="00A90607" w:rsidRPr="001A1C71">
        <w:rPr>
          <w:sz w:val="22"/>
          <w:szCs w:val="22"/>
          <w:lang w:val="fr-FR"/>
        </w:rPr>
        <w:t xml:space="preserve">s </w:t>
      </w:r>
      <w:r w:rsidR="006B7648" w:rsidRPr="001A1C71">
        <w:rPr>
          <w:sz w:val="22"/>
          <w:szCs w:val="22"/>
          <w:lang w:val="fr-FR"/>
        </w:rPr>
        <w:t xml:space="preserve">et les forums </w:t>
      </w:r>
      <w:r w:rsidRPr="001A1C71">
        <w:rPr>
          <w:sz w:val="22"/>
          <w:szCs w:val="22"/>
          <w:lang w:val="fr-FR"/>
        </w:rPr>
        <w:t xml:space="preserve">tels que </w:t>
      </w:r>
      <w:r w:rsidR="00A90607" w:rsidRPr="001A1C71">
        <w:rPr>
          <w:sz w:val="22"/>
          <w:szCs w:val="22"/>
          <w:lang w:val="fr-FR"/>
        </w:rPr>
        <w:t>l’Union africaine</w:t>
      </w:r>
      <w:r w:rsidR="007A2281" w:rsidRPr="001A1C71">
        <w:rPr>
          <w:sz w:val="22"/>
          <w:szCs w:val="22"/>
          <w:lang w:val="fr-FR"/>
        </w:rPr>
        <w:t>, le Forum des programmes régionaux de conservation marin</w:t>
      </w:r>
      <w:r w:rsidR="006B7648" w:rsidRPr="001A1C71">
        <w:rPr>
          <w:sz w:val="22"/>
          <w:szCs w:val="22"/>
          <w:lang w:val="fr-FR"/>
        </w:rPr>
        <w:t>e</w:t>
      </w:r>
      <w:r w:rsidR="007A2281" w:rsidRPr="001A1C71">
        <w:rPr>
          <w:sz w:val="22"/>
          <w:szCs w:val="22"/>
          <w:lang w:val="fr-FR"/>
        </w:rPr>
        <w:t xml:space="preserve"> et côti</w:t>
      </w:r>
      <w:r w:rsidR="006B7648" w:rsidRPr="001A1C71">
        <w:rPr>
          <w:sz w:val="22"/>
          <w:szCs w:val="22"/>
          <w:lang w:val="fr-FR"/>
        </w:rPr>
        <w:t>è</w:t>
      </w:r>
      <w:r w:rsidR="007A2281" w:rsidRPr="001A1C71">
        <w:rPr>
          <w:sz w:val="22"/>
          <w:szCs w:val="22"/>
          <w:lang w:val="fr-FR"/>
        </w:rPr>
        <w:t>r</w:t>
      </w:r>
      <w:r w:rsidR="006B7648" w:rsidRPr="001A1C71">
        <w:rPr>
          <w:sz w:val="22"/>
          <w:szCs w:val="22"/>
          <w:lang w:val="fr-FR"/>
        </w:rPr>
        <w:t>e en Afrique de l’Ouest</w:t>
      </w:r>
      <w:r w:rsidR="007A2281" w:rsidRPr="001A1C71">
        <w:rPr>
          <w:sz w:val="22"/>
          <w:szCs w:val="22"/>
          <w:lang w:val="fr-FR"/>
        </w:rPr>
        <w:t>, le Réseau régional des aires marines protégée</w:t>
      </w:r>
      <w:r w:rsidR="00CE0946" w:rsidRPr="001A1C71">
        <w:rPr>
          <w:sz w:val="22"/>
          <w:szCs w:val="22"/>
          <w:lang w:val="fr-FR"/>
        </w:rPr>
        <w:t>s</w:t>
      </w:r>
      <w:r w:rsidR="007A2281" w:rsidRPr="001A1C71">
        <w:rPr>
          <w:sz w:val="22"/>
          <w:szCs w:val="22"/>
          <w:lang w:val="fr-FR"/>
        </w:rPr>
        <w:t xml:space="preserve"> </w:t>
      </w:r>
      <w:r w:rsidR="006B7648" w:rsidRPr="001A1C71">
        <w:rPr>
          <w:sz w:val="22"/>
          <w:szCs w:val="22"/>
          <w:lang w:val="fr-FR"/>
        </w:rPr>
        <w:t xml:space="preserve">en Afrique de l’Ouest, </w:t>
      </w:r>
      <w:r w:rsidRPr="001A1C71">
        <w:rPr>
          <w:sz w:val="22"/>
          <w:szCs w:val="22"/>
          <w:lang w:val="fr-FR"/>
        </w:rPr>
        <w:t>à prendre en considération l’utilisation de l’Outil CSN en tant que moyen pour intégrer la conservation des oiseaux d’eau à l’échelle de la voie de migration à la planification et aux prises de décisions au niveau régional</w:t>
      </w:r>
      <w:r w:rsidR="00A8630C" w:rsidRPr="001A1C71">
        <w:rPr>
          <w:sz w:val="22"/>
          <w:szCs w:val="22"/>
          <w:lang w:val="fr-FR"/>
        </w:rPr>
        <w:t> ;</w:t>
      </w:r>
    </w:p>
    <w:p w:rsidR="000944DE" w:rsidRPr="001A1C71" w:rsidRDefault="000944DE" w:rsidP="00286D6A">
      <w:pPr>
        <w:pStyle w:val="BodyText3"/>
        <w:spacing w:after="0"/>
        <w:jc w:val="both"/>
        <w:rPr>
          <w:sz w:val="22"/>
          <w:szCs w:val="22"/>
          <w:lang w:val="fr-FR"/>
        </w:rPr>
      </w:pPr>
    </w:p>
    <w:p w:rsidR="000944DE" w:rsidRPr="001A1C71" w:rsidRDefault="000944DE" w:rsidP="00286D6A">
      <w:pPr>
        <w:jc w:val="both"/>
        <w:rPr>
          <w:sz w:val="22"/>
          <w:szCs w:val="22"/>
          <w:lang w:val="fr-FR"/>
        </w:rPr>
      </w:pPr>
      <w:r w:rsidRPr="001A1C71">
        <w:rPr>
          <w:lang w:val="fr-FR"/>
        </w:rPr>
        <w:t>4.</w:t>
      </w:r>
      <w:r w:rsidRPr="001A1C71">
        <w:rPr>
          <w:lang w:val="fr-FR"/>
        </w:rPr>
        <w:tab/>
      </w:r>
      <w:r w:rsidRPr="001A1C71">
        <w:rPr>
          <w:i/>
          <w:sz w:val="22"/>
          <w:szCs w:val="22"/>
          <w:lang w:val="fr-FR"/>
        </w:rPr>
        <w:t>Incite fortement</w:t>
      </w:r>
      <w:r w:rsidRPr="001A1C71">
        <w:rPr>
          <w:sz w:val="22"/>
          <w:szCs w:val="22"/>
          <w:lang w:val="fr-FR"/>
        </w:rPr>
        <w:t xml:space="preserve"> le FEM à</w:t>
      </w:r>
      <w:r w:rsidR="006B5FEB" w:rsidRPr="001A1C71">
        <w:rPr>
          <w:sz w:val="22"/>
          <w:szCs w:val="22"/>
          <w:lang w:val="fr-FR"/>
        </w:rPr>
        <w:t xml:space="preserve"> continuer de </w:t>
      </w:r>
      <w:r w:rsidRPr="001A1C71">
        <w:rPr>
          <w:sz w:val="22"/>
          <w:szCs w:val="22"/>
          <w:lang w:val="fr-FR"/>
        </w:rPr>
        <w:t xml:space="preserve"> reconnaitre</w:t>
      </w:r>
      <w:r w:rsidR="00A90607" w:rsidRPr="001A1C71">
        <w:rPr>
          <w:sz w:val="22"/>
          <w:szCs w:val="22"/>
          <w:lang w:val="fr-FR"/>
        </w:rPr>
        <w:t xml:space="preserve"> </w:t>
      </w:r>
      <w:r w:rsidRPr="001A1C71">
        <w:rPr>
          <w:sz w:val="22"/>
          <w:szCs w:val="22"/>
          <w:lang w:val="fr-FR"/>
        </w:rPr>
        <w:t>l’importance des initiatives à l’échelle de la voie de migration tel que le WOW, et à s’efforcer de financer et de soutenir d</w:t>
      </w:r>
      <w:r w:rsidR="006B3B65" w:rsidRPr="001A1C71">
        <w:rPr>
          <w:sz w:val="22"/>
          <w:szCs w:val="22"/>
          <w:lang w:val="fr-FR"/>
        </w:rPr>
        <w:t xml:space="preserve">’autres </w:t>
      </w:r>
      <w:r w:rsidRPr="001A1C71">
        <w:rPr>
          <w:sz w:val="22"/>
          <w:szCs w:val="22"/>
          <w:lang w:val="fr-FR"/>
        </w:rPr>
        <w:t xml:space="preserve">initiatives internationales au niveau de la voie de migration dans le cadre </w:t>
      </w:r>
      <w:r w:rsidR="00A8630C" w:rsidRPr="001A1C71">
        <w:rPr>
          <w:sz w:val="22"/>
          <w:szCs w:val="22"/>
          <w:lang w:val="fr-FR"/>
        </w:rPr>
        <w:t>de la zone de l’AEWA et au-delà ;</w:t>
      </w:r>
    </w:p>
    <w:p w:rsidR="000944DE" w:rsidRPr="001A1C71" w:rsidRDefault="000944DE" w:rsidP="00286D6A">
      <w:pPr>
        <w:jc w:val="both"/>
        <w:rPr>
          <w:sz w:val="22"/>
          <w:szCs w:val="22"/>
          <w:lang w:val="fr-FR"/>
        </w:rPr>
      </w:pPr>
    </w:p>
    <w:p w:rsidR="000944DE" w:rsidRPr="001A1C71" w:rsidRDefault="000944DE" w:rsidP="00286D6A">
      <w:pPr>
        <w:jc w:val="both"/>
        <w:rPr>
          <w:sz w:val="22"/>
          <w:szCs w:val="22"/>
          <w:lang w:val="fr-FR"/>
        </w:rPr>
      </w:pPr>
      <w:r w:rsidRPr="001A1C71">
        <w:rPr>
          <w:sz w:val="22"/>
          <w:szCs w:val="22"/>
          <w:lang w:val="fr-FR"/>
        </w:rPr>
        <w:t>5.</w:t>
      </w:r>
      <w:r w:rsidRPr="001A1C71">
        <w:rPr>
          <w:sz w:val="22"/>
          <w:szCs w:val="22"/>
          <w:lang w:val="fr-FR"/>
        </w:rPr>
        <w:tab/>
      </w:r>
      <w:r w:rsidRPr="001A1C71">
        <w:rPr>
          <w:i/>
          <w:sz w:val="22"/>
          <w:szCs w:val="22"/>
          <w:lang w:val="fr-FR"/>
        </w:rPr>
        <w:t>Exhorte</w:t>
      </w:r>
      <w:r w:rsidRPr="001A1C71">
        <w:rPr>
          <w:sz w:val="22"/>
          <w:szCs w:val="22"/>
          <w:lang w:val="fr-FR"/>
        </w:rPr>
        <w:t xml:space="preserve"> les Parties contractantes, les donateurs et les sponsors du secteur privé à fournir une aide financière destinée à l’entretien et à l’amélioration de l’Outil CSN, à faire un plus grand usage du FTK, et à permettre le développement et la mise en œuvre de nouveaux projets et initiatives à l’échelle de la voie de migration qui s’appuieront sur les outils et les résultats du </w:t>
      </w:r>
      <w:r w:rsidRPr="001A1C71">
        <w:rPr>
          <w:i/>
          <w:sz w:val="22"/>
          <w:szCs w:val="22"/>
          <w:lang w:val="fr-FR"/>
        </w:rPr>
        <w:t>Projet WOW</w:t>
      </w:r>
      <w:r w:rsidR="00A8630C" w:rsidRPr="001A1C71">
        <w:rPr>
          <w:i/>
          <w:sz w:val="22"/>
          <w:szCs w:val="22"/>
          <w:lang w:val="fr-FR"/>
        </w:rPr>
        <w:t> </w:t>
      </w:r>
      <w:r w:rsidR="00A8630C" w:rsidRPr="001A1C71">
        <w:rPr>
          <w:sz w:val="22"/>
          <w:szCs w:val="22"/>
          <w:lang w:val="fr-FR"/>
        </w:rPr>
        <w:t>;</w:t>
      </w:r>
      <w:r w:rsidR="006B3B65" w:rsidRPr="001A1C71">
        <w:rPr>
          <w:sz w:val="22"/>
          <w:szCs w:val="22"/>
          <w:lang w:val="fr-FR"/>
        </w:rPr>
        <w:t xml:space="preserve"> </w:t>
      </w:r>
    </w:p>
    <w:p w:rsidR="000944DE" w:rsidRPr="001A1C71" w:rsidRDefault="000944DE" w:rsidP="00286D6A">
      <w:pPr>
        <w:jc w:val="both"/>
        <w:rPr>
          <w:sz w:val="22"/>
          <w:szCs w:val="22"/>
          <w:lang w:val="fr-FR"/>
        </w:rPr>
      </w:pPr>
    </w:p>
    <w:p w:rsidR="000944DE" w:rsidRPr="001A1C71" w:rsidRDefault="000944DE" w:rsidP="00286D6A">
      <w:pPr>
        <w:jc w:val="both"/>
        <w:rPr>
          <w:sz w:val="22"/>
          <w:szCs w:val="22"/>
          <w:lang w:val="fr-FR"/>
        </w:rPr>
      </w:pPr>
      <w:r w:rsidRPr="001A1C71">
        <w:rPr>
          <w:sz w:val="22"/>
          <w:szCs w:val="22"/>
          <w:lang w:val="fr-FR"/>
        </w:rPr>
        <w:t>6.</w:t>
      </w:r>
      <w:r w:rsidRPr="001A1C71">
        <w:rPr>
          <w:sz w:val="22"/>
          <w:szCs w:val="22"/>
          <w:lang w:val="fr-FR"/>
        </w:rPr>
        <w:tab/>
      </w:r>
      <w:r w:rsidRPr="001A1C71">
        <w:rPr>
          <w:i/>
          <w:sz w:val="22"/>
          <w:szCs w:val="22"/>
          <w:lang w:val="fr-FR"/>
        </w:rPr>
        <w:t>Charge</w:t>
      </w:r>
      <w:r w:rsidRPr="001A1C71">
        <w:rPr>
          <w:sz w:val="22"/>
          <w:szCs w:val="22"/>
          <w:lang w:val="fr-FR"/>
        </w:rPr>
        <w:t xml:space="preserve"> le Secrétariat de l’Accord de participer activement au « Partenariat pour la conservation des oiseaux d’eau migrateurs et de leurs habitats (</w:t>
      </w:r>
      <w:proofErr w:type="spellStart"/>
      <w:r w:rsidRPr="001A1C71">
        <w:rPr>
          <w:sz w:val="22"/>
          <w:szCs w:val="22"/>
          <w:lang w:val="fr-FR"/>
        </w:rPr>
        <w:t>Wings</w:t>
      </w:r>
      <w:proofErr w:type="spellEnd"/>
      <w:r w:rsidRPr="001A1C71">
        <w:rPr>
          <w:sz w:val="22"/>
          <w:szCs w:val="22"/>
          <w:lang w:val="fr-FR"/>
        </w:rPr>
        <w:t xml:space="preserve"> Over </w:t>
      </w:r>
      <w:proofErr w:type="spellStart"/>
      <w:r w:rsidRPr="001A1C71">
        <w:rPr>
          <w:sz w:val="22"/>
          <w:szCs w:val="22"/>
          <w:lang w:val="fr-FR"/>
        </w:rPr>
        <w:t>Wetlands</w:t>
      </w:r>
      <w:proofErr w:type="spellEnd"/>
      <w:r w:rsidRPr="001A1C71">
        <w:rPr>
          <w:sz w:val="22"/>
          <w:szCs w:val="22"/>
          <w:lang w:val="fr-FR"/>
        </w:rPr>
        <w:t>) », travaillant avec ses partenaires pour continuer à avancer</w:t>
      </w:r>
      <w:r w:rsidR="001643E7" w:rsidRPr="001A1C71">
        <w:rPr>
          <w:sz w:val="22"/>
          <w:szCs w:val="22"/>
          <w:lang w:val="fr-FR"/>
        </w:rPr>
        <w:t xml:space="preserve"> et</w:t>
      </w:r>
      <w:r w:rsidRPr="001A1C71">
        <w:rPr>
          <w:sz w:val="22"/>
          <w:szCs w:val="22"/>
          <w:lang w:val="fr-FR"/>
        </w:rPr>
        <w:t xml:space="preserve"> promouvoir l’utilisation et </w:t>
      </w:r>
      <w:r w:rsidR="001643E7" w:rsidRPr="001A1C71">
        <w:rPr>
          <w:sz w:val="22"/>
          <w:szCs w:val="22"/>
          <w:lang w:val="fr-FR"/>
        </w:rPr>
        <w:t>à</w:t>
      </w:r>
      <w:r w:rsidRPr="001A1C71">
        <w:rPr>
          <w:sz w:val="22"/>
          <w:szCs w:val="22"/>
          <w:lang w:val="fr-FR"/>
        </w:rPr>
        <w:t xml:space="preserve"> développe</w:t>
      </w:r>
      <w:r w:rsidR="001643E7" w:rsidRPr="001A1C71">
        <w:rPr>
          <w:sz w:val="22"/>
          <w:szCs w:val="22"/>
          <w:lang w:val="fr-FR"/>
        </w:rPr>
        <w:t>r</w:t>
      </w:r>
      <w:r w:rsidRPr="001A1C71">
        <w:rPr>
          <w:sz w:val="22"/>
          <w:szCs w:val="22"/>
          <w:lang w:val="fr-FR"/>
        </w:rPr>
        <w:t xml:space="preserve"> </w:t>
      </w:r>
      <w:r w:rsidR="001643E7" w:rsidRPr="001A1C71">
        <w:rPr>
          <w:sz w:val="22"/>
          <w:szCs w:val="22"/>
          <w:lang w:val="fr-FR"/>
        </w:rPr>
        <w:t>davantage l</w:t>
      </w:r>
      <w:r w:rsidRPr="001A1C71">
        <w:rPr>
          <w:sz w:val="22"/>
          <w:szCs w:val="22"/>
          <w:lang w:val="fr-FR"/>
        </w:rPr>
        <w:t xml:space="preserve">es principaux outils élaborés dans le contexte du </w:t>
      </w:r>
      <w:r w:rsidRPr="001A1C71">
        <w:rPr>
          <w:i/>
          <w:sz w:val="22"/>
          <w:szCs w:val="22"/>
          <w:lang w:val="fr-FR"/>
        </w:rPr>
        <w:t>Projet WOW</w:t>
      </w:r>
      <w:r w:rsidRPr="001A1C71">
        <w:rPr>
          <w:sz w:val="22"/>
          <w:szCs w:val="22"/>
          <w:lang w:val="fr-FR"/>
        </w:rPr>
        <w:t xml:space="preserve">, et </w:t>
      </w:r>
      <w:r w:rsidRPr="001A1C71">
        <w:rPr>
          <w:i/>
          <w:sz w:val="22"/>
          <w:szCs w:val="22"/>
          <w:lang w:val="fr-FR"/>
        </w:rPr>
        <w:t>invite</w:t>
      </w:r>
      <w:r w:rsidRPr="001A1C71">
        <w:rPr>
          <w:sz w:val="22"/>
          <w:szCs w:val="22"/>
          <w:lang w:val="fr-FR"/>
        </w:rPr>
        <w:t xml:space="preserve"> le Partenariat à élaborer un plan de travail commun pour soutenir la mise en œuvre de ses propres objectifs </w:t>
      </w:r>
      <w:r w:rsidR="00CE0946" w:rsidRPr="001A1C71">
        <w:rPr>
          <w:sz w:val="22"/>
          <w:szCs w:val="22"/>
          <w:lang w:val="fr-FR"/>
        </w:rPr>
        <w:t xml:space="preserve">les harmonisant avec </w:t>
      </w:r>
      <w:r w:rsidRPr="001A1C71">
        <w:rPr>
          <w:sz w:val="22"/>
          <w:szCs w:val="22"/>
          <w:lang w:val="fr-FR"/>
        </w:rPr>
        <w:t>les résolutions de la MOP qui s’y rapportent</w:t>
      </w:r>
      <w:r w:rsidR="00A8630C" w:rsidRPr="001A1C71">
        <w:rPr>
          <w:sz w:val="22"/>
          <w:szCs w:val="22"/>
          <w:lang w:val="fr-FR"/>
        </w:rPr>
        <w:t> ;</w:t>
      </w:r>
    </w:p>
    <w:p w:rsidR="000944DE" w:rsidRPr="001A1C71" w:rsidRDefault="000944DE" w:rsidP="008C04CB">
      <w:pPr>
        <w:jc w:val="both"/>
        <w:rPr>
          <w:sz w:val="22"/>
          <w:szCs w:val="22"/>
          <w:lang w:val="fr-FR"/>
        </w:rPr>
      </w:pPr>
    </w:p>
    <w:p w:rsidR="006B3B65" w:rsidRPr="001A1C71" w:rsidRDefault="000944DE" w:rsidP="005701B3">
      <w:pPr>
        <w:jc w:val="both"/>
        <w:rPr>
          <w:i/>
          <w:iCs/>
          <w:sz w:val="22"/>
          <w:szCs w:val="22"/>
          <w:lang w:val="fr-FR"/>
        </w:rPr>
      </w:pPr>
      <w:r w:rsidRPr="001A1C71">
        <w:rPr>
          <w:sz w:val="22"/>
          <w:szCs w:val="22"/>
          <w:lang w:val="fr-FR"/>
        </w:rPr>
        <w:t>7.</w:t>
      </w:r>
      <w:r w:rsidRPr="001A1C71">
        <w:rPr>
          <w:i/>
          <w:iCs/>
          <w:sz w:val="22"/>
          <w:szCs w:val="22"/>
          <w:lang w:val="fr-FR"/>
        </w:rPr>
        <w:tab/>
      </w:r>
      <w:r w:rsidR="006B3B65" w:rsidRPr="001A1C71">
        <w:rPr>
          <w:i/>
          <w:iCs/>
          <w:sz w:val="22"/>
          <w:szCs w:val="22"/>
          <w:lang w:val="fr-FR"/>
        </w:rPr>
        <w:t xml:space="preserve">Souligne </w:t>
      </w:r>
      <w:r w:rsidR="006B3B65" w:rsidRPr="001A1C71">
        <w:rPr>
          <w:iCs/>
          <w:sz w:val="22"/>
          <w:szCs w:val="22"/>
          <w:lang w:val="fr-FR"/>
        </w:rPr>
        <w:t xml:space="preserve">le bénéfice mutuel d’intégrer les activités de suivi du </w:t>
      </w:r>
      <w:r w:rsidR="006B5FEB" w:rsidRPr="001A1C71">
        <w:rPr>
          <w:iCs/>
          <w:sz w:val="22"/>
          <w:szCs w:val="22"/>
          <w:lang w:val="fr-FR"/>
        </w:rPr>
        <w:t>P</w:t>
      </w:r>
      <w:r w:rsidR="006B3B65" w:rsidRPr="001A1C71">
        <w:rPr>
          <w:iCs/>
          <w:sz w:val="22"/>
          <w:szCs w:val="22"/>
          <w:lang w:val="fr-FR"/>
        </w:rPr>
        <w:t>rojet WOW dans le cadre de l’</w:t>
      </w:r>
      <w:r w:rsidR="006B5FEB" w:rsidRPr="001A1C71">
        <w:rPr>
          <w:iCs/>
          <w:sz w:val="22"/>
          <w:szCs w:val="22"/>
          <w:lang w:val="fr-FR"/>
        </w:rPr>
        <w:t>I</w:t>
      </w:r>
      <w:r w:rsidR="006B3B65" w:rsidRPr="001A1C71">
        <w:rPr>
          <w:iCs/>
          <w:sz w:val="22"/>
          <w:szCs w:val="22"/>
          <w:lang w:val="fr-FR"/>
        </w:rPr>
        <w:t xml:space="preserve">nitiative africaine </w:t>
      </w:r>
      <w:r w:rsidR="00B33656" w:rsidRPr="001A1C71">
        <w:rPr>
          <w:iCs/>
          <w:sz w:val="22"/>
          <w:szCs w:val="22"/>
          <w:lang w:val="fr-FR"/>
        </w:rPr>
        <w:t>afin de gérer les questions pertinentes au sein d’un processus commun</w:t>
      </w:r>
      <w:r w:rsidR="000E417D" w:rsidRPr="001A1C71">
        <w:rPr>
          <w:iCs/>
          <w:sz w:val="22"/>
          <w:szCs w:val="22"/>
          <w:lang w:val="fr-FR"/>
        </w:rPr>
        <w:t> ;</w:t>
      </w:r>
    </w:p>
    <w:p w:rsidR="006B3B65" w:rsidRPr="001A1C71" w:rsidRDefault="006B3B65" w:rsidP="005701B3">
      <w:pPr>
        <w:jc w:val="both"/>
        <w:rPr>
          <w:i/>
          <w:iCs/>
          <w:sz w:val="22"/>
          <w:szCs w:val="22"/>
          <w:lang w:val="fr-FR"/>
        </w:rPr>
      </w:pPr>
    </w:p>
    <w:p w:rsidR="000944DE" w:rsidRPr="006D2F69" w:rsidRDefault="006B3B65" w:rsidP="005701B3">
      <w:pPr>
        <w:jc w:val="both"/>
        <w:rPr>
          <w:sz w:val="22"/>
          <w:szCs w:val="22"/>
          <w:lang w:val="fr-FR"/>
        </w:rPr>
      </w:pPr>
      <w:r w:rsidRPr="00E90ECB">
        <w:rPr>
          <w:iCs/>
          <w:sz w:val="22"/>
          <w:szCs w:val="22"/>
          <w:lang w:val="fr-FR"/>
        </w:rPr>
        <w:t>8.</w:t>
      </w:r>
      <w:r w:rsidRPr="001A1C71">
        <w:rPr>
          <w:i/>
          <w:iCs/>
          <w:sz w:val="22"/>
          <w:szCs w:val="22"/>
          <w:lang w:val="fr-FR"/>
        </w:rPr>
        <w:t xml:space="preserve"> </w:t>
      </w:r>
      <w:r w:rsidRPr="001A1C71">
        <w:rPr>
          <w:i/>
          <w:iCs/>
          <w:sz w:val="22"/>
          <w:szCs w:val="22"/>
          <w:lang w:val="fr-FR"/>
        </w:rPr>
        <w:tab/>
      </w:r>
      <w:r w:rsidR="000944DE" w:rsidRPr="001A1C71">
        <w:rPr>
          <w:i/>
          <w:sz w:val="22"/>
          <w:szCs w:val="22"/>
          <w:lang w:val="fr-FR"/>
        </w:rPr>
        <w:t>Charge</w:t>
      </w:r>
      <w:r w:rsidR="000944DE" w:rsidRPr="001A1C71">
        <w:rPr>
          <w:sz w:val="22"/>
          <w:szCs w:val="22"/>
          <w:lang w:val="fr-FR"/>
        </w:rPr>
        <w:t xml:space="preserve"> le Secrétariat de l’Accord de rendre compte de l’avancem</w:t>
      </w:r>
      <w:r w:rsidR="00E90ECB">
        <w:rPr>
          <w:sz w:val="22"/>
          <w:szCs w:val="22"/>
          <w:lang w:val="fr-FR"/>
        </w:rPr>
        <w:t>ent de cette activité à chaque R</w:t>
      </w:r>
      <w:bookmarkStart w:id="2" w:name="_GoBack"/>
      <w:bookmarkEnd w:id="2"/>
      <w:r w:rsidR="000944DE" w:rsidRPr="001A1C71">
        <w:rPr>
          <w:sz w:val="22"/>
          <w:szCs w:val="22"/>
          <w:lang w:val="fr-FR"/>
        </w:rPr>
        <w:t xml:space="preserve">éunion </w:t>
      </w:r>
      <w:r w:rsidR="00B33656" w:rsidRPr="001A1C71">
        <w:rPr>
          <w:sz w:val="22"/>
          <w:szCs w:val="22"/>
          <w:lang w:val="fr-FR"/>
        </w:rPr>
        <w:t>des Parties</w:t>
      </w:r>
      <w:r w:rsidR="008C7085" w:rsidRPr="001A1C71">
        <w:rPr>
          <w:sz w:val="22"/>
          <w:szCs w:val="22"/>
          <w:lang w:val="fr-FR"/>
        </w:rPr>
        <w:t>.</w:t>
      </w:r>
    </w:p>
    <w:sectPr w:rsidR="000944DE" w:rsidRPr="006D2F69" w:rsidSect="00286D6A">
      <w:footerReference w:type="default" r:id="rId8"/>
      <w:headerReference w:type="first" r:id="rId9"/>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19" w:rsidRDefault="00070019">
      <w:r>
        <w:separator/>
      </w:r>
    </w:p>
  </w:endnote>
  <w:endnote w:type="continuationSeparator" w:id="0">
    <w:p w:rsidR="00070019" w:rsidRDefault="0007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E7" w:rsidRPr="005701B3" w:rsidRDefault="001643E7">
    <w:pPr>
      <w:pStyle w:val="Footer"/>
      <w:jc w:val="center"/>
      <w:rPr>
        <w:sz w:val="20"/>
        <w:szCs w:val="20"/>
      </w:rPr>
    </w:pPr>
    <w:r w:rsidRPr="005701B3">
      <w:rPr>
        <w:sz w:val="20"/>
        <w:szCs w:val="20"/>
      </w:rPr>
      <w:fldChar w:fldCharType="begin"/>
    </w:r>
    <w:r w:rsidRPr="005701B3">
      <w:rPr>
        <w:sz w:val="20"/>
        <w:szCs w:val="20"/>
      </w:rPr>
      <w:instrText xml:space="preserve"> PAGE   \* MERGEFORMAT </w:instrText>
    </w:r>
    <w:r w:rsidRPr="005701B3">
      <w:rPr>
        <w:sz w:val="20"/>
        <w:szCs w:val="20"/>
      </w:rPr>
      <w:fldChar w:fldCharType="separate"/>
    </w:r>
    <w:r w:rsidR="00E90ECB">
      <w:rPr>
        <w:noProof/>
        <w:sz w:val="20"/>
        <w:szCs w:val="20"/>
      </w:rPr>
      <w:t>3</w:t>
    </w:r>
    <w:r w:rsidRPr="005701B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19" w:rsidRDefault="00070019">
      <w:r>
        <w:separator/>
      </w:r>
    </w:p>
  </w:footnote>
  <w:footnote w:type="continuationSeparator" w:id="0">
    <w:p w:rsidR="00070019" w:rsidRDefault="0007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D9" w:rsidRPr="007620D4" w:rsidRDefault="000954D9" w:rsidP="000954D9">
    <w:pPr>
      <w:rPr>
        <w:rStyle w:val="Emphasis"/>
      </w:rPr>
    </w:pPr>
  </w:p>
  <w:tbl>
    <w:tblPr>
      <w:tblW w:w="4923" w:type="pct"/>
      <w:tblLayout w:type="fixed"/>
      <w:tblLook w:val="0000" w:firstRow="0" w:lastRow="0" w:firstColumn="0" w:lastColumn="0" w:noHBand="0" w:noVBand="0"/>
    </w:tblPr>
    <w:tblGrid>
      <w:gridCol w:w="1525"/>
      <w:gridCol w:w="7231"/>
      <w:gridCol w:w="947"/>
    </w:tblGrid>
    <w:tr w:rsidR="000954D9" w:rsidRPr="001A1C71" w:rsidTr="00346B57">
      <w:trPr>
        <w:trHeight w:val="2164"/>
      </w:trPr>
      <w:tc>
        <w:tcPr>
          <w:tcW w:w="786" w:type="pct"/>
        </w:tcPr>
        <w:p w:rsidR="000954D9" w:rsidRDefault="000954D9" w:rsidP="00346B57">
          <w:pPr>
            <w:ind w:right="33"/>
          </w:pPr>
          <w:r>
            <w:rPr>
              <w:noProof/>
            </w:rPr>
            <w:drawing>
              <wp:anchor distT="0" distB="0" distL="114300" distR="114300" simplePos="0" relativeHeight="251660288" behindDoc="1" locked="0" layoutInCell="1" allowOverlap="1" wp14:anchorId="3539B988" wp14:editId="028F69E1">
                <wp:simplePos x="0" y="0"/>
                <wp:positionH relativeFrom="column">
                  <wp:posOffset>-72390</wp:posOffset>
                </wp:positionH>
                <wp:positionV relativeFrom="paragraph">
                  <wp:posOffset>6985</wp:posOffset>
                </wp:positionV>
                <wp:extent cx="982980" cy="819150"/>
                <wp:effectExtent l="0" t="0" r="7620" b="0"/>
                <wp:wrapTight wrapText="bothSides">
                  <wp:wrapPolygon edited="0">
                    <wp:start x="0" y="0"/>
                    <wp:lineTo x="0" y="21098"/>
                    <wp:lineTo x="21349" y="21098"/>
                    <wp:lineTo x="21349" y="0"/>
                    <wp:lineTo x="0" y="0"/>
                  </wp:wrapPolygon>
                </wp:wrapTight>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pct"/>
        </w:tcPr>
        <w:p w:rsidR="000954D9" w:rsidRPr="00C606E5" w:rsidRDefault="000954D9" w:rsidP="00346B57">
          <w:pPr>
            <w:tabs>
              <w:tab w:val="left" w:pos="2415"/>
            </w:tabs>
            <w:rPr>
              <w:i/>
              <w:caps/>
              <w:sz w:val="22"/>
              <w:szCs w:val="20"/>
              <w:lang w:val="fr-FR"/>
            </w:rPr>
          </w:pPr>
          <w:r>
            <w:rPr>
              <w:i/>
              <w:caps/>
              <w:sz w:val="22"/>
              <w:szCs w:val="20"/>
              <w:lang w:val="fr-FR"/>
            </w:rPr>
            <w:t xml:space="preserve">            </w:t>
          </w:r>
          <w:r w:rsidRPr="00C606E5">
            <w:rPr>
              <w:i/>
              <w:caps/>
              <w:sz w:val="22"/>
              <w:szCs w:val="20"/>
              <w:lang w:val="fr-FR"/>
            </w:rPr>
            <w:t xml:space="preserve">ACCORD SUR LA CONSERVATION DES OISEAUX </w:t>
          </w:r>
        </w:p>
        <w:p w:rsidR="000954D9" w:rsidRPr="007620D4" w:rsidRDefault="000954D9" w:rsidP="00346B57">
          <w:pPr>
            <w:tabs>
              <w:tab w:val="left" w:pos="2415"/>
            </w:tabs>
            <w:rPr>
              <w:i/>
              <w:caps/>
              <w:szCs w:val="22"/>
              <w:lang w:val="fr-FR"/>
            </w:rPr>
          </w:pPr>
          <w:r>
            <w:rPr>
              <w:i/>
              <w:caps/>
              <w:sz w:val="22"/>
              <w:szCs w:val="20"/>
              <w:lang w:val="fr-FR"/>
            </w:rPr>
            <w:t xml:space="preserve">                 </w:t>
          </w:r>
          <w:r w:rsidRPr="007620D4">
            <w:rPr>
              <w:i/>
              <w:caps/>
              <w:sz w:val="22"/>
              <w:szCs w:val="20"/>
              <w:lang w:val="fr-FR"/>
            </w:rPr>
            <w:t>D’eau migrateurs D’afrique-eurasie</w:t>
          </w:r>
        </w:p>
        <w:p w:rsidR="000954D9" w:rsidRPr="007620D4" w:rsidRDefault="000954D9" w:rsidP="00346B57">
          <w:pPr>
            <w:tabs>
              <w:tab w:val="left" w:pos="2415"/>
            </w:tabs>
            <w:jc w:val="center"/>
            <w:rPr>
              <w:i/>
              <w:caps/>
              <w:sz w:val="22"/>
              <w:szCs w:val="22"/>
              <w:lang w:val="fr-FR"/>
            </w:rPr>
          </w:pPr>
        </w:p>
        <w:p w:rsidR="000954D9" w:rsidRPr="007620D4" w:rsidRDefault="000954D9" w:rsidP="00346B57">
          <w:pPr>
            <w:tabs>
              <w:tab w:val="left" w:pos="2415"/>
            </w:tabs>
            <w:jc w:val="center"/>
            <w:rPr>
              <w:i/>
              <w:caps/>
              <w:sz w:val="22"/>
              <w:szCs w:val="22"/>
              <w:lang w:val="fr-FR"/>
            </w:rPr>
          </w:pPr>
        </w:p>
        <w:p w:rsidR="000954D9" w:rsidRDefault="000954D9" w:rsidP="00346B57">
          <w:pPr>
            <w:pStyle w:val="BodyText2"/>
            <w:rPr>
              <w:b/>
              <w:bCs/>
              <w:caps/>
              <w:szCs w:val="26"/>
              <w:lang w:val="fr-FR"/>
            </w:rPr>
          </w:pPr>
          <w:r>
            <w:rPr>
              <w:b/>
              <w:bCs/>
              <w:szCs w:val="26"/>
              <w:lang w:val="fr-FR"/>
            </w:rPr>
            <w:t xml:space="preserve">           </w:t>
          </w:r>
          <w:r w:rsidRPr="00C606E5">
            <w:rPr>
              <w:b/>
              <w:bCs/>
              <w:szCs w:val="26"/>
              <w:lang w:val="fr-FR"/>
            </w:rPr>
            <w:t>5</w:t>
          </w:r>
          <w:r w:rsidRPr="00C606E5">
            <w:rPr>
              <w:b/>
              <w:bCs/>
              <w:szCs w:val="26"/>
              <w:vertAlign w:val="superscript"/>
              <w:lang w:val="fr-FR"/>
            </w:rPr>
            <w:t>ème</w:t>
          </w:r>
          <w:r w:rsidRPr="00C606E5">
            <w:rPr>
              <w:b/>
              <w:bCs/>
              <w:szCs w:val="26"/>
              <w:lang w:val="fr-FR"/>
            </w:rPr>
            <w:t xml:space="preserve"> </w:t>
          </w:r>
          <w:r w:rsidRPr="00C606E5">
            <w:rPr>
              <w:b/>
              <w:bCs/>
              <w:caps/>
              <w:szCs w:val="26"/>
              <w:lang w:val="fr-FR"/>
            </w:rPr>
            <w:t xml:space="preserve">Session de la rÉunion des parties </w:t>
          </w:r>
          <w:r>
            <w:rPr>
              <w:b/>
              <w:bCs/>
              <w:caps/>
              <w:szCs w:val="26"/>
              <w:lang w:val="fr-FR"/>
            </w:rPr>
            <w:t xml:space="preserve">    </w:t>
          </w:r>
        </w:p>
        <w:p w:rsidR="000954D9" w:rsidRPr="00C606E5" w:rsidRDefault="000954D9" w:rsidP="00346B57">
          <w:pPr>
            <w:pStyle w:val="BodyText2"/>
            <w:rPr>
              <w:b/>
              <w:bCs/>
              <w:caps/>
              <w:szCs w:val="26"/>
              <w:lang w:val="fr-FR"/>
            </w:rPr>
          </w:pPr>
          <w:r>
            <w:rPr>
              <w:b/>
              <w:bCs/>
              <w:caps/>
              <w:szCs w:val="26"/>
              <w:lang w:val="fr-FR"/>
            </w:rPr>
            <w:t xml:space="preserve">                                C</w:t>
          </w:r>
          <w:r w:rsidRPr="00C606E5">
            <w:rPr>
              <w:b/>
              <w:bCs/>
              <w:caps/>
              <w:szCs w:val="26"/>
              <w:lang w:val="fr-FR"/>
            </w:rPr>
            <w:t>ontractantes</w:t>
          </w:r>
        </w:p>
        <w:p w:rsidR="000954D9" w:rsidRPr="00C606E5" w:rsidRDefault="000954D9" w:rsidP="00346B57">
          <w:pPr>
            <w:tabs>
              <w:tab w:val="left" w:pos="2415"/>
              <w:tab w:val="left" w:pos="2975"/>
            </w:tabs>
            <w:rPr>
              <w:lang w:val="fr-FR"/>
            </w:rPr>
          </w:pPr>
          <w:r>
            <w:rPr>
              <w:iCs/>
              <w:lang w:val="fr-FR"/>
            </w:rPr>
            <w:t xml:space="preserve">                    </w:t>
          </w:r>
          <w:r w:rsidRPr="00C606E5">
            <w:rPr>
              <w:iCs/>
              <w:lang w:val="fr-FR"/>
            </w:rPr>
            <w:t>14 – 18 mai 2012, La Rochelle, France</w:t>
          </w:r>
        </w:p>
      </w:tc>
      <w:tc>
        <w:tcPr>
          <w:tcW w:w="488" w:type="pct"/>
        </w:tcPr>
        <w:p w:rsidR="000954D9" w:rsidRPr="00C606E5" w:rsidRDefault="000954D9" w:rsidP="00346B57">
          <w:pPr>
            <w:jc w:val="right"/>
            <w:rPr>
              <w:lang w:val="fr-FR"/>
            </w:rPr>
          </w:pPr>
          <w:r>
            <w:rPr>
              <w:noProof/>
            </w:rPr>
            <w:drawing>
              <wp:anchor distT="0" distB="0" distL="114300" distR="114300" simplePos="0" relativeHeight="251659264" behindDoc="0" locked="0" layoutInCell="1" allowOverlap="1" wp14:anchorId="52DD9D8D" wp14:editId="1AF208A3">
                <wp:simplePos x="0" y="0"/>
                <wp:positionH relativeFrom="column">
                  <wp:posOffset>90170</wp:posOffset>
                </wp:positionH>
                <wp:positionV relativeFrom="paragraph">
                  <wp:posOffset>-2540</wp:posOffset>
                </wp:positionV>
                <wp:extent cx="552450" cy="13106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83" cy="1317380"/>
                        </a:xfrm>
                        <a:prstGeom prst="rect">
                          <a:avLst/>
                        </a:prstGeom>
                      </pic:spPr>
                    </pic:pic>
                  </a:graphicData>
                </a:graphic>
                <wp14:sizeRelH relativeFrom="page">
                  <wp14:pctWidth>0</wp14:pctWidth>
                </wp14:sizeRelH>
                <wp14:sizeRelV relativeFrom="page">
                  <wp14:pctHeight>0</wp14:pctHeight>
                </wp14:sizeRelV>
              </wp:anchor>
            </w:drawing>
          </w:r>
        </w:p>
      </w:tc>
    </w:tr>
  </w:tbl>
  <w:p w:rsidR="000954D9" w:rsidRDefault="000954D9" w:rsidP="000954D9">
    <w:pPr>
      <w:tabs>
        <w:tab w:val="left" w:pos="2415"/>
      </w:tabs>
      <w:ind w:left="108" w:hanging="108"/>
      <w:jc w:val="center"/>
      <w:rPr>
        <w:bCs/>
        <w:i/>
        <w:sz w:val="22"/>
        <w:lang w:val="fr-FR"/>
      </w:rPr>
    </w:pPr>
    <w:r w:rsidRPr="00C606E5">
      <w:rPr>
        <w:bCs/>
        <w:i/>
        <w:sz w:val="22"/>
        <w:lang w:val="fr-FR"/>
      </w:rPr>
      <w:t>« Les oiseaux d’eau migrateurs et les hommes – des zones humides en partage »</w:t>
    </w:r>
  </w:p>
  <w:p w:rsidR="000954D9" w:rsidRDefault="000954D9" w:rsidP="000954D9">
    <w:pPr>
      <w:tabs>
        <w:tab w:val="left" w:pos="2415"/>
      </w:tabs>
      <w:ind w:left="108" w:hanging="108"/>
      <w:jc w:val="center"/>
      <w:rPr>
        <w:bCs/>
        <w:i/>
        <w:sz w:val="22"/>
        <w:lang w:val="fr-FR"/>
      </w:rPr>
    </w:pPr>
    <w:r>
      <w:rPr>
        <w:bCs/>
        <w:i/>
        <w:sz w:val="22"/>
        <w:lang w:val="fr-FR"/>
      </w:rPr>
      <w:t>_______________________________________________________________________________</w:t>
    </w:r>
  </w:p>
  <w:p w:rsidR="001643E7" w:rsidRPr="007D4378" w:rsidRDefault="001643E7">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9">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1">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2">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4">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5">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6">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9">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4">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9">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30">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1">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3">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7">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33"/>
  </w:num>
  <w:num w:numId="5">
    <w:abstractNumId w:val="27"/>
  </w:num>
  <w:num w:numId="6">
    <w:abstractNumId w:val="4"/>
  </w:num>
  <w:num w:numId="7">
    <w:abstractNumId w:val="37"/>
  </w:num>
  <w:num w:numId="8">
    <w:abstractNumId w:val="19"/>
  </w:num>
  <w:num w:numId="9">
    <w:abstractNumId w:val="11"/>
  </w:num>
  <w:num w:numId="10">
    <w:abstractNumId w:val="8"/>
  </w:num>
  <w:num w:numId="11">
    <w:abstractNumId w:val="6"/>
  </w:num>
  <w:num w:numId="12">
    <w:abstractNumId w:val="30"/>
  </w:num>
  <w:num w:numId="13">
    <w:abstractNumId w:val="18"/>
  </w:num>
  <w:num w:numId="14">
    <w:abstractNumId w:val="29"/>
  </w:num>
  <w:num w:numId="15">
    <w:abstractNumId w:val="23"/>
  </w:num>
  <w:num w:numId="16">
    <w:abstractNumId w:val="9"/>
  </w:num>
  <w:num w:numId="17">
    <w:abstractNumId w:val="31"/>
  </w:num>
  <w:num w:numId="18">
    <w:abstractNumId w:val="20"/>
  </w:num>
  <w:num w:numId="19">
    <w:abstractNumId w:val="14"/>
  </w:num>
  <w:num w:numId="20">
    <w:abstractNumId w:val="2"/>
  </w:num>
  <w:num w:numId="21">
    <w:abstractNumId w:val="24"/>
  </w:num>
  <w:num w:numId="22">
    <w:abstractNumId w:val="35"/>
  </w:num>
  <w:num w:numId="23">
    <w:abstractNumId w:val="32"/>
  </w:num>
  <w:num w:numId="24">
    <w:abstractNumId w:val="36"/>
  </w:num>
  <w:num w:numId="25">
    <w:abstractNumId w:val="10"/>
  </w:num>
  <w:num w:numId="26">
    <w:abstractNumId w:val="13"/>
  </w:num>
  <w:num w:numId="27">
    <w:abstractNumId w:val="28"/>
  </w:num>
  <w:num w:numId="28">
    <w:abstractNumId w:val="17"/>
  </w:num>
  <w:num w:numId="29">
    <w:abstractNumId w:val="15"/>
  </w:num>
  <w:num w:numId="30">
    <w:abstractNumId w:val="1"/>
  </w:num>
  <w:num w:numId="31">
    <w:abstractNumId w:val="3"/>
  </w:num>
  <w:num w:numId="32">
    <w:abstractNumId w:val="0"/>
  </w:num>
  <w:num w:numId="33">
    <w:abstractNumId w:val="5"/>
  </w:num>
  <w:num w:numId="34">
    <w:abstractNumId w:val="22"/>
  </w:num>
  <w:num w:numId="35">
    <w:abstractNumId w:val="25"/>
  </w:num>
  <w:num w:numId="36">
    <w:abstractNumId w:val="38"/>
  </w:num>
  <w:num w:numId="37">
    <w:abstractNumId w:val="21"/>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02D31"/>
    <w:rsid w:val="00016612"/>
    <w:rsid w:val="00016E7B"/>
    <w:rsid w:val="00021B58"/>
    <w:rsid w:val="000375C2"/>
    <w:rsid w:val="00042C2A"/>
    <w:rsid w:val="00060494"/>
    <w:rsid w:val="0006129C"/>
    <w:rsid w:val="00070019"/>
    <w:rsid w:val="0009186C"/>
    <w:rsid w:val="000944DE"/>
    <w:rsid w:val="000954D9"/>
    <w:rsid w:val="000977BB"/>
    <w:rsid w:val="000A2F0B"/>
    <w:rsid w:val="000A3284"/>
    <w:rsid w:val="000A542E"/>
    <w:rsid w:val="000A5A47"/>
    <w:rsid w:val="000C2B07"/>
    <w:rsid w:val="000D0F2D"/>
    <w:rsid w:val="000D3009"/>
    <w:rsid w:val="000D3FA3"/>
    <w:rsid w:val="000D4F56"/>
    <w:rsid w:val="000D6ED8"/>
    <w:rsid w:val="000E0796"/>
    <w:rsid w:val="000E153E"/>
    <w:rsid w:val="000E2FBA"/>
    <w:rsid w:val="000E417D"/>
    <w:rsid w:val="000F2085"/>
    <w:rsid w:val="001009FE"/>
    <w:rsid w:val="001024AC"/>
    <w:rsid w:val="00104C13"/>
    <w:rsid w:val="0010693C"/>
    <w:rsid w:val="00117A7C"/>
    <w:rsid w:val="00120E5F"/>
    <w:rsid w:val="00132975"/>
    <w:rsid w:val="00145E99"/>
    <w:rsid w:val="001466F1"/>
    <w:rsid w:val="00147B09"/>
    <w:rsid w:val="00147DF3"/>
    <w:rsid w:val="00151551"/>
    <w:rsid w:val="001524B5"/>
    <w:rsid w:val="001643E7"/>
    <w:rsid w:val="00167D59"/>
    <w:rsid w:val="00167F11"/>
    <w:rsid w:val="00172390"/>
    <w:rsid w:val="00174F9D"/>
    <w:rsid w:val="00182DCC"/>
    <w:rsid w:val="001860B9"/>
    <w:rsid w:val="00186687"/>
    <w:rsid w:val="0018695A"/>
    <w:rsid w:val="0019217E"/>
    <w:rsid w:val="00196E67"/>
    <w:rsid w:val="001A00B6"/>
    <w:rsid w:val="001A1C71"/>
    <w:rsid w:val="001A33D1"/>
    <w:rsid w:val="001B186D"/>
    <w:rsid w:val="001B1FA1"/>
    <w:rsid w:val="001D21F7"/>
    <w:rsid w:val="001D511A"/>
    <w:rsid w:val="001D7C9B"/>
    <w:rsid w:val="001E72CB"/>
    <w:rsid w:val="001E791A"/>
    <w:rsid w:val="001F000A"/>
    <w:rsid w:val="001F1D9A"/>
    <w:rsid w:val="00200D2D"/>
    <w:rsid w:val="00207055"/>
    <w:rsid w:val="00207325"/>
    <w:rsid w:val="00207810"/>
    <w:rsid w:val="0021454E"/>
    <w:rsid w:val="00215E89"/>
    <w:rsid w:val="00221E0E"/>
    <w:rsid w:val="002318FA"/>
    <w:rsid w:val="00231B31"/>
    <w:rsid w:val="002329EA"/>
    <w:rsid w:val="00234DC5"/>
    <w:rsid w:val="0024024F"/>
    <w:rsid w:val="00240D65"/>
    <w:rsid w:val="00246EFD"/>
    <w:rsid w:val="00252BD6"/>
    <w:rsid w:val="00280C80"/>
    <w:rsid w:val="00286103"/>
    <w:rsid w:val="00286D6A"/>
    <w:rsid w:val="002962F8"/>
    <w:rsid w:val="002A3D00"/>
    <w:rsid w:val="002A75BE"/>
    <w:rsid w:val="002A7DBE"/>
    <w:rsid w:val="002C1D0D"/>
    <w:rsid w:val="002C3347"/>
    <w:rsid w:val="002D070C"/>
    <w:rsid w:val="002D1CC3"/>
    <w:rsid w:val="002D76DC"/>
    <w:rsid w:val="002E0D5D"/>
    <w:rsid w:val="002E4C1F"/>
    <w:rsid w:val="002E6092"/>
    <w:rsid w:val="002F0141"/>
    <w:rsid w:val="002F7147"/>
    <w:rsid w:val="00303606"/>
    <w:rsid w:val="003072A9"/>
    <w:rsid w:val="00312BA0"/>
    <w:rsid w:val="003209C2"/>
    <w:rsid w:val="0032494B"/>
    <w:rsid w:val="003344A1"/>
    <w:rsid w:val="00335B64"/>
    <w:rsid w:val="003412DF"/>
    <w:rsid w:val="00343971"/>
    <w:rsid w:val="0035186A"/>
    <w:rsid w:val="00353767"/>
    <w:rsid w:val="003617A5"/>
    <w:rsid w:val="00365117"/>
    <w:rsid w:val="003676EF"/>
    <w:rsid w:val="00377F68"/>
    <w:rsid w:val="00383FCF"/>
    <w:rsid w:val="003921F2"/>
    <w:rsid w:val="00394D0E"/>
    <w:rsid w:val="003A4612"/>
    <w:rsid w:val="003A4E89"/>
    <w:rsid w:val="003A596F"/>
    <w:rsid w:val="003A6C16"/>
    <w:rsid w:val="003B05C0"/>
    <w:rsid w:val="003B2918"/>
    <w:rsid w:val="003B4398"/>
    <w:rsid w:val="003C0E00"/>
    <w:rsid w:val="003C320A"/>
    <w:rsid w:val="003D3394"/>
    <w:rsid w:val="003E0DB9"/>
    <w:rsid w:val="003F394E"/>
    <w:rsid w:val="003F6D95"/>
    <w:rsid w:val="003F6E29"/>
    <w:rsid w:val="003F7BFE"/>
    <w:rsid w:val="00407D1C"/>
    <w:rsid w:val="00411F9D"/>
    <w:rsid w:val="004313BF"/>
    <w:rsid w:val="004370A6"/>
    <w:rsid w:val="00441E51"/>
    <w:rsid w:val="00443C34"/>
    <w:rsid w:val="00444A2F"/>
    <w:rsid w:val="00457A06"/>
    <w:rsid w:val="004623B2"/>
    <w:rsid w:val="00472453"/>
    <w:rsid w:val="004766C7"/>
    <w:rsid w:val="00496EBC"/>
    <w:rsid w:val="00497689"/>
    <w:rsid w:val="004B57A6"/>
    <w:rsid w:val="004B698D"/>
    <w:rsid w:val="004B75C0"/>
    <w:rsid w:val="004C0029"/>
    <w:rsid w:val="004C443E"/>
    <w:rsid w:val="004D5EC7"/>
    <w:rsid w:val="004D6967"/>
    <w:rsid w:val="004E16A2"/>
    <w:rsid w:val="004E526F"/>
    <w:rsid w:val="004F0B94"/>
    <w:rsid w:val="004F4E6A"/>
    <w:rsid w:val="004F71B1"/>
    <w:rsid w:val="00517C62"/>
    <w:rsid w:val="00523D27"/>
    <w:rsid w:val="0052535F"/>
    <w:rsid w:val="0053033D"/>
    <w:rsid w:val="00536EF5"/>
    <w:rsid w:val="005426DD"/>
    <w:rsid w:val="00542859"/>
    <w:rsid w:val="005525E8"/>
    <w:rsid w:val="00567628"/>
    <w:rsid w:val="005701B3"/>
    <w:rsid w:val="00575367"/>
    <w:rsid w:val="00575BB6"/>
    <w:rsid w:val="005816D2"/>
    <w:rsid w:val="005970C7"/>
    <w:rsid w:val="005B4411"/>
    <w:rsid w:val="005C3A78"/>
    <w:rsid w:val="005D4501"/>
    <w:rsid w:val="005D54ED"/>
    <w:rsid w:val="005F11C9"/>
    <w:rsid w:val="005F25EE"/>
    <w:rsid w:val="005F2F22"/>
    <w:rsid w:val="006074B2"/>
    <w:rsid w:val="006075EE"/>
    <w:rsid w:val="006122CD"/>
    <w:rsid w:val="00614C8C"/>
    <w:rsid w:val="00615C8E"/>
    <w:rsid w:val="006223DF"/>
    <w:rsid w:val="0063022B"/>
    <w:rsid w:val="00630325"/>
    <w:rsid w:val="00644611"/>
    <w:rsid w:val="00650283"/>
    <w:rsid w:val="00656654"/>
    <w:rsid w:val="00657A1D"/>
    <w:rsid w:val="00660C93"/>
    <w:rsid w:val="006638FF"/>
    <w:rsid w:val="00663E40"/>
    <w:rsid w:val="0069010A"/>
    <w:rsid w:val="00697D24"/>
    <w:rsid w:val="006A0616"/>
    <w:rsid w:val="006A4A6F"/>
    <w:rsid w:val="006A52A2"/>
    <w:rsid w:val="006A6B51"/>
    <w:rsid w:val="006B1452"/>
    <w:rsid w:val="006B1B35"/>
    <w:rsid w:val="006B3B65"/>
    <w:rsid w:val="006B5FEB"/>
    <w:rsid w:val="006B6B98"/>
    <w:rsid w:val="006B7648"/>
    <w:rsid w:val="006C1382"/>
    <w:rsid w:val="006C4AD5"/>
    <w:rsid w:val="006D06A2"/>
    <w:rsid w:val="006D28F3"/>
    <w:rsid w:val="006D2F69"/>
    <w:rsid w:val="006D5B59"/>
    <w:rsid w:val="006F157D"/>
    <w:rsid w:val="006F6E47"/>
    <w:rsid w:val="0070186C"/>
    <w:rsid w:val="00701E7D"/>
    <w:rsid w:val="0070257F"/>
    <w:rsid w:val="00703647"/>
    <w:rsid w:val="00704B4A"/>
    <w:rsid w:val="00706F39"/>
    <w:rsid w:val="00721E31"/>
    <w:rsid w:val="00725091"/>
    <w:rsid w:val="00737E2E"/>
    <w:rsid w:val="0076106B"/>
    <w:rsid w:val="0077165F"/>
    <w:rsid w:val="00776D32"/>
    <w:rsid w:val="00786AF1"/>
    <w:rsid w:val="00787C85"/>
    <w:rsid w:val="007967F7"/>
    <w:rsid w:val="0079698D"/>
    <w:rsid w:val="007A2281"/>
    <w:rsid w:val="007A7B95"/>
    <w:rsid w:val="007A7DEC"/>
    <w:rsid w:val="007D3410"/>
    <w:rsid w:val="007D4378"/>
    <w:rsid w:val="007E054A"/>
    <w:rsid w:val="007E1121"/>
    <w:rsid w:val="007E5503"/>
    <w:rsid w:val="00806BB8"/>
    <w:rsid w:val="008115B4"/>
    <w:rsid w:val="0082215E"/>
    <w:rsid w:val="008235E1"/>
    <w:rsid w:val="00830C4B"/>
    <w:rsid w:val="0083696C"/>
    <w:rsid w:val="00837F41"/>
    <w:rsid w:val="00842A1C"/>
    <w:rsid w:val="00842D33"/>
    <w:rsid w:val="00847C80"/>
    <w:rsid w:val="00860D26"/>
    <w:rsid w:val="008650A4"/>
    <w:rsid w:val="00866EF3"/>
    <w:rsid w:val="0087707B"/>
    <w:rsid w:val="00884E0A"/>
    <w:rsid w:val="0088745A"/>
    <w:rsid w:val="008A5248"/>
    <w:rsid w:val="008B3285"/>
    <w:rsid w:val="008C04CB"/>
    <w:rsid w:val="008C7085"/>
    <w:rsid w:val="008D305B"/>
    <w:rsid w:val="008D4681"/>
    <w:rsid w:val="008F0DEA"/>
    <w:rsid w:val="008F155A"/>
    <w:rsid w:val="008F4E75"/>
    <w:rsid w:val="008F673B"/>
    <w:rsid w:val="00903E6E"/>
    <w:rsid w:val="00913785"/>
    <w:rsid w:val="00915632"/>
    <w:rsid w:val="009164F2"/>
    <w:rsid w:val="00934924"/>
    <w:rsid w:val="00950C52"/>
    <w:rsid w:val="0095479F"/>
    <w:rsid w:val="00960705"/>
    <w:rsid w:val="0096757D"/>
    <w:rsid w:val="0096780E"/>
    <w:rsid w:val="009762B5"/>
    <w:rsid w:val="00990AB9"/>
    <w:rsid w:val="009950C3"/>
    <w:rsid w:val="009A5160"/>
    <w:rsid w:val="009A7D1B"/>
    <w:rsid w:val="009B0863"/>
    <w:rsid w:val="009C570C"/>
    <w:rsid w:val="009E320C"/>
    <w:rsid w:val="009E3956"/>
    <w:rsid w:val="009F47B1"/>
    <w:rsid w:val="009F5385"/>
    <w:rsid w:val="009F6DE5"/>
    <w:rsid w:val="00A13B54"/>
    <w:rsid w:val="00A20A18"/>
    <w:rsid w:val="00A2612A"/>
    <w:rsid w:val="00A36A12"/>
    <w:rsid w:val="00A37FFD"/>
    <w:rsid w:val="00A43C8F"/>
    <w:rsid w:val="00A44E11"/>
    <w:rsid w:val="00A66A25"/>
    <w:rsid w:val="00A71968"/>
    <w:rsid w:val="00A771A9"/>
    <w:rsid w:val="00A84DF2"/>
    <w:rsid w:val="00A8630C"/>
    <w:rsid w:val="00A86EF9"/>
    <w:rsid w:val="00A86FD2"/>
    <w:rsid w:val="00A90607"/>
    <w:rsid w:val="00A94FE4"/>
    <w:rsid w:val="00AB0108"/>
    <w:rsid w:val="00AB5397"/>
    <w:rsid w:val="00AC050D"/>
    <w:rsid w:val="00AC0E75"/>
    <w:rsid w:val="00AC2A20"/>
    <w:rsid w:val="00AC55DC"/>
    <w:rsid w:val="00AC5ACD"/>
    <w:rsid w:val="00AD7D5F"/>
    <w:rsid w:val="00AE0401"/>
    <w:rsid w:val="00AE12C7"/>
    <w:rsid w:val="00B04408"/>
    <w:rsid w:val="00B07041"/>
    <w:rsid w:val="00B10D26"/>
    <w:rsid w:val="00B10E59"/>
    <w:rsid w:val="00B21059"/>
    <w:rsid w:val="00B244DC"/>
    <w:rsid w:val="00B30BE0"/>
    <w:rsid w:val="00B33656"/>
    <w:rsid w:val="00B33AF3"/>
    <w:rsid w:val="00B37692"/>
    <w:rsid w:val="00B37E95"/>
    <w:rsid w:val="00B56DEB"/>
    <w:rsid w:val="00B61FA1"/>
    <w:rsid w:val="00B65481"/>
    <w:rsid w:val="00B67BC9"/>
    <w:rsid w:val="00B71F68"/>
    <w:rsid w:val="00B75C88"/>
    <w:rsid w:val="00B85600"/>
    <w:rsid w:val="00BA2B02"/>
    <w:rsid w:val="00BA790F"/>
    <w:rsid w:val="00BB60C5"/>
    <w:rsid w:val="00BB60D2"/>
    <w:rsid w:val="00BC1F70"/>
    <w:rsid w:val="00BC2F97"/>
    <w:rsid w:val="00BC5339"/>
    <w:rsid w:val="00BD17AE"/>
    <w:rsid w:val="00BE634D"/>
    <w:rsid w:val="00BF2D97"/>
    <w:rsid w:val="00BF6F6E"/>
    <w:rsid w:val="00C001B1"/>
    <w:rsid w:val="00C061F0"/>
    <w:rsid w:val="00C10107"/>
    <w:rsid w:val="00C14CAD"/>
    <w:rsid w:val="00C14D84"/>
    <w:rsid w:val="00C152CC"/>
    <w:rsid w:val="00C15C86"/>
    <w:rsid w:val="00C31A30"/>
    <w:rsid w:val="00C31FD1"/>
    <w:rsid w:val="00C37179"/>
    <w:rsid w:val="00C46B0D"/>
    <w:rsid w:val="00C46B49"/>
    <w:rsid w:val="00C645F5"/>
    <w:rsid w:val="00C70AD0"/>
    <w:rsid w:val="00C72EF1"/>
    <w:rsid w:val="00C80D6A"/>
    <w:rsid w:val="00C83EC9"/>
    <w:rsid w:val="00C901C4"/>
    <w:rsid w:val="00CA3555"/>
    <w:rsid w:val="00CB1CAA"/>
    <w:rsid w:val="00CC0413"/>
    <w:rsid w:val="00CC3D4A"/>
    <w:rsid w:val="00CC3F9D"/>
    <w:rsid w:val="00CC509F"/>
    <w:rsid w:val="00CD3FEA"/>
    <w:rsid w:val="00CE0946"/>
    <w:rsid w:val="00CE532C"/>
    <w:rsid w:val="00CE7481"/>
    <w:rsid w:val="00CF5F07"/>
    <w:rsid w:val="00D05E22"/>
    <w:rsid w:val="00D06F6C"/>
    <w:rsid w:val="00D14E4C"/>
    <w:rsid w:val="00D21AD5"/>
    <w:rsid w:val="00D40CC7"/>
    <w:rsid w:val="00D42017"/>
    <w:rsid w:val="00D527D9"/>
    <w:rsid w:val="00D5283A"/>
    <w:rsid w:val="00D635A0"/>
    <w:rsid w:val="00D66E9D"/>
    <w:rsid w:val="00D753EB"/>
    <w:rsid w:val="00D801A7"/>
    <w:rsid w:val="00DA2E04"/>
    <w:rsid w:val="00DB6FF8"/>
    <w:rsid w:val="00DD42FD"/>
    <w:rsid w:val="00DE16F2"/>
    <w:rsid w:val="00DE6C76"/>
    <w:rsid w:val="00DF26A5"/>
    <w:rsid w:val="00DF3A7E"/>
    <w:rsid w:val="00DF69E4"/>
    <w:rsid w:val="00E02643"/>
    <w:rsid w:val="00E043A4"/>
    <w:rsid w:val="00E130CA"/>
    <w:rsid w:val="00E25AA3"/>
    <w:rsid w:val="00E5162C"/>
    <w:rsid w:val="00E55F1B"/>
    <w:rsid w:val="00E66988"/>
    <w:rsid w:val="00E719DA"/>
    <w:rsid w:val="00E7226C"/>
    <w:rsid w:val="00E90ECB"/>
    <w:rsid w:val="00E965A8"/>
    <w:rsid w:val="00EA1BA4"/>
    <w:rsid w:val="00EB38A4"/>
    <w:rsid w:val="00EC038F"/>
    <w:rsid w:val="00ED060D"/>
    <w:rsid w:val="00ED1BEF"/>
    <w:rsid w:val="00EE02FE"/>
    <w:rsid w:val="00EF1491"/>
    <w:rsid w:val="00EF60EF"/>
    <w:rsid w:val="00EF6222"/>
    <w:rsid w:val="00F07D64"/>
    <w:rsid w:val="00F17A4F"/>
    <w:rsid w:val="00F25765"/>
    <w:rsid w:val="00F31C4B"/>
    <w:rsid w:val="00F42807"/>
    <w:rsid w:val="00F52831"/>
    <w:rsid w:val="00F57C68"/>
    <w:rsid w:val="00F627E9"/>
    <w:rsid w:val="00F81B26"/>
    <w:rsid w:val="00F81B2C"/>
    <w:rsid w:val="00F81EEA"/>
    <w:rsid w:val="00F85886"/>
    <w:rsid w:val="00FA016C"/>
    <w:rsid w:val="00FA5C71"/>
    <w:rsid w:val="00FA6D32"/>
    <w:rsid w:val="00FE1FC5"/>
    <w:rsid w:val="00FE4106"/>
    <w:rsid w:val="00FF448E"/>
    <w:rsid w:val="00FF6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C0E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382"/>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6C1382"/>
    <w:rPr>
      <w:rFonts w:ascii="Cambria" w:hAnsi="Cambria" w:cs="Times New Roman"/>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cs="Times New Roman"/>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6C1382"/>
    <w:rPr>
      <w:rFonts w:cs="Times New Roman"/>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6C1382"/>
    <w:rPr>
      <w:rFonts w:cs="Times New Roman"/>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locked/>
    <w:rsid w:val="006C1382"/>
    <w:rPr>
      <w:rFonts w:cs="Times New Roman"/>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6C1382"/>
    <w:rPr>
      <w:rFonts w:cs="Times New Roman"/>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rFonts w:cs="Times New Roman"/>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rFonts w:cs="Times New Roman"/>
      <w:sz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rPr>
  </w:style>
  <w:style w:type="paragraph" w:styleId="BodyText3">
    <w:name w:val="Body Text 3"/>
    <w:basedOn w:val="Normal"/>
    <w:link w:val="BodyText3Char"/>
    <w:uiPriority w:val="99"/>
    <w:rsid w:val="008C04CB"/>
    <w:pPr>
      <w:spacing w:after="120"/>
    </w:pPr>
    <w:rPr>
      <w:sz w:val="16"/>
      <w:szCs w:val="16"/>
    </w:rPr>
  </w:style>
  <w:style w:type="character" w:customStyle="1" w:styleId="BodyText3Char">
    <w:name w:val="Body Text 3 Char"/>
    <w:basedOn w:val="DefaultParagraphFont"/>
    <w:link w:val="BodyText3"/>
    <w:uiPriority w:val="99"/>
    <w:semiHidden/>
    <w:locked/>
    <w:rsid w:val="008C04CB"/>
    <w:rPr>
      <w:rFonts w:cs="Times New Roman"/>
      <w:sz w:val="16"/>
      <w:lang w:val="en-US" w:eastAsia="en-US"/>
    </w:rPr>
  </w:style>
  <w:style w:type="paragraph" w:styleId="CommentText">
    <w:name w:val="annotation text"/>
    <w:basedOn w:val="Normal"/>
    <w:link w:val="CommentTextChar"/>
    <w:uiPriority w:val="99"/>
    <w:semiHidden/>
    <w:rsid w:val="00847C80"/>
    <w:rPr>
      <w:sz w:val="20"/>
      <w:szCs w:val="20"/>
    </w:rPr>
  </w:style>
  <w:style w:type="character" w:customStyle="1" w:styleId="CommentTextChar">
    <w:name w:val="Comment Text Char"/>
    <w:basedOn w:val="DefaultParagraphFont"/>
    <w:link w:val="CommentText"/>
    <w:uiPriority w:val="99"/>
    <w:semiHidden/>
    <w:locked/>
    <w:rsid w:val="002C3347"/>
    <w:rPr>
      <w:rFonts w:cs="Times New Roman"/>
      <w:sz w:val="20"/>
      <w:lang w:val="en-US" w:eastAsia="en-US"/>
    </w:rPr>
  </w:style>
  <w:style w:type="paragraph" w:styleId="CommentSubject">
    <w:name w:val="annotation subject"/>
    <w:basedOn w:val="CommentText"/>
    <w:next w:val="CommentText"/>
    <w:link w:val="CommentSubjectChar"/>
    <w:uiPriority w:val="99"/>
    <w:semiHidden/>
    <w:rsid w:val="00847C80"/>
    <w:rPr>
      <w:b/>
      <w:bCs/>
    </w:rPr>
  </w:style>
  <w:style w:type="character" w:customStyle="1" w:styleId="CommentSubjectChar">
    <w:name w:val="Comment Subject Char"/>
    <w:basedOn w:val="CommentTextChar"/>
    <w:link w:val="CommentSubject"/>
    <w:uiPriority w:val="99"/>
    <w:semiHidden/>
    <w:locked/>
    <w:rsid w:val="002C3347"/>
    <w:rPr>
      <w:rFonts w:cs="Times New Roman"/>
      <w:b/>
      <w:sz w:val="20"/>
      <w:lang w:val="en-US" w:eastAsia="en-US"/>
    </w:rPr>
  </w:style>
  <w:style w:type="paragraph" w:styleId="NoSpacing">
    <w:name w:val="No Spacing"/>
    <w:uiPriority w:val="99"/>
    <w:qFormat/>
    <w:rsid w:val="009F5385"/>
    <w:rPr>
      <w:sz w:val="24"/>
      <w:szCs w:val="24"/>
      <w:lang w:val="en-US" w:eastAsia="en-US"/>
    </w:rPr>
  </w:style>
  <w:style w:type="character" w:styleId="Emphasis">
    <w:name w:val="Emphasis"/>
    <w:basedOn w:val="DefaultParagraphFont"/>
    <w:qFormat/>
    <w:locked/>
    <w:rsid w:val="009F5385"/>
    <w:rPr>
      <w:rFonts w:cs="Times New Roman"/>
      <w:i/>
    </w:rPr>
  </w:style>
  <w:style w:type="character" w:styleId="Strong">
    <w:name w:val="Strong"/>
    <w:basedOn w:val="DefaultParagraphFont"/>
    <w:uiPriority w:val="99"/>
    <w:qFormat/>
    <w:locked/>
    <w:rsid w:val="009F5385"/>
    <w:rPr>
      <w:rFonts w:cs="Times New Roman"/>
      <w:b/>
    </w:rPr>
  </w:style>
  <w:style w:type="paragraph" w:styleId="Subtitle">
    <w:name w:val="Subtitle"/>
    <w:basedOn w:val="Normal"/>
    <w:next w:val="Normal"/>
    <w:link w:val="SubtitleChar"/>
    <w:uiPriority w:val="99"/>
    <w:qFormat/>
    <w:locked/>
    <w:rsid w:val="009F5385"/>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F5385"/>
    <w:rPr>
      <w:rFonts w:ascii="Cambria" w:hAnsi="Cambria" w:cs="Times New Roman"/>
      <w:sz w:val="24"/>
      <w:lang w:val="en-US" w:eastAsia="en-US"/>
    </w:rPr>
  </w:style>
  <w:style w:type="paragraph" w:styleId="TOC2">
    <w:name w:val="toc 2"/>
    <w:basedOn w:val="Normal"/>
    <w:next w:val="Normal"/>
    <w:autoRedefine/>
    <w:uiPriority w:val="99"/>
    <w:locked/>
    <w:rsid w:val="009F5385"/>
    <w:pPr>
      <w:ind w:left="240"/>
    </w:pPr>
  </w:style>
  <w:style w:type="paragraph" w:styleId="TOC1">
    <w:name w:val="toc 1"/>
    <w:basedOn w:val="Normal"/>
    <w:next w:val="Normal"/>
    <w:autoRedefine/>
    <w:uiPriority w:val="99"/>
    <w:locked/>
    <w:rsid w:val="009F5385"/>
  </w:style>
  <w:style w:type="character" w:styleId="SubtleEmphasis">
    <w:name w:val="Subtle Emphasis"/>
    <w:basedOn w:val="DefaultParagraphFont"/>
    <w:uiPriority w:val="99"/>
    <w:qFormat/>
    <w:rsid w:val="009F5385"/>
    <w:rPr>
      <w:rFonts w:cs="Times New Roman"/>
      <w:i/>
      <w:color w:val="808080"/>
    </w:rPr>
  </w:style>
  <w:style w:type="character" w:styleId="IntenseEmphasis">
    <w:name w:val="Intense Emphasis"/>
    <w:basedOn w:val="DefaultParagraphFont"/>
    <w:uiPriority w:val="99"/>
    <w:qFormat/>
    <w:rsid w:val="009F5385"/>
    <w:rPr>
      <w:rFonts w:cs="Times New Roman"/>
      <w:b/>
      <w:i/>
      <w:color w:val="4F81BD"/>
    </w:rPr>
  </w:style>
  <w:style w:type="character" w:customStyle="1" w:styleId="CharChar6">
    <w:name w:val="Char Char6"/>
    <w:uiPriority w:val="99"/>
    <w:semiHidden/>
    <w:locked/>
    <w:rsid w:val="002329EA"/>
    <w:rPr>
      <w:sz w:val="24"/>
    </w:rPr>
  </w:style>
  <w:style w:type="character" w:customStyle="1" w:styleId="Heading3Char">
    <w:name w:val="Heading 3 Char"/>
    <w:basedOn w:val="DefaultParagraphFont"/>
    <w:link w:val="Heading3"/>
    <w:rsid w:val="00AC0E75"/>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C0E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382"/>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6C1382"/>
    <w:rPr>
      <w:rFonts w:ascii="Cambria" w:hAnsi="Cambria" w:cs="Times New Roman"/>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cs="Times New Roman"/>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6C1382"/>
    <w:rPr>
      <w:rFonts w:cs="Times New Roman"/>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6C1382"/>
    <w:rPr>
      <w:rFonts w:cs="Times New Roman"/>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locked/>
    <w:rsid w:val="006C1382"/>
    <w:rPr>
      <w:rFonts w:cs="Times New Roman"/>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6C1382"/>
    <w:rPr>
      <w:rFonts w:cs="Times New Roman"/>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rFonts w:cs="Times New Roman"/>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rFonts w:cs="Times New Roman"/>
      <w:sz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rPr>
  </w:style>
  <w:style w:type="paragraph" w:styleId="BodyText3">
    <w:name w:val="Body Text 3"/>
    <w:basedOn w:val="Normal"/>
    <w:link w:val="BodyText3Char"/>
    <w:uiPriority w:val="99"/>
    <w:rsid w:val="008C04CB"/>
    <w:pPr>
      <w:spacing w:after="120"/>
    </w:pPr>
    <w:rPr>
      <w:sz w:val="16"/>
      <w:szCs w:val="16"/>
    </w:rPr>
  </w:style>
  <w:style w:type="character" w:customStyle="1" w:styleId="BodyText3Char">
    <w:name w:val="Body Text 3 Char"/>
    <w:basedOn w:val="DefaultParagraphFont"/>
    <w:link w:val="BodyText3"/>
    <w:uiPriority w:val="99"/>
    <w:semiHidden/>
    <w:locked/>
    <w:rsid w:val="008C04CB"/>
    <w:rPr>
      <w:rFonts w:cs="Times New Roman"/>
      <w:sz w:val="16"/>
      <w:lang w:val="en-US" w:eastAsia="en-US"/>
    </w:rPr>
  </w:style>
  <w:style w:type="paragraph" w:styleId="CommentText">
    <w:name w:val="annotation text"/>
    <w:basedOn w:val="Normal"/>
    <w:link w:val="CommentTextChar"/>
    <w:uiPriority w:val="99"/>
    <w:semiHidden/>
    <w:rsid w:val="00847C80"/>
    <w:rPr>
      <w:sz w:val="20"/>
      <w:szCs w:val="20"/>
    </w:rPr>
  </w:style>
  <w:style w:type="character" w:customStyle="1" w:styleId="CommentTextChar">
    <w:name w:val="Comment Text Char"/>
    <w:basedOn w:val="DefaultParagraphFont"/>
    <w:link w:val="CommentText"/>
    <w:uiPriority w:val="99"/>
    <w:semiHidden/>
    <w:locked/>
    <w:rsid w:val="002C3347"/>
    <w:rPr>
      <w:rFonts w:cs="Times New Roman"/>
      <w:sz w:val="20"/>
      <w:lang w:val="en-US" w:eastAsia="en-US"/>
    </w:rPr>
  </w:style>
  <w:style w:type="paragraph" w:styleId="CommentSubject">
    <w:name w:val="annotation subject"/>
    <w:basedOn w:val="CommentText"/>
    <w:next w:val="CommentText"/>
    <w:link w:val="CommentSubjectChar"/>
    <w:uiPriority w:val="99"/>
    <w:semiHidden/>
    <w:rsid w:val="00847C80"/>
    <w:rPr>
      <w:b/>
      <w:bCs/>
    </w:rPr>
  </w:style>
  <w:style w:type="character" w:customStyle="1" w:styleId="CommentSubjectChar">
    <w:name w:val="Comment Subject Char"/>
    <w:basedOn w:val="CommentTextChar"/>
    <w:link w:val="CommentSubject"/>
    <w:uiPriority w:val="99"/>
    <w:semiHidden/>
    <w:locked/>
    <w:rsid w:val="002C3347"/>
    <w:rPr>
      <w:rFonts w:cs="Times New Roman"/>
      <w:b/>
      <w:sz w:val="20"/>
      <w:lang w:val="en-US" w:eastAsia="en-US"/>
    </w:rPr>
  </w:style>
  <w:style w:type="paragraph" w:styleId="NoSpacing">
    <w:name w:val="No Spacing"/>
    <w:uiPriority w:val="99"/>
    <w:qFormat/>
    <w:rsid w:val="009F5385"/>
    <w:rPr>
      <w:sz w:val="24"/>
      <w:szCs w:val="24"/>
      <w:lang w:val="en-US" w:eastAsia="en-US"/>
    </w:rPr>
  </w:style>
  <w:style w:type="character" w:styleId="Emphasis">
    <w:name w:val="Emphasis"/>
    <w:basedOn w:val="DefaultParagraphFont"/>
    <w:qFormat/>
    <w:locked/>
    <w:rsid w:val="009F5385"/>
    <w:rPr>
      <w:rFonts w:cs="Times New Roman"/>
      <w:i/>
    </w:rPr>
  </w:style>
  <w:style w:type="character" w:styleId="Strong">
    <w:name w:val="Strong"/>
    <w:basedOn w:val="DefaultParagraphFont"/>
    <w:uiPriority w:val="99"/>
    <w:qFormat/>
    <w:locked/>
    <w:rsid w:val="009F5385"/>
    <w:rPr>
      <w:rFonts w:cs="Times New Roman"/>
      <w:b/>
    </w:rPr>
  </w:style>
  <w:style w:type="paragraph" w:styleId="Subtitle">
    <w:name w:val="Subtitle"/>
    <w:basedOn w:val="Normal"/>
    <w:next w:val="Normal"/>
    <w:link w:val="SubtitleChar"/>
    <w:uiPriority w:val="99"/>
    <w:qFormat/>
    <w:locked/>
    <w:rsid w:val="009F5385"/>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F5385"/>
    <w:rPr>
      <w:rFonts w:ascii="Cambria" w:hAnsi="Cambria" w:cs="Times New Roman"/>
      <w:sz w:val="24"/>
      <w:lang w:val="en-US" w:eastAsia="en-US"/>
    </w:rPr>
  </w:style>
  <w:style w:type="paragraph" w:styleId="TOC2">
    <w:name w:val="toc 2"/>
    <w:basedOn w:val="Normal"/>
    <w:next w:val="Normal"/>
    <w:autoRedefine/>
    <w:uiPriority w:val="99"/>
    <w:locked/>
    <w:rsid w:val="009F5385"/>
    <w:pPr>
      <w:ind w:left="240"/>
    </w:pPr>
  </w:style>
  <w:style w:type="paragraph" w:styleId="TOC1">
    <w:name w:val="toc 1"/>
    <w:basedOn w:val="Normal"/>
    <w:next w:val="Normal"/>
    <w:autoRedefine/>
    <w:uiPriority w:val="99"/>
    <w:locked/>
    <w:rsid w:val="009F5385"/>
  </w:style>
  <w:style w:type="character" w:styleId="SubtleEmphasis">
    <w:name w:val="Subtle Emphasis"/>
    <w:basedOn w:val="DefaultParagraphFont"/>
    <w:uiPriority w:val="99"/>
    <w:qFormat/>
    <w:rsid w:val="009F5385"/>
    <w:rPr>
      <w:rFonts w:cs="Times New Roman"/>
      <w:i/>
      <w:color w:val="808080"/>
    </w:rPr>
  </w:style>
  <w:style w:type="character" w:styleId="IntenseEmphasis">
    <w:name w:val="Intense Emphasis"/>
    <w:basedOn w:val="DefaultParagraphFont"/>
    <w:uiPriority w:val="99"/>
    <w:qFormat/>
    <w:rsid w:val="009F5385"/>
    <w:rPr>
      <w:rFonts w:cs="Times New Roman"/>
      <w:b/>
      <w:i/>
      <w:color w:val="4F81BD"/>
    </w:rPr>
  </w:style>
  <w:style w:type="character" w:customStyle="1" w:styleId="CharChar6">
    <w:name w:val="Char Char6"/>
    <w:uiPriority w:val="99"/>
    <w:semiHidden/>
    <w:locked/>
    <w:rsid w:val="002329EA"/>
    <w:rPr>
      <w:sz w:val="24"/>
    </w:rPr>
  </w:style>
  <w:style w:type="character" w:customStyle="1" w:styleId="Heading3Char">
    <w:name w:val="Heading 3 Char"/>
    <w:basedOn w:val="DefaultParagraphFont"/>
    <w:link w:val="Heading3"/>
    <w:rsid w:val="00AC0E75"/>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7211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 (UNEP/AEWA Secretariat)</cp:lastModifiedBy>
  <cp:revision>3</cp:revision>
  <cp:lastPrinted>2012-05-16T14:53:00Z</cp:lastPrinted>
  <dcterms:created xsi:type="dcterms:W3CDTF">2012-07-23T12:12:00Z</dcterms:created>
  <dcterms:modified xsi:type="dcterms:W3CDTF">2012-07-23T12:14:00Z</dcterms:modified>
</cp:coreProperties>
</file>