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24" w:rsidRPr="00544DE7" w:rsidRDefault="00C84C24" w:rsidP="00FA38F4">
      <w:pPr>
        <w:jc w:val="center"/>
        <w:rPr>
          <w:rStyle w:val="Emphasis"/>
        </w:rPr>
      </w:pPr>
      <w:bookmarkStart w:id="0" w:name="_GoBack"/>
      <w:bookmarkEnd w:id="0"/>
    </w:p>
    <w:p w:rsidR="00C84C24" w:rsidRPr="00500C7B" w:rsidRDefault="00C84C24" w:rsidP="00C84AAA">
      <w:pPr>
        <w:tabs>
          <w:tab w:val="left" w:pos="2054"/>
          <w:tab w:val="center" w:pos="4819"/>
        </w:tabs>
        <w:jc w:val="center"/>
        <w:rPr>
          <w:lang w:val="fr-FR"/>
        </w:rPr>
      </w:pPr>
      <w:r w:rsidRPr="00F724CE">
        <w:rPr>
          <w:lang w:val="fr-FR"/>
        </w:rPr>
        <w:t>RÉSOLUTION 5.1</w:t>
      </w:r>
    </w:p>
    <w:p w:rsidR="00C84C24" w:rsidRPr="00500C7B" w:rsidRDefault="00C84C24" w:rsidP="00C523B9">
      <w:pPr>
        <w:jc w:val="center"/>
        <w:rPr>
          <w:lang w:val="fr-FR"/>
        </w:rPr>
      </w:pPr>
    </w:p>
    <w:p w:rsidR="00C84C24" w:rsidRPr="00500C7B" w:rsidRDefault="00C84C24" w:rsidP="00FA38F4">
      <w:pPr>
        <w:jc w:val="center"/>
        <w:rPr>
          <w:b/>
          <w:lang w:val="fr-FR"/>
        </w:rPr>
      </w:pPr>
      <w:r w:rsidRPr="00F724CE">
        <w:rPr>
          <w:b/>
          <w:lang w:val="fr-FR"/>
        </w:rPr>
        <w:t>RAPPORTS NATIONAUX ET SYSTÈME DE RAPPORT EN LIGNE</w:t>
      </w:r>
    </w:p>
    <w:p w:rsidR="00C84C24" w:rsidRPr="00406F14" w:rsidRDefault="00C84C24" w:rsidP="00FA38F4">
      <w:pPr>
        <w:rPr>
          <w:sz w:val="16"/>
          <w:szCs w:val="16"/>
          <w:lang w:val="fr-FR"/>
        </w:rPr>
      </w:pPr>
    </w:p>
    <w:p w:rsidR="00C84C24" w:rsidRPr="00406F14" w:rsidRDefault="00C84C24" w:rsidP="00FA38F4">
      <w:pPr>
        <w:rPr>
          <w:sz w:val="16"/>
          <w:szCs w:val="16"/>
          <w:lang w:val="fr-FR"/>
        </w:rPr>
      </w:pPr>
    </w:p>
    <w:p w:rsidR="00C84C24" w:rsidRPr="00500C7B" w:rsidRDefault="00C84C24" w:rsidP="00167BA7">
      <w:pPr>
        <w:pStyle w:val="Heading1"/>
        <w:numPr>
          <w:ilvl w:val="0"/>
          <w:numId w:val="0"/>
        </w:numPr>
        <w:ind w:firstLine="720"/>
        <w:jc w:val="both"/>
        <w:rPr>
          <w:b w:val="0"/>
          <w:sz w:val="22"/>
          <w:szCs w:val="22"/>
          <w:lang w:val="fr-FR"/>
        </w:rPr>
      </w:pPr>
      <w:r w:rsidRPr="00F724CE">
        <w:rPr>
          <w:b w:val="0"/>
          <w:i/>
          <w:sz w:val="22"/>
          <w:szCs w:val="22"/>
          <w:lang w:val="fr-FR"/>
        </w:rPr>
        <w:t>Rappelant</w:t>
      </w:r>
      <w:r w:rsidRPr="00F724CE">
        <w:rPr>
          <w:b w:val="0"/>
          <w:sz w:val="22"/>
          <w:szCs w:val="22"/>
          <w:lang w:val="fr-FR"/>
        </w:rPr>
        <w:t xml:space="preserve"> la </w:t>
      </w:r>
      <w:r w:rsidRPr="00F724CE">
        <w:rPr>
          <w:b w:val="0"/>
          <w:iCs/>
          <w:sz w:val="22"/>
          <w:szCs w:val="22"/>
          <w:lang w:val="fr-FR"/>
        </w:rPr>
        <w:t>Résolution 1.3 relative à l</w:t>
      </w:r>
      <w:r>
        <w:rPr>
          <w:b w:val="0"/>
          <w:iCs/>
          <w:sz w:val="22"/>
          <w:szCs w:val="22"/>
          <w:lang w:val="fr-FR"/>
        </w:rPr>
        <w:t>’</w:t>
      </w:r>
      <w:r w:rsidRPr="00F724CE">
        <w:rPr>
          <w:b w:val="0"/>
          <w:iCs/>
          <w:sz w:val="22"/>
          <w:szCs w:val="22"/>
          <w:lang w:val="fr-FR"/>
        </w:rPr>
        <w:t>établissement d</w:t>
      </w:r>
      <w:r>
        <w:rPr>
          <w:b w:val="0"/>
          <w:iCs/>
          <w:sz w:val="22"/>
          <w:szCs w:val="22"/>
          <w:lang w:val="fr-FR"/>
        </w:rPr>
        <w:t>’</w:t>
      </w:r>
      <w:r w:rsidRPr="00F724CE">
        <w:rPr>
          <w:b w:val="0"/>
          <w:iCs/>
          <w:sz w:val="22"/>
          <w:szCs w:val="22"/>
          <w:lang w:val="fr-FR"/>
        </w:rPr>
        <w:t>un format de rapport national triennal,</w:t>
      </w:r>
    </w:p>
    <w:p w:rsidR="00C84C24" w:rsidRPr="00500C7B" w:rsidRDefault="00C84C24" w:rsidP="00097E55">
      <w:pPr>
        <w:rPr>
          <w:sz w:val="22"/>
          <w:szCs w:val="22"/>
          <w:lang w:val="fr-FR" w:eastAsia="en-US"/>
        </w:rPr>
      </w:pPr>
    </w:p>
    <w:p w:rsidR="00C84C24" w:rsidRPr="00500C7B" w:rsidRDefault="00C84C24" w:rsidP="00097E55">
      <w:pPr>
        <w:ind w:firstLine="720"/>
        <w:jc w:val="both"/>
        <w:rPr>
          <w:sz w:val="22"/>
          <w:szCs w:val="22"/>
          <w:lang w:val="fr-FR"/>
        </w:rPr>
      </w:pPr>
      <w:r w:rsidRPr="00F724CE">
        <w:rPr>
          <w:i/>
          <w:iCs/>
          <w:sz w:val="22"/>
          <w:szCs w:val="22"/>
          <w:lang w:val="fr-FR"/>
        </w:rPr>
        <w:t xml:space="preserve">Notant </w:t>
      </w:r>
      <w:r w:rsidRPr="00F724CE">
        <w:rPr>
          <w:iCs/>
          <w:sz w:val="22"/>
          <w:szCs w:val="22"/>
          <w:lang w:val="fr-FR"/>
        </w:rPr>
        <w:t>que la 6</w:t>
      </w:r>
      <w:r w:rsidRPr="00F724CE">
        <w:rPr>
          <w:iCs/>
          <w:sz w:val="22"/>
          <w:szCs w:val="22"/>
          <w:vertAlign w:val="superscript"/>
          <w:lang w:val="fr-FR"/>
        </w:rPr>
        <w:t>ème</w:t>
      </w:r>
      <w:r w:rsidRPr="00F724CE">
        <w:rPr>
          <w:iCs/>
          <w:sz w:val="22"/>
          <w:szCs w:val="22"/>
          <w:lang w:val="fr-FR"/>
        </w:rPr>
        <w:t xml:space="preserve"> réunion du Comité technique a recommandé le développ</w:t>
      </w:r>
      <w:r>
        <w:rPr>
          <w:iCs/>
          <w:sz w:val="22"/>
          <w:szCs w:val="22"/>
          <w:lang w:val="fr-FR"/>
        </w:rPr>
        <w:t>em</w:t>
      </w:r>
      <w:r w:rsidRPr="00F724CE">
        <w:rPr>
          <w:iCs/>
          <w:sz w:val="22"/>
          <w:szCs w:val="22"/>
          <w:lang w:val="fr-FR"/>
        </w:rPr>
        <w:t xml:space="preserve">ent d’un </w:t>
      </w:r>
      <w:r>
        <w:rPr>
          <w:iCs/>
          <w:sz w:val="22"/>
          <w:szCs w:val="22"/>
          <w:lang w:val="fr-FR"/>
        </w:rPr>
        <w:t>dispositif</w:t>
      </w:r>
      <w:r w:rsidRPr="00F724CE">
        <w:rPr>
          <w:iCs/>
          <w:sz w:val="22"/>
          <w:szCs w:val="22"/>
          <w:lang w:val="fr-FR"/>
        </w:rPr>
        <w:t xml:space="preserve"> en ligne en tant qu’outil pour une meilleure harmonisation des modèles de rapport de l’AEWA,</w:t>
      </w:r>
    </w:p>
    <w:p w:rsidR="00C84C24" w:rsidRPr="00500C7B" w:rsidRDefault="00C84C24" w:rsidP="00167BA7">
      <w:pPr>
        <w:pStyle w:val="Heading1"/>
        <w:numPr>
          <w:ilvl w:val="0"/>
          <w:numId w:val="0"/>
        </w:numPr>
        <w:jc w:val="both"/>
        <w:rPr>
          <w:sz w:val="22"/>
          <w:szCs w:val="22"/>
          <w:lang w:val="fr-FR"/>
        </w:rPr>
      </w:pPr>
    </w:p>
    <w:p w:rsidR="00C84C24" w:rsidRPr="00500C7B" w:rsidRDefault="00C84C24" w:rsidP="00097E55">
      <w:pPr>
        <w:ind w:firstLine="720"/>
        <w:jc w:val="both"/>
        <w:rPr>
          <w:sz w:val="22"/>
          <w:szCs w:val="22"/>
          <w:lang w:val="fr-FR"/>
        </w:rPr>
      </w:pPr>
      <w:r w:rsidRPr="00F724CE">
        <w:rPr>
          <w:i/>
          <w:sz w:val="22"/>
          <w:szCs w:val="22"/>
          <w:lang w:val="fr-FR"/>
        </w:rPr>
        <w:t xml:space="preserve">Rappelant </w:t>
      </w:r>
      <w:r w:rsidRPr="00F724CE">
        <w:rPr>
          <w:sz w:val="22"/>
          <w:szCs w:val="22"/>
          <w:lang w:val="fr-FR"/>
        </w:rPr>
        <w:t>la Résolution 3.5, qui a chargé le Secrétariat de développer un format en ligne de rapport national, en étroite coopération avec le Comité technique et le Secrétariat de la Convention sur les espèces migratrices (CMS), tout en cherchant à faire progresser l’harmonisation des rapports avec les autres accords internationaux sur la biodiversité, et de soumettre ce format à la MOP4 pour approbation,</w:t>
      </w:r>
    </w:p>
    <w:p w:rsidR="00C84C24" w:rsidRPr="00500C7B" w:rsidRDefault="00C84C24" w:rsidP="00097E55">
      <w:pPr>
        <w:ind w:firstLine="720"/>
        <w:jc w:val="both"/>
        <w:rPr>
          <w:sz w:val="22"/>
          <w:szCs w:val="22"/>
          <w:lang w:val="fr-FR"/>
        </w:rPr>
      </w:pPr>
    </w:p>
    <w:p w:rsidR="00C84C24" w:rsidRPr="00500C7B" w:rsidRDefault="00C84C24" w:rsidP="00097E55">
      <w:pPr>
        <w:ind w:firstLine="720"/>
        <w:jc w:val="both"/>
        <w:rPr>
          <w:sz w:val="22"/>
          <w:szCs w:val="22"/>
          <w:lang w:val="fr-FR"/>
        </w:rPr>
      </w:pPr>
      <w:r w:rsidRPr="00F724CE">
        <w:rPr>
          <w:i/>
          <w:sz w:val="22"/>
          <w:szCs w:val="22"/>
          <w:lang w:val="fr-FR"/>
        </w:rPr>
        <w:t>Rappelant</w:t>
      </w:r>
      <w:r w:rsidRPr="00F724CE">
        <w:rPr>
          <w:sz w:val="22"/>
          <w:szCs w:val="22"/>
          <w:lang w:val="fr-FR"/>
        </w:rPr>
        <w:t xml:space="preserve"> la Résolution 4.7, qui a adopté et approuvé l’utilisation d’un format de rapport national en ligne pour que les Parties contractantes présentent leur rapport aux futures MOP, et qui exhortait les Parties contractantes</w:t>
      </w:r>
      <w:r w:rsidRPr="00F724CE">
        <w:rPr>
          <w:iCs/>
          <w:sz w:val="22"/>
          <w:szCs w:val="22"/>
          <w:lang w:val="fr-FR"/>
        </w:rPr>
        <w:t xml:space="preserve"> à utiliser l’outil de rapport national en ligne afin de présenter un rapport le plus détaillé possible à chaque MOP, et </w:t>
      </w:r>
      <w:r>
        <w:rPr>
          <w:iCs/>
          <w:sz w:val="22"/>
          <w:szCs w:val="22"/>
          <w:lang w:val="fr-FR"/>
        </w:rPr>
        <w:t>à</w:t>
      </w:r>
      <w:r w:rsidRPr="00F724CE">
        <w:rPr>
          <w:iCs/>
          <w:sz w:val="22"/>
          <w:szCs w:val="22"/>
          <w:lang w:val="fr-FR"/>
        </w:rPr>
        <w:t xml:space="preserve"> fournir un feedback sur les leçons tirées de l’utilisation du système de rapport en ligne,</w:t>
      </w:r>
      <w:r w:rsidRPr="00500C7B">
        <w:rPr>
          <w:sz w:val="22"/>
          <w:szCs w:val="22"/>
          <w:lang w:val="fr-FR"/>
        </w:rPr>
        <w:t xml:space="preserve"> </w:t>
      </w:r>
    </w:p>
    <w:p w:rsidR="00C84C24" w:rsidRPr="00500C7B" w:rsidRDefault="00C84C24" w:rsidP="00097E55">
      <w:pPr>
        <w:ind w:firstLine="720"/>
        <w:jc w:val="both"/>
        <w:rPr>
          <w:sz w:val="22"/>
          <w:szCs w:val="22"/>
          <w:lang w:val="fr-FR"/>
        </w:rPr>
      </w:pPr>
    </w:p>
    <w:p w:rsidR="00C84C24" w:rsidRPr="00500C7B" w:rsidRDefault="00C84C24" w:rsidP="00097E55">
      <w:pPr>
        <w:ind w:firstLine="720"/>
        <w:jc w:val="both"/>
        <w:rPr>
          <w:sz w:val="22"/>
          <w:szCs w:val="22"/>
          <w:lang w:val="fr-FR"/>
        </w:rPr>
      </w:pPr>
      <w:r w:rsidRPr="00F724CE">
        <w:rPr>
          <w:i/>
          <w:sz w:val="22"/>
          <w:szCs w:val="22"/>
          <w:lang w:val="fr-FR"/>
        </w:rPr>
        <w:t xml:space="preserve">Rappelant également </w:t>
      </w:r>
      <w:r w:rsidRPr="00F724CE">
        <w:rPr>
          <w:sz w:val="22"/>
          <w:szCs w:val="22"/>
          <w:lang w:val="fr-FR"/>
        </w:rPr>
        <w:t>la Résolution 4.7, qui demandait au PNUE de poursuivre la mise en œuvre de son projet « </w:t>
      </w:r>
      <w:r w:rsidRPr="00F724CE">
        <w:rPr>
          <w:i/>
          <w:sz w:val="22"/>
          <w:szCs w:val="22"/>
          <w:lang w:val="fr-FR"/>
        </w:rPr>
        <w:t>Renforcer la mise en œuvre des conventions sur la biodiversité à travers l’utilisation stratégique des informations :</w:t>
      </w:r>
      <w:r w:rsidRPr="00500C7B">
        <w:rPr>
          <w:i/>
          <w:sz w:val="22"/>
          <w:szCs w:val="22"/>
          <w:lang w:val="fr-FR"/>
        </w:rPr>
        <w:t xml:space="preserve"> </w:t>
      </w:r>
      <w:r w:rsidRPr="00DD1B44">
        <w:rPr>
          <w:i/>
          <w:sz w:val="22"/>
          <w:szCs w:val="22"/>
          <w:lang w:val="fr-FR"/>
        </w:rPr>
        <w:t>gestion des connaissances entre les AEM</w:t>
      </w:r>
      <w:r w:rsidR="00EA1510">
        <w:rPr>
          <w:sz w:val="22"/>
          <w:szCs w:val="22"/>
          <w:lang w:val="fr-FR"/>
        </w:rPr>
        <w:t xml:space="preserve"> » avec des </w:t>
      </w:r>
      <w:r w:rsidRPr="00DD1B44">
        <w:rPr>
          <w:sz w:val="22"/>
          <w:szCs w:val="22"/>
          <w:lang w:val="fr-FR"/>
        </w:rPr>
        <w:t xml:space="preserve">initiatives supplémentaires qui, entre autres, aideraient au développement d’outils d’analyse et de synthèse des informations fournies par le biais de l’outil de rapport national en ligne, </w:t>
      </w:r>
      <w:r>
        <w:rPr>
          <w:sz w:val="22"/>
          <w:szCs w:val="22"/>
          <w:lang w:val="fr-FR"/>
        </w:rPr>
        <w:t xml:space="preserve">et </w:t>
      </w:r>
      <w:r w:rsidRPr="00DD1B44">
        <w:rPr>
          <w:sz w:val="22"/>
          <w:szCs w:val="22"/>
          <w:lang w:val="fr-FR"/>
        </w:rPr>
        <w:t xml:space="preserve">qui enjoignait la communauté des donateurs à fournir des ressources financières pour permettre au Secrétariat de continuer à travailler en collaboration avec le PNUE et avec le Centre mondial de surveillance </w:t>
      </w:r>
      <w:r>
        <w:rPr>
          <w:sz w:val="22"/>
          <w:szCs w:val="22"/>
          <w:lang w:val="fr-FR"/>
        </w:rPr>
        <w:t>pour</w:t>
      </w:r>
      <w:r w:rsidRPr="00DD1B44">
        <w:rPr>
          <w:sz w:val="22"/>
          <w:szCs w:val="22"/>
          <w:lang w:val="fr-FR"/>
        </w:rPr>
        <w:t xml:space="preserve"> la conservation </w:t>
      </w:r>
      <w:r>
        <w:rPr>
          <w:sz w:val="22"/>
          <w:szCs w:val="22"/>
          <w:lang w:val="fr-FR"/>
        </w:rPr>
        <w:t xml:space="preserve">de la nature </w:t>
      </w:r>
      <w:r w:rsidRPr="00DD1B44">
        <w:rPr>
          <w:sz w:val="22"/>
          <w:szCs w:val="22"/>
          <w:lang w:val="fr-FR"/>
        </w:rPr>
        <w:t>du PNUE (PNUE-CMSC) afin de mettre en œuvre les activités prévues pour renforcer le format de rapport national en ligne,</w:t>
      </w:r>
    </w:p>
    <w:p w:rsidR="00C84C24" w:rsidRPr="00500C7B" w:rsidRDefault="00C84C24" w:rsidP="00097E55">
      <w:pPr>
        <w:ind w:firstLine="720"/>
        <w:jc w:val="both"/>
        <w:rPr>
          <w:i/>
          <w:sz w:val="22"/>
          <w:szCs w:val="22"/>
          <w:lang w:val="fr-FR"/>
        </w:rPr>
      </w:pPr>
    </w:p>
    <w:p w:rsidR="00C84C24" w:rsidRPr="00500C7B" w:rsidRDefault="00C84C24" w:rsidP="00097E55">
      <w:pPr>
        <w:ind w:firstLine="720"/>
        <w:jc w:val="both"/>
        <w:rPr>
          <w:sz w:val="22"/>
          <w:szCs w:val="22"/>
          <w:lang w:val="fr-FR"/>
        </w:rPr>
      </w:pPr>
      <w:r w:rsidRPr="00DD1B44">
        <w:rPr>
          <w:i/>
          <w:sz w:val="22"/>
          <w:szCs w:val="22"/>
          <w:lang w:val="fr-FR"/>
        </w:rPr>
        <w:t>Réaffirmant</w:t>
      </w:r>
      <w:r w:rsidRPr="00DD1B44">
        <w:rPr>
          <w:sz w:val="22"/>
          <w:szCs w:val="22"/>
          <w:lang w:val="fr-FR"/>
        </w:rPr>
        <w:t xml:space="preserve"> qu’un système flexible de rapport national en ligne faciliterait la tâche d</w:t>
      </w:r>
      <w:r>
        <w:rPr>
          <w:sz w:val="22"/>
          <w:szCs w:val="22"/>
          <w:lang w:val="fr-FR"/>
        </w:rPr>
        <w:t>’établissement de rapports</w:t>
      </w:r>
      <w:r w:rsidRPr="00DD1B44">
        <w:rPr>
          <w:sz w:val="22"/>
          <w:szCs w:val="22"/>
          <w:lang w:val="fr-FR"/>
        </w:rPr>
        <w:t xml:space="preserve"> des Parties contractantes et devrait donc augmenter le taux de soumission des rapports nationaux, fournissant également une base pour l’évaluation et la surveillance de la mise en œuvre nationale et internationale, et pour l’identification des lacunes,</w:t>
      </w:r>
    </w:p>
    <w:p w:rsidR="00C84C24" w:rsidRPr="00500C7B" w:rsidRDefault="00C84C24" w:rsidP="00097E55">
      <w:pPr>
        <w:jc w:val="both"/>
        <w:rPr>
          <w:sz w:val="22"/>
          <w:szCs w:val="22"/>
          <w:lang w:val="fr-FR"/>
        </w:rPr>
      </w:pPr>
    </w:p>
    <w:p w:rsidR="00C84C24" w:rsidRPr="00500C7B" w:rsidRDefault="00C84C24" w:rsidP="00097E55">
      <w:pPr>
        <w:ind w:firstLine="720"/>
        <w:jc w:val="both"/>
        <w:rPr>
          <w:sz w:val="22"/>
          <w:szCs w:val="22"/>
          <w:lang w:val="fr-FR"/>
        </w:rPr>
      </w:pPr>
      <w:r w:rsidRPr="00DD1B44">
        <w:rPr>
          <w:i/>
          <w:sz w:val="22"/>
          <w:szCs w:val="22"/>
          <w:lang w:val="fr-FR"/>
        </w:rPr>
        <w:t xml:space="preserve">Reconnaissant </w:t>
      </w:r>
      <w:r w:rsidRPr="00DD1B44">
        <w:rPr>
          <w:sz w:val="22"/>
          <w:szCs w:val="22"/>
          <w:lang w:val="fr-FR"/>
        </w:rPr>
        <w:t xml:space="preserve">le travail effectué par le Secrétariat, le Comité technique et le PNUE-CMSC tant dans la révision que dans l’amélioration du format de rapport national pour son application en ligne et dans le développement du Système de rapport national en ligne (ORS) dans le contexte du </w:t>
      </w:r>
      <w:r w:rsidRPr="00DD1B44">
        <w:rPr>
          <w:i/>
          <w:sz w:val="22"/>
          <w:szCs w:val="22"/>
          <w:lang w:val="fr-FR"/>
        </w:rPr>
        <w:t xml:space="preserve">Projet de gestion des connaissances </w:t>
      </w:r>
      <w:r w:rsidRPr="00DD1B44">
        <w:rPr>
          <w:sz w:val="22"/>
          <w:szCs w:val="22"/>
          <w:lang w:val="fr-FR"/>
        </w:rPr>
        <w:t xml:space="preserve">du </w:t>
      </w:r>
      <w:r w:rsidRPr="00DD1B44">
        <w:rPr>
          <w:i/>
          <w:sz w:val="22"/>
          <w:szCs w:val="22"/>
          <w:lang w:val="fr-FR"/>
        </w:rPr>
        <w:t>PNUE</w:t>
      </w:r>
      <w:r w:rsidR="00C72619">
        <w:rPr>
          <w:i/>
          <w:sz w:val="22"/>
          <w:szCs w:val="22"/>
          <w:lang w:val="fr-FR"/>
        </w:rPr>
        <w:t>-</w:t>
      </w:r>
      <w:r w:rsidRPr="00DD1B44">
        <w:rPr>
          <w:i/>
          <w:sz w:val="22"/>
          <w:szCs w:val="22"/>
          <w:lang w:val="fr-FR"/>
        </w:rPr>
        <w:t>DELC</w:t>
      </w:r>
      <w:r w:rsidRPr="00DD1B44">
        <w:rPr>
          <w:sz w:val="22"/>
          <w:szCs w:val="22"/>
          <w:lang w:val="fr-FR"/>
        </w:rPr>
        <w:t xml:space="preserve">, qui était la plateforme électronique basée sur le Web utilisée pour la remise des rapports à la MOP5, tout en </w:t>
      </w:r>
      <w:r w:rsidRPr="00DD1B44">
        <w:rPr>
          <w:i/>
          <w:sz w:val="22"/>
          <w:szCs w:val="22"/>
          <w:lang w:val="fr-FR"/>
        </w:rPr>
        <w:t>reconnaissant également</w:t>
      </w:r>
      <w:r w:rsidRPr="00DD1B44">
        <w:rPr>
          <w:sz w:val="22"/>
          <w:szCs w:val="22"/>
          <w:lang w:val="fr-FR"/>
        </w:rPr>
        <w:t xml:space="preserve"> le travail que fournit l’Initiative de</w:t>
      </w:r>
      <w:r w:rsidRPr="00DD1B44">
        <w:rPr>
          <w:i/>
          <w:sz w:val="22"/>
          <w:szCs w:val="22"/>
          <w:lang w:val="fr-FR"/>
        </w:rPr>
        <w:t xml:space="preserve"> Gestion des informations et des connaissances (IKM) pour les accords environnementaux multilatéraux (AEM) </w:t>
      </w:r>
      <w:r w:rsidRPr="00DD1B44">
        <w:rPr>
          <w:sz w:val="22"/>
          <w:szCs w:val="22"/>
          <w:lang w:val="fr-FR"/>
        </w:rPr>
        <w:t>du PNUE en permettant le partage de connaissances et la collaboration au sujet de la remise des rapports nationaux en ligne entre les AEM, tout en explorant les options techniques d</w:t>
      </w:r>
      <w:r>
        <w:rPr>
          <w:sz w:val="22"/>
          <w:szCs w:val="22"/>
          <w:lang w:val="fr-FR"/>
        </w:rPr>
        <w:t>’établissement de rapports conjoint et d’</w:t>
      </w:r>
      <w:r w:rsidRPr="00DD1B44">
        <w:rPr>
          <w:sz w:val="22"/>
          <w:szCs w:val="22"/>
          <w:lang w:val="fr-FR"/>
        </w:rPr>
        <w:t xml:space="preserve">outils analytiques </w:t>
      </w:r>
      <w:r>
        <w:rPr>
          <w:sz w:val="22"/>
          <w:szCs w:val="22"/>
          <w:lang w:val="fr-FR"/>
        </w:rPr>
        <w:t xml:space="preserve">dans le cadre </w:t>
      </w:r>
      <w:r w:rsidRPr="00DD1B44">
        <w:rPr>
          <w:sz w:val="22"/>
          <w:szCs w:val="22"/>
          <w:lang w:val="fr-FR"/>
        </w:rPr>
        <w:t xml:space="preserve">de </w:t>
      </w:r>
      <w:r>
        <w:rPr>
          <w:sz w:val="22"/>
          <w:szCs w:val="22"/>
          <w:lang w:val="fr-FR"/>
        </w:rPr>
        <w:t xml:space="preserve">la </w:t>
      </w:r>
      <w:r w:rsidRPr="00DD1B44">
        <w:rPr>
          <w:sz w:val="22"/>
          <w:szCs w:val="22"/>
          <w:lang w:val="fr-FR"/>
        </w:rPr>
        <w:t>remise des rapports nationaux aux AEM,</w:t>
      </w:r>
    </w:p>
    <w:p w:rsidR="00C84C24" w:rsidRPr="00500C7B" w:rsidRDefault="00C84C24" w:rsidP="00097E55">
      <w:pPr>
        <w:ind w:firstLine="720"/>
        <w:jc w:val="both"/>
        <w:rPr>
          <w:sz w:val="22"/>
          <w:szCs w:val="22"/>
          <w:lang w:val="fr-FR"/>
        </w:rPr>
      </w:pPr>
    </w:p>
    <w:p w:rsidR="00C84C24" w:rsidRPr="00500C7B" w:rsidRDefault="00C84C24" w:rsidP="00A151BF">
      <w:pPr>
        <w:ind w:firstLine="720"/>
        <w:jc w:val="both"/>
        <w:rPr>
          <w:sz w:val="22"/>
          <w:szCs w:val="22"/>
          <w:lang w:val="fr-FR"/>
        </w:rPr>
      </w:pPr>
      <w:r w:rsidRPr="00FD0C3E">
        <w:rPr>
          <w:i/>
          <w:sz w:val="22"/>
          <w:szCs w:val="22"/>
          <w:lang w:val="fr-FR"/>
        </w:rPr>
        <w:lastRenderedPageBreak/>
        <w:t>Notant</w:t>
      </w:r>
      <w:r w:rsidRPr="00FD0C3E">
        <w:rPr>
          <w:sz w:val="22"/>
          <w:szCs w:val="22"/>
          <w:lang w:val="fr-FR"/>
        </w:rPr>
        <w:t xml:space="preserve"> que 13 rapports nationaux (21 % des rapports devant être remis) ont été soumis à la MOP5 en utilisant l’ORS avant</w:t>
      </w:r>
      <w:r>
        <w:rPr>
          <w:sz w:val="22"/>
          <w:szCs w:val="22"/>
          <w:lang w:val="fr-FR"/>
        </w:rPr>
        <w:t xml:space="preserve"> le 14 janvier 2012, </w:t>
      </w:r>
      <w:r w:rsidRPr="00FD0C3E">
        <w:rPr>
          <w:sz w:val="22"/>
          <w:szCs w:val="22"/>
          <w:lang w:val="fr-FR"/>
        </w:rPr>
        <w:t xml:space="preserve">date limite officielle, et que 30 ont été soumis après </w:t>
      </w:r>
      <w:r>
        <w:rPr>
          <w:sz w:val="22"/>
          <w:szCs w:val="22"/>
          <w:lang w:val="fr-FR"/>
        </w:rPr>
        <w:t>cette</w:t>
      </w:r>
      <w:r w:rsidRPr="00FD0C3E">
        <w:rPr>
          <w:sz w:val="22"/>
          <w:szCs w:val="22"/>
          <w:lang w:val="fr-FR"/>
        </w:rPr>
        <w:t xml:space="preserve"> date limite officielle, mais avant la dernière échéance</w:t>
      </w:r>
      <w:r>
        <w:rPr>
          <w:sz w:val="22"/>
          <w:szCs w:val="22"/>
          <w:lang w:val="fr-FR"/>
        </w:rPr>
        <w:t xml:space="preserve"> du</w:t>
      </w:r>
      <w:r w:rsidRPr="00FD0C3E">
        <w:rPr>
          <w:sz w:val="22"/>
          <w:szCs w:val="22"/>
          <w:lang w:val="fr-FR"/>
        </w:rPr>
        <w:t xml:space="preserve"> </w:t>
      </w:r>
      <w:r w:rsidR="00C72619" w:rsidRPr="00FD0C3E">
        <w:rPr>
          <w:sz w:val="22"/>
          <w:szCs w:val="22"/>
          <w:lang w:val="fr-FR"/>
        </w:rPr>
        <w:t>2</w:t>
      </w:r>
      <w:r w:rsidR="00C72619">
        <w:rPr>
          <w:sz w:val="22"/>
          <w:szCs w:val="22"/>
          <w:lang w:val="fr-FR"/>
        </w:rPr>
        <w:t>3</w:t>
      </w:r>
      <w:r w:rsidR="00C72619" w:rsidRPr="00FD0C3E">
        <w:rPr>
          <w:sz w:val="22"/>
          <w:szCs w:val="22"/>
          <w:lang w:val="fr-FR"/>
        </w:rPr>
        <w:t xml:space="preserve"> </w:t>
      </w:r>
      <w:r w:rsidRPr="00FD0C3E">
        <w:rPr>
          <w:sz w:val="22"/>
          <w:szCs w:val="22"/>
          <w:lang w:val="fr-FR"/>
        </w:rPr>
        <w:t>février 2012, pour inclusion dans le groupe de rapports à analyser, et qu’au total 69 % des rapports nationaux devant être remis ont été soumis à temps par le biais de l’ORS pour être inclus dans l’analyse des rapports nationaux préparée par le PNUE-CMSC</w:t>
      </w:r>
      <w:r>
        <w:rPr>
          <w:sz w:val="22"/>
          <w:szCs w:val="22"/>
          <w:lang w:val="fr-FR"/>
        </w:rPr>
        <w:t>,</w:t>
      </w:r>
      <w:r w:rsidRPr="00FD0C3E">
        <w:rPr>
          <w:sz w:val="22"/>
          <w:szCs w:val="22"/>
          <w:lang w:val="fr-FR"/>
        </w:rPr>
        <w:t xml:space="preserve"> exposé</w:t>
      </w:r>
      <w:r>
        <w:rPr>
          <w:sz w:val="22"/>
          <w:szCs w:val="22"/>
          <w:lang w:val="fr-FR"/>
        </w:rPr>
        <w:t>e</w:t>
      </w:r>
      <w:r w:rsidRPr="00FD0C3E">
        <w:rPr>
          <w:sz w:val="22"/>
          <w:szCs w:val="22"/>
          <w:lang w:val="fr-FR"/>
        </w:rPr>
        <w:t xml:space="preserve"> en détail dans le document AEWA/MOP 5.13,</w:t>
      </w:r>
    </w:p>
    <w:p w:rsidR="00C84C24" w:rsidRPr="00500C7B" w:rsidRDefault="00C84C24" w:rsidP="00A151BF">
      <w:pPr>
        <w:ind w:firstLine="720"/>
        <w:jc w:val="both"/>
        <w:rPr>
          <w:sz w:val="22"/>
          <w:szCs w:val="22"/>
          <w:lang w:val="fr-FR"/>
        </w:rPr>
      </w:pPr>
    </w:p>
    <w:p w:rsidR="00C84C24" w:rsidRPr="00500C7B" w:rsidRDefault="00C84C24" w:rsidP="00A151BF">
      <w:pPr>
        <w:ind w:firstLine="720"/>
        <w:jc w:val="both"/>
        <w:rPr>
          <w:sz w:val="22"/>
          <w:szCs w:val="22"/>
          <w:lang w:val="fr-FR"/>
        </w:rPr>
      </w:pPr>
      <w:r w:rsidRPr="00FD0C3E">
        <w:rPr>
          <w:i/>
          <w:sz w:val="22"/>
          <w:szCs w:val="22"/>
          <w:lang w:val="fr-FR"/>
        </w:rPr>
        <w:t>Consciente</w:t>
      </w:r>
      <w:r w:rsidRPr="00FD0C3E">
        <w:rPr>
          <w:sz w:val="22"/>
          <w:szCs w:val="22"/>
          <w:lang w:val="fr-FR"/>
        </w:rPr>
        <w:t xml:space="preserve"> de la date </w:t>
      </w:r>
      <w:r>
        <w:rPr>
          <w:sz w:val="22"/>
          <w:szCs w:val="22"/>
          <w:lang w:val="fr-FR"/>
        </w:rPr>
        <w:t xml:space="preserve">généralement </w:t>
      </w:r>
      <w:r w:rsidRPr="00FD0C3E">
        <w:rPr>
          <w:sz w:val="22"/>
          <w:szCs w:val="22"/>
          <w:lang w:val="fr-FR"/>
        </w:rPr>
        <w:t xml:space="preserve">tardive </w:t>
      </w:r>
      <w:r>
        <w:rPr>
          <w:sz w:val="22"/>
          <w:szCs w:val="22"/>
          <w:lang w:val="fr-FR"/>
        </w:rPr>
        <w:t xml:space="preserve">de la soumission </w:t>
      </w:r>
      <w:r w:rsidRPr="00FD0C3E">
        <w:rPr>
          <w:sz w:val="22"/>
          <w:szCs w:val="22"/>
          <w:lang w:val="fr-FR"/>
        </w:rPr>
        <w:t xml:space="preserve">des rapports nationaux au cours de ce cycle et des cycles précédents, qui </w:t>
      </w:r>
      <w:proofErr w:type="gramStart"/>
      <w:r w:rsidRPr="00FD0C3E">
        <w:rPr>
          <w:sz w:val="22"/>
          <w:szCs w:val="22"/>
          <w:lang w:val="fr-FR"/>
        </w:rPr>
        <w:t>compromet</w:t>
      </w:r>
      <w:proofErr w:type="gramEnd"/>
      <w:r w:rsidRPr="00FD0C3E">
        <w:rPr>
          <w:sz w:val="22"/>
          <w:szCs w:val="22"/>
          <w:lang w:val="fr-FR"/>
        </w:rPr>
        <w:t xml:space="preserve"> la production et </w:t>
      </w:r>
      <w:r>
        <w:rPr>
          <w:sz w:val="22"/>
          <w:szCs w:val="22"/>
          <w:lang w:val="fr-FR"/>
        </w:rPr>
        <w:t xml:space="preserve">la </w:t>
      </w:r>
      <w:r w:rsidRPr="00FD0C3E">
        <w:rPr>
          <w:sz w:val="22"/>
          <w:szCs w:val="22"/>
          <w:lang w:val="fr-FR"/>
        </w:rPr>
        <w:t>soumission en temps voulu à la MOP de l’analyse et du résumé des informations fournies par les Parties contractantes par le bi</w:t>
      </w:r>
      <w:r w:rsidR="00500C7B">
        <w:rPr>
          <w:sz w:val="22"/>
          <w:szCs w:val="22"/>
          <w:lang w:val="fr-FR"/>
        </w:rPr>
        <w:t>ais de leurs rapports nationaux.</w:t>
      </w:r>
      <w:r w:rsidRPr="00500C7B">
        <w:rPr>
          <w:sz w:val="22"/>
          <w:szCs w:val="22"/>
          <w:lang w:val="fr-FR"/>
        </w:rPr>
        <w:t xml:space="preserve"> </w:t>
      </w:r>
    </w:p>
    <w:p w:rsidR="00C84C24" w:rsidRDefault="00C84C24" w:rsidP="00097E55">
      <w:pPr>
        <w:jc w:val="both"/>
        <w:rPr>
          <w:i/>
          <w:iCs/>
          <w:sz w:val="22"/>
          <w:szCs w:val="22"/>
          <w:lang w:val="fr-FR"/>
        </w:rPr>
      </w:pPr>
    </w:p>
    <w:p w:rsidR="007A0686" w:rsidRPr="00500C7B" w:rsidRDefault="007A0686" w:rsidP="00097E55">
      <w:pPr>
        <w:jc w:val="both"/>
        <w:rPr>
          <w:i/>
          <w:iCs/>
          <w:sz w:val="22"/>
          <w:szCs w:val="22"/>
          <w:lang w:val="fr-FR"/>
        </w:rPr>
      </w:pPr>
    </w:p>
    <w:p w:rsidR="00C84C24" w:rsidRPr="00E4127C" w:rsidRDefault="00C84C24" w:rsidP="00097E55">
      <w:pPr>
        <w:jc w:val="both"/>
        <w:rPr>
          <w:sz w:val="22"/>
          <w:szCs w:val="22"/>
          <w:lang w:val="fr-FR"/>
        </w:rPr>
      </w:pPr>
      <w:r w:rsidRPr="00FD0C3E">
        <w:rPr>
          <w:i/>
          <w:iCs/>
          <w:sz w:val="22"/>
          <w:szCs w:val="22"/>
          <w:lang w:val="fr-FR"/>
        </w:rPr>
        <w:t>La Réunion des Parties :</w:t>
      </w:r>
    </w:p>
    <w:p w:rsidR="00C84C24" w:rsidRPr="00E4127C" w:rsidRDefault="00C84C24" w:rsidP="00097E55">
      <w:pPr>
        <w:jc w:val="both"/>
        <w:rPr>
          <w:sz w:val="22"/>
          <w:szCs w:val="22"/>
          <w:lang w:val="fr-FR"/>
        </w:rPr>
      </w:pPr>
    </w:p>
    <w:p w:rsidR="00C84C24" w:rsidRPr="00500C7B" w:rsidRDefault="00C84C24" w:rsidP="00097E55">
      <w:pPr>
        <w:tabs>
          <w:tab w:val="num" w:pos="720"/>
        </w:tabs>
        <w:jc w:val="both"/>
        <w:rPr>
          <w:sz w:val="22"/>
          <w:szCs w:val="22"/>
          <w:lang w:val="fr-FR"/>
        </w:rPr>
      </w:pPr>
      <w:r w:rsidRPr="00500C7B">
        <w:rPr>
          <w:sz w:val="22"/>
          <w:szCs w:val="22"/>
          <w:lang w:val="fr-FR"/>
        </w:rPr>
        <w:t>1.</w:t>
      </w:r>
      <w:r w:rsidRPr="00500C7B">
        <w:rPr>
          <w:i/>
          <w:sz w:val="22"/>
          <w:szCs w:val="22"/>
          <w:lang w:val="fr-FR"/>
        </w:rPr>
        <w:tab/>
      </w:r>
      <w:r w:rsidRPr="00FD0C3E">
        <w:rPr>
          <w:i/>
          <w:sz w:val="22"/>
          <w:szCs w:val="22"/>
          <w:lang w:val="fr-FR"/>
        </w:rPr>
        <w:t xml:space="preserve">Félicite </w:t>
      </w:r>
      <w:r w:rsidRPr="00FD0C3E">
        <w:rPr>
          <w:sz w:val="22"/>
          <w:szCs w:val="22"/>
          <w:lang w:val="fr-FR"/>
        </w:rPr>
        <w:t>le Centre mondial de surveillance de la conservation du PNUE et le Secrétariat PNUE/AEWA d’avoir conçu le Système de rapport national en ligne (ORS) en tant que plateforme générique électronique basée sur le Web pour la remise des rapports nationaux en ligne pour les AEM sous le « </w:t>
      </w:r>
      <w:r w:rsidRPr="00FD0C3E">
        <w:rPr>
          <w:i/>
          <w:sz w:val="22"/>
          <w:szCs w:val="22"/>
          <w:lang w:val="fr-FR"/>
        </w:rPr>
        <w:t>Projet de gestion des connaissances pour les AEM</w:t>
      </w:r>
      <w:r w:rsidRPr="00FD0C3E">
        <w:rPr>
          <w:sz w:val="22"/>
          <w:szCs w:val="22"/>
          <w:lang w:val="fr-FR"/>
        </w:rPr>
        <w:t> » dirigé par le PNUE</w:t>
      </w:r>
      <w:r w:rsidR="00062594">
        <w:rPr>
          <w:sz w:val="22"/>
          <w:szCs w:val="22"/>
          <w:lang w:val="fr-FR"/>
        </w:rPr>
        <w:t> ;</w:t>
      </w:r>
    </w:p>
    <w:p w:rsidR="00C84C24" w:rsidRPr="00500C7B" w:rsidRDefault="00C84C24" w:rsidP="00097E55">
      <w:pPr>
        <w:tabs>
          <w:tab w:val="num" w:pos="720"/>
        </w:tabs>
        <w:jc w:val="both"/>
        <w:rPr>
          <w:sz w:val="22"/>
          <w:szCs w:val="22"/>
          <w:lang w:val="fr-FR"/>
        </w:rPr>
      </w:pPr>
    </w:p>
    <w:p w:rsidR="00C84C24" w:rsidRPr="00500C7B" w:rsidRDefault="00C84C24" w:rsidP="00A539BC">
      <w:pPr>
        <w:tabs>
          <w:tab w:val="num" w:pos="720"/>
        </w:tabs>
        <w:jc w:val="both"/>
        <w:rPr>
          <w:sz w:val="22"/>
          <w:szCs w:val="22"/>
          <w:lang w:val="fr-FR"/>
        </w:rPr>
      </w:pPr>
      <w:r w:rsidRPr="00500C7B">
        <w:rPr>
          <w:sz w:val="22"/>
          <w:szCs w:val="22"/>
          <w:lang w:val="fr-FR"/>
        </w:rPr>
        <w:t>2.</w:t>
      </w:r>
      <w:r w:rsidRPr="00500C7B">
        <w:rPr>
          <w:sz w:val="22"/>
          <w:szCs w:val="22"/>
          <w:lang w:val="fr-FR"/>
        </w:rPr>
        <w:tab/>
      </w:r>
      <w:r w:rsidRPr="00FD0C3E">
        <w:rPr>
          <w:i/>
          <w:sz w:val="22"/>
          <w:szCs w:val="22"/>
          <w:lang w:val="fr-FR"/>
        </w:rPr>
        <w:t xml:space="preserve">Reconnaît </w:t>
      </w:r>
      <w:r w:rsidRPr="00FD0C3E">
        <w:rPr>
          <w:sz w:val="22"/>
          <w:szCs w:val="22"/>
          <w:lang w:val="fr-FR"/>
        </w:rPr>
        <w:t>que le processus de remise des rapports à la MOP5 de l’AEWA constituait la première utilisation du Système de rapport national en ligne (ORS) conçu par le PNUE-CMSC et que des ressources supplémentaires sont nécessaires pour développer le composant analytique du système, ainsi que pour entretenir l’ORS et former les rapporteurs nationaux en vue des futurs cycles de remise des rapports</w:t>
      </w:r>
      <w:r w:rsidR="00062594">
        <w:rPr>
          <w:sz w:val="22"/>
          <w:szCs w:val="22"/>
          <w:lang w:val="fr-FR"/>
        </w:rPr>
        <w:t> ;</w:t>
      </w:r>
    </w:p>
    <w:p w:rsidR="00C84C24" w:rsidRPr="00500C7B" w:rsidRDefault="00C84C24" w:rsidP="00A539BC">
      <w:pPr>
        <w:tabs>
          <w:tab w:val="num" w:pos="720"/>
        </w:tabs>
        <w:jc w:val="both"/>
        <w:rPr>
          <w:i/>
          <w:sz w:val="22"/>
          <w:szCs w:val="22"/>
          <w:lang w:val="fr-FR"/>
        </w:rPr>
      </w:pPr>
    </w:p>
    <w:p w:rsidR="00C84C24" w:rsidRPr="00500C7B" w:rsidRDefault="00C84C24" w:rsidP="00A539BC">
      <w:pPr>
        <w:tabs>
          <w:tab w:val="num" w:pos="720"/>
        </w:tabs>
        <w:jc w:val="both"/>
        <w:rPr>
          <w:sz w:val="22"/>
          <w:szCs w:val="22"/>
          <w:lang w:val="fr-FR"/>
        </w:rPr>
      </w:pPr>
      <w:r w:rsidRPr="00500C7B">
        <w:rPr>
          <w:sz w:val="22"/>
          <w:szCs w:val="22"/>
          <w:lang w:val="fr-FR"/>
        </w:rPr>
        <w:t>3.</w:t>
      </w:r>
      <w:r w:rsidRPr="00500C7B">
        <w:rPr>
          <w:i/>
          <w:sz w:val="22"/>
          <w:szCs w:val="22"/>
          <w:lang w:val="fr-FR"/>
        </w:rPr>
        <w:tab/>
      </w:r>
      <w:r w:rsidRPr="00FD0C3E">
        <w:rPr>
          <w:i/>
          <w:sz w:val="22"/>
          <w:szCs w:val="22"/>
          <w:lang w:val="fr-FR"/>
        </w:rPr>
        <w:t xml:space="preserve">Recommande </w:t>
      </w:r>
      <w:r w:rsidRPr="00FD0C3E">
        <w:rPr>
          <w:sz w:val="22"/>
          <w:szCs w:val="22"/>
          <w:lang w:val="fr-FR"/>
        </w:rPr>
        <w:t xml:space="preserve">que l’adoption de l’utilisation de l’ORS en tant qu’outil de remise des rapports nationaux en ligne soit considérée </w:t>
      </w:r>
      <w:r>
        <w:rPr>
          <w:sz w:val="22"/>
          <w:szCs w:val="22"/>
          <w:lang w:val="fr-FR"/>
        </w:rPr>
        <w:t xml:space="preserve">aux fins d’adoption </w:t>
      </w:r>
      <w:r w:rsidRPr="00FD0C3E">
        <w:rPr>
          <w:sz w:val="22"/>
          <w:szCs w:val="22"/>
          <w:lang w:val="fr-FR"/>
        </w:rPr>
        <w:t xml:space="preserve">par les Secrétariats de la CMS, </w:t>
      </w:r>
      <w:r w:rsidR="005B1E07">
        <w:rPr>
          <w:sz w:val="22"/>
          <w:szCs w:val="22"/>
          <w:lang w:val="fr-FR"/>
        </w:rPr>
        <w:t xml:space="preserve">de </w:t>
      </w:r>
      <w:r w:rsidRPr="00FD0C3E">
        <w:rPr>
          <w:sz w:val="22"/>
          <w:szCs w:val="22"/>
          <w:lang w:val="fr-FR"/>
        </w:rPr>
        <w:t xml:space="preserve">ses autres instruments et potentiellement d’autres AEM, afin de fournir une base solide d’harmonisation et de permettre un partage futur des coûts, tant en termes de maintenance que de développement futur de l’ORS, de même qu’en termes de formation et de mesures de </w:t>
      </w:r>
      <w:r>
        <w:rPr>
          <w:sz w:val="22"/>
          <w:szCs w:val="22"/>
          <w:lang w:val="fr-FR"/>
        </w:rPr>
        <w:t>renforcement</w:t>
      </w:r>
      <w:r w:rsidRPr="00FD0C3E">
        <w:rPr>
          <w:sz w:val="22"/>
          <w:szCs w:val="22"/>
          <w:lang w:val="fr-FR"/>
        </w:rPr>
        <w:t xml:space="preserve"> de la capacité associées avec d’autres systèmes de rapports en ligne entre les AEM</w:t>
      </w:r>
      <w:r w:rsidR="00062594">
        <w:rPr>
          <w:sz w:val="22"/>
          <w:szCs w:val="22"/>
          <w:lang w:val="fr-FR"/>
        </w:rPr>
        <w:t> ;</w:t>
      </w:r>
    </w:p>
    <w:p w:rsidR="00C84C24" w:rsidRPr="00500C7B" w:rsidRDefault="00C84C24" w:rsidP="00A539BC">
      <w:pPr>
        <w:tabs>
          <w:tab w:val="num" w:pos="720"/>
        </w:tabs>
        <w:jc w:val="both"/>
        <w:rPr>
          <w:i/>
          <w:iCs/>
          <w:sz w:val="22"/>
          <w:szCs w:val="22"/>
          <w:lang w:val="fr-FR"/>
        </w:rPr>
      </w:pPr>
    </w:p>
    <w:p w:rsidR="00C84C24" w:rsidRPr="00EA1510" w:rsidRDefault="00C84C24" w:rsidP="00A539BC">
      <w:pPr>
        <w:tabs>
          <w:tab w:val="num" w:pos="720"/>
        </w:tabs>
        <w:jc w:val="both"/>
        <w:rPr>
          <w:sz w:val="22"/>
          <w:szCs w:val="22"/>
          <w:lang w:val="fr-FR"/>
        </w:rPr>
      </w:pPr>
      <w:r w:rsidRPr="00EA1510">
        <w:rPr>
          <w:iCs/>
          <w:sz w:val="22"/>
          <w:szCs w:val="22"/>
          <w:lang w:val="fr-FR"/>
        </w:rPr>
        <w:t>4.</w:t>
      </w:r>
      <w:r w:rsidRPr="00EA1510">
        <w:rPr>
          <w:i/>
          <w:iCs/>
          <w:sz w:val="22"/>
          <w:szCs w:val="22"/>
          <w:lang w:val="fr-FR"/>
        </w:rPr>
        <w:tab/>
        <w:t xml:space="preserve">Demande </w:t>
      </w:r>
      <w:r w:rsidRPr="00EA1510">
        <w:rPr>
          <w:iCs/>
          <w:sz w:val="22"/>
          <w:szCs w:val="22"/>
          <w:lang w:val="fr-FR"/>
        </w:rPr>
        <w:t>au PNUE d’édifier sur la base des résultats positifs de projets tels que « </w:t>
      </w:r>
      <w:r w:rsidRPr="00EA1510">
        <w:rPr>
          <w:i/>
          <w:iCs/>
          <w:sz w:val="22"/>
          <w:szCs w:val="22"/>
          <w:lang w:val="fr-FR"/>
        </w:rPr>
        <w:t>Renforcer la mise en œuvre des conventions sur la biodiversité à travers l’utilisation stratégique de l’information :</w:t>
      </w:r>
      <w:r w:rsidRPr="00EA1510">
        <w:rPr>
          <w:i/>
          <w:sz w:val="22"/>
          <w:szCs w:val="22"/>
          <w:lang w:val="fr-FR"/>
        </w:rPr>
        <w:t xml:space="preserve"> gestion des connaissances entre les AEM </w:t>
      </w:r>
      <w:r w:rsidR="00636E12">
        <w:rPr>
          <w:sz w:val="22"/>
          <w:szCs w:val="22"/>
          <w:lang w:val="fr-FR"/>
        </w:rPr>
        <w:t>» au</w:t>
      </w:r>
      <w:r w:rsidR="00EA1510">
        <w:rPr>
          <w:sz w:val="22"/>
          <w:szCs w:val="22"/>
          <w:lang w:val="fr-FR"/>
        </w:rPr>
        <w:t xml:space="preserve"> moyen d’</w:t>
      </w:r>
      <w:r w:rsidRPr="00EA1510">
        <w:rPr>
          <w:sz w:val="22"/>
          <w:szCs w:val="22"/>
          <w:lang w:val="fr-FR"/>
        </w:rPr>
        <w:t>initiatives supplémentaires qui aideraient au développement d’outils d’analyse et de synthèse des informations fournies par le biais du Système de rapport national en ligne (ORS)</w:t>
      </w:r>
      <w:r w:rsidR="00062594" w:rsidRPr="00EA1510">
        <w:rPr>
          <w:sz w:val="22"/>
          <w:szCs w:val="22"/>
          <w:lang w:val="fr-FR"/>
        </w:rPr>
        <w:t> ;</w:t>
      </w:r>
      <w:r w:rsidRPr="00EA1510">
        <w:rPr>
          <w:sz w:val="22"/>
          <w:szCs w:val="22"/>
          <w:lang w:val="fr-FR"/>
        </w:rPr>
        <w:t xml:space="preserve"> </w:t>
      </w:r>
    </w:p>
    <w:p w:rsidR="00C84C24" w:rsidRPr="00EA1510" w:rsidRDefault="00C84C24" w:rsidP="00A539BC">
      <w:pPr>
        <w:tabs>
          <w:tab w:val="num" w:pos="720"/>
        </w:tabs>
        <w:jc w:val="both"/>
        <w:rPr>
          <w:i/>
          <w:sz w:val="22"/>
          <w:szCs w:val="22"/>
          <w:lang w:val="fr-FR"/>
        </w:rPr>
      </w:pPr>
    </w:p>
    <w:p w:rsidR="00C84C24" w:rsidRPr="00EA1510" w:rsidRDefault="00C84C24" w:rsidP="00A539BC">
      <w:pPr>
        <w:tabs>
          <w:tab w:val="num" w:pos="720"/>
        </w:tabs>
        <w:jc w:val="both"/>
        <w:rPr>
          <w:sz w:val="22"/>
          <w:szCs w:val="22"/>
          <w:lang w:val="fr-FR"/>
        </w:rPr>
      </w:pPr>
      <w:r w:rsidRPr="00EA1510">
        <w:rPr>
          <w:sz w:val="22"/>
          <w:szCs w:val="22"/>
          <w:lang w:val="fr-FR"/>
        </w:rPr>
        <w:t>5.</w:t>
      </w:r>
      <w:r w:rsidRPr="00EA1510">
        <w:rPr>
          <w:i/>
          <w:sz w:val="22"/>
          <w:szCs w:val="22"/>
          <w:lang w:val="fr-FR"/>
        </w:rPr>
        <w:tab/>
      </w:r>
      <w:r w:rsidR="00C72619" w:rsidRPr="00EA1510">
        <w:rPr>
          <w:i/>
          <w:sz w:val="22"/>
          <w:szCs w:val="22"/>
          <w:lang w:val="fr-FR"/>
        </w:rPr>
        <w:t xml:space="preserve">Encourage </w:t>
      </w:r>
      <w:r w:rsidRPr="00EA1510">
        <w:rPr>
          <w:i/>
          <w:sz w:val="22"/>
          <w:szCs w:val="22"/>
          <w:lang w:val="fr-FR"/>
        </w:rPr>
        <w:t>également</w:t>
      </w:r>
      <w:r w:rsidRPr="00EA1510">
        <w:rPr>
          <w:sz w:val="22"/>
          <w:szCs w:val="22"/>
          <w:lang w:val="fr-FR"/>
        </w:rPr>
        <w:t xml:space="preserve"> la communauté des donateurs </w:t>
      </w:r>
      <w:r w:rsidR="00C72619" w:rsidRPr="00EA1510">
        <w:rPr>
          <w:sz w:val="22"/>
          <w:szCs w:val="22"/>
          <w:lang w:val="fr-FR"/>
        </w:rPr>
        <w:t xml:space="preserve">à </w:t>
      </w:r>
      <w:r w:rsidRPr="00EA1510">
        <w:rPr>
          <w:sz w:val="22"/>
          <w:szCs w:val="22"/>
          <w:lang w:val="fr-FR"/>
        </w:rPr>
        <w:t>fournir des ressources financières pour permettre au Secrétariat de continuer à travailler en collaboration avec le PNUE et avec le PNUE-CMSC afin de mettre en œuvre les activités prévues pour renforcer le format de rapport national en ligne, telles que le développement du composant analytique de l’ORS</w:t>
      </w:r>
      <w:r w:rsidR="00062594" w:rsidRPr="00EA1510">
        <w:rPr>
          <w:sz w:val="22"/>
          <w:szCs w:val="22"/>
          <w:lang w:val="fr-FR"/>
        </w:rPr>
        <w:t> ;</w:t>
      </w:r>
    </w:p>
    <w:p w:rsidR="00C84C24" w:rsidRPr="00EA1510" w:rsidRDefault="00C84C24" w:rsidP="00A539BC">
      <w:pPr>
        <w:tabs>
          <w:tab w:val="num" w:pos="720"/>
        </w:tabs>
        <w:jc w:val="both"/>
        <w:rPr>
          <w:i/>
          <w:sz w:val="22"/>
          <w:szCs w:val="22"/>
          <w:lang w:val="fr-FR"/>
        </w:rPr>
      </w:pPr>
    </w:p>
    <w:p w:rsidR="00C84C24" w:rsidRPr="00EA1510" w:rsidRDefault="00C84C24" w:rsidP="00A539BC">
      <w:pPr>
        <w:tabs>
          <w:tab w:val="num" w:pos="720"/>
        </w:tabs>
        <w:jc w:val="both"/>
        <w:rPr>
          <w:i/>
          <w:iCs/>
          <w:sz w:val="22"/>
          <w:szCs w:val="22"/>
          <w:lang w:val="fr-FR"/>
        </w:rPr>
      </w:pPr>
      <w:r w:rsidRPr="00EA1510">
        <w:rPr>
          <w:sz w:val="22"/>
          <w:szCs w:val="22"/>
          <w:lang w:val="fr-FR"/>
        </w:rPr>
        <w:t>6.</w:t>
      </w:r>
      <w:r w:rsidRPr="00EA1510">
        <w:rPr>
          <w:i/>
          <w:sz w:val="22"/>
          <w:szCs w:val="22"/>
          <w:lang w:val="fr-FR"/>
        </w:rPr>
        <w:tab/>
        <w:t>Demande en outre</w:t>
      </w:r>
      <w:r w:rsidRPr="00EA1510">
        <w:rPr>
          <w:sz w:val="22"/>
          <w:szCs w:val="22"/>
          <w:lang w:val="fr-FR"/>
        </w:rPr>
        <w:t xml:space="preserve"> au Secrétariat de chercher à travailler avec le PNUE-CMSC pour faire </w:t>
      </w:r>
      <w:r w:rsidR="00C72619" w:rsidRPr="00EA1510">
        <w:rPr>
          <w:sz w:val="22"/>
          <w:szCs w:val="22"/>
          <w:lang w:val="fr-FR"/>
        </w:rPr>
        <w:t xml:space="preserve">progresser </w:t>
      </w:r>
      <w:r w:rsidRPr="00EA1510">
        <w:rPr>
          <w:sz w:val="22"/>
          <w:szCs w:val="22"/>
          <w:lang w:val="fr-FR"/>
        </w:rPr>
        <w:t xml:space="preserve">le futur développement de l’ORS et pour renforcer l’interopérabilité de l’ORS avec les systèmes utilisés pour la remise des rapports nationaux d’autres accords </w:t>
      </w:r>
      <w:r w:rsidR="00406F14" w:rsidRPr="00EA1510">
        <w:rPr>
          <w:sz w:val="22"/>
          <w:szCs w:val="22"/>
          <w:lang w:val="fr-FR"/>
        </w:rPr>
        <w:t>multilatéraux sur l’environnement</w:t>
      </w:r>
      <w:r w:rsidR="007A0686" w:rsidRPr="00EA1510">
        <w:rPr>
          <w:sz w:val="22"/>
          <w:szCs w:val="22"/>
          <w:lang w:val="fr-FR"/>
        </w:rPr>
        <w:t> ;</w:t>
      </w:r>
    </w:p>
    <w:p w:rsidR="00C84C24" w:rsidRPr="00EA1510" w:rsidRDefault="00C84C24" w:rsidP="00A539BC">
      <w:pPr>
        <w:tabs>
          <w:tab w:val="num" w:pos="720"/>
        </w:tabs>
        <w:jc w:val="both"/>
        <w:rPr>
          <w:iCs/>
          <w:sz w:val="22"/>
          <w:szCs w:val="22"/>
          <w:lang w:val="fr-FR"/>
        </w:rPr>
      </w:pPr>
    </w:p>
    <w:p w:rsidR="00C84C24" w:rsidRPr="00EA1510" w:rsidRDefault="00172794" w:rsidP="00A539BC">
      <w:pPr>
        <w:tabs>
          <w:tab w:val="num" w:pos="720"/>
        </w:tabs>
        <w:jc w:val="both"/>
        <w:rPr>
          <w:sz w:val="22"/>
          <w:szCs w:val="22"/>
          <w:lang w:val="fr-FR"/>
        </w:rPr>
      </w:pPr>
      <w:r w:rsidRPr="00EA1510">
        <w:rPr>
          <w:iCs/>
          <w:sz w:val="22"/>
          <w:szCs w:val="22"/>
          <w:lang w:val="fr-FR"/>
        </w:rPr>
        <w:t>7</w:t>
      </w:r>
      <w:r w:rsidR="00C84C24" w:rsidRPr="00EA1510">
        <w:rPr>
          <w:i/>
          <w:iCs/>
          <w:sz w:val="22"/>
          <w:szCs w:val="22"/>
          <w:lang w:val="fr-FR"/>
        </w:rPr>
        <w:t>.</w:t>
      </w:r>
      <w:r w:rsidR="00C84C24" w:rsidRPr="00EA1510">
        <w:rPr>
          <w:i/>
          <w:iCs/>
          <w:sz w:val="22"/>
          <w:szCs w:val="22"/>
          <w:lang w:val="fr-FR"/>
        </w:rPr>
        <w:tab/>
        <w:t>Charge</w:t>
      </w:r>
      <w:r w:rsidR="00C84C24" w:rsidRPr="00EA1510">
        <w:rPr>
          <w:sz w:val="22"/>
          <w:szCs w:val="22"/>
          <w:lang w:val="fr-FR"/>
        </w:rPr>
        <w:t xml:space="preserve"> le Secrétariat de communiquer les progrès réalisés dans le cadre de cette activité à chaque réunion du Comité permanent</w:t>
      </w:r>
      <w:r w:rsidR="00062594" w:rsidRPr="00EA1510">
        <w:rPr>
          <w:sz w:val="22"/>
          <w:szCs w:val="22"/>
          <w:lang w:val="fr-FR"/>
        </w:rPr>
        <w:t> ;</w:t>
      </w:r>
    </w:p>
    <w:p w:rsidR="00C84C24" w:rsidRPr="00EA1510" w:rsidRDefault="00C84C24" w:rsidP="00A539BC">
      <w:pPr>
        <w:tabs>
          <w:tab w:val="num" w:pos="720"/>
        </w:tabs>
        <w:jc w:val="both"/>
        <w:rPr>
          <w:sz w:val="22"/>
          <w:szCs w:val="22"/>
          <w:lang w:val="fr-FR"/>
        </w:rPr>
      </w:pPr>
    </w:p>
    <w:p w:rsidR="00C84C24" w:rsidRPr="00500C7B" w:rsidRDefault="00172794" w:rsidP="00A539BC">
      <w:pPr>
        <w:tabs>
          <w:tab w:val="num" w:pos="720"/>
        </w:tabs>
        <w:jc w:val="both"/>
        <w:rPr>
          <w:sz w:val="22"/>
          <w:szCs w:val="22"/>
          <w:lang w:val="fr-FR"/>
        </w:rPr>
      </w:pPr>
      <w:r w:rsidRPr="00EA1510">
        <w:rPr>
          <w:sz w:val="22"/>
          <w:szCs w:val="22"/>
          <w:lang w:val="fr-FR"/>
        </w:rPr>
        <w:t>8</w:t>
      </w:r>
      <w:r w:rsidR="00C84C24" w:rsidRPr="00EA1510">
        <w:rPr>
          <w:sz w:val="22"/>
          <w:szCs w:val="22"/>
          <w:lang w:val="fr-FR"/>
        </w:rPr>
        <w:t xml:space="preserve">. </w:t>
      </w:r>
      <w:r w:rsidR="00C84C24" w:rsidRPr="00EA1510">
        <w:rPr>
          <w:sz w:val="22"/>
          <w:szCs w:val="22"/>
          <w:lang w:val="fr-FR"/>
        </w:rPr>
        <w:tab/>
      </w:r>
      <w:r w:rsidR="00C72619" w:rsidRPr="00EA1510">
        <w:rPr>
          <w:i/>
          <w:sz w:val="22"/>
          <w:szCs w:val="22"/>
          <w:lang w:val="fr-FR"/>
        </w:rPr>
        <w:t>Décide</w:t>
      </w:r>
      <w:r w:rsidR="00C72619" w:rsidRPr="00EA1510">
        <w:rPr>
          <w:sz w:val="22"/>
          <w:szCs w:val="22"/>
          <w:lang w:val="fr-FR"/>
        </w:rPr>
        <w:t xml:space="preserve"> </w:t>
      </w:r>
      <w:r w:rsidR="00C84C24" w:rsidRPr="00EA1510">
        <w:rPr>
          <w:sz w:val="22"/>
          <w:szCs w:val="22"/>
          <w:lang w:val="fr-FR"/>
        </w:rPr>
        <w:t>que la date limite de soumission des rapports nationaux par les Parties contractantes à la 6</w:t>
      </w:r>
      <w:r w:rsidR="00C84C24" w:rsidRPr="00EA1510">
        <w:rPr>
          <w:sz w:val="22"/>
          <w:szCs w:val="22"/>
          <w:vertAlign w:val="superscript"/>
          <w:lang w:val="fr-FR"/>
        </w:rPr>
        <w:t xml:space="preserve">ème </w:t>
      </w:r>
      <w:r w:rsidR="00C84C24" w:rsidRPr="00EA1510">
        <w:rPr>
          <w:sz w:val="22"/>
          <w:szCs w:val="22"/>
          <w:lang w:val="fr-FR"/>
        </w:rPr>
        <w:t>Session de la</w:t>
      </w:r>
      <w:r w:rsidR="00C84C24" w:rsidRPr="00B46A7A">
        <w:rPr>
          <w:sz w:val="22"/>
          <w:szCs w:val="22"/>
          <w:lang w:val="fr-FR"/>
        </w:rPr>
        <w:t xml:space="preserve"> Réunion des Parties soit fixée à 180 jours avant l’ouverture de la MOP6.</w:t>
      </w:r>
    </w:p>
    <w:sectPr w:rsidR="00C84C24" w:rsidRPr="00500C7B" w:rsidSect="00062594">
      <w:headerReference w:type="even" r:id="rId9"/>
      <w:headerReference w:type="default" r:id="rId10"/>
      <w:footerReference w:type="even" r:id="rId11"/>
      <w:footerReference w:type="default" r:id="rId12"/>
      <w:headerReference w:type="first" r:id="rId13"/>
      <w:footerReference w:type="first" r:id="rId14"/>
      <w:pgSz w:w="11907" w:h="16840" w:code="9"/>
      <w:pgMar w:top="102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02" w:rsidRDefault="00BB4602">
      <w:r>
        <w:separator/>
      </w:r>
    </w:p>
  </w:endnote>
  <w:endnote w:type="continuationSeparator" w:id="0">
    <w:p w:rsidR="00BB4602" w:rsidRDefault="00BB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02" w:rsidRDefault="00BB4602" w:rsidP="001D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4602" w:rsidRDefault="00BB4602" w:rsidP="00E026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02" w:rsidRPr="00E23ADF" w:rsidRDefault="00BB4602" w:rsidP="00E23ADF">
    <w:pPr>
      <w:pStyle w:val="Footer"/>
      <w:jc w:val="center"/>
      <w:rPr>
        <w:sz w:val="20"/>
        <w:szCs w:val="20"/>
      </w:rPr>
    </w:pPr>
    <w:r w:rsidRPr="00E23ADF">
      <w:rPr>
        <w:sz w:val="20"/>
        <w:szCs w:val="20"/>
      </w:rPr>
      <w:fldChar w:fldCharType="begin"/>
    </w:r>
    <w:r w:rsidRPr="00E23ADF">
      <w:rPr>
        <w:sz w:val="20"/>
        <w:szCs w:val="20"/>
      </w:rPr>
      <w:instrText xml:space="preserve"> PAGE   \* MERGEFORMAT </w:instrText>
    </w:r>
    <w:r w:rsidRPr="00E23ADF">
      <w:rPr>
        <w:sz w:val="20"/>
        <w:szCs w:val="20"/>
      </w:rPr>
      <w:fldChar w:fldCharType="separate"/>
    </w:r>
    <w:r w:rsidR="00544DE7">
      <w:rPr>
        <w:noProof/>
        <w:sz w:val="20"/>
        <w:szCs w:val="20"/>
      </w:rPr>
      <w:t>2</w:t>
    </w:r>
    <w:r w:rsidRPr="00E23ADF">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5B" w:rsidRDefault="00916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02" w:rsidRDefault="00BB4602">
      <w:r>
        <w:separator/>
      </w:r>
    </w:p>
  </w:footnote>
  <w:footnote w:type="continuationSeparator" w:id="0">
    <w:p w:rsidR="00BB4602" w:rsidRDefault="00BB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5B" w:rsidRDefault="00916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5B" w:rsidRDefault="00916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5B" w:rsidRPr="007620D4" w:rsidRDefault="0091695B" w:rsidP="0091695B">
    <w:pPr>
      <w:rPr>
        <w:rStyle w:val="Emphasis"/>
      </w:rPr>
    </w:pPr>
  </w:p>
  <w:tbl>
    <w:tblPr>
      <w:tblW w:w="4923" w:type="pct"/>
      <w:tblLayout w:type="fixed"/>
      <w:tblLook w:val="0000" w:firstRow="0" w:lastRow="0" w:firstColumn="0" w:lastColumn="0" w:noHBand="0" w:noVBand="0"/>
    </w:tblPr>
    <w:tblGrid>
      <w:gridCol w:w="1525"/>
      <w:gridCol w:w="7231"/>
      <w:gridCol w:w="947"/>
    </w:tblGrid>
    <w:tr w:rsidR="0091695B" w:rsidRPr="00636E12" w:rsidTr="00CA74CD">
      <w:trPr>
        <w:trHeight w:val="2164"/>
      </w:trPr>
      <w:tc>
        <w:tcPr>
          <w:tcW w:w="786" w:type="pct"/>
        </w:tcPr>
        <w:p w:rsidR="0091695B" w:rsidRDefault="0091695B" w:rsidP="00CA74CD">
          <w:pPr>
            <w:ind w:right="33"/>
          </w:pPr>
          <w:r>
            <w:rPr>
              <w:noProof/>
              <w:lang w:val="en-US" w:eastAsia="en-US"/>
            </w:rPr>
            <w:drawing>
              <wp:anchor distT="0" distB="0" distL="114300" distR="114300" simplePos="0" relativeHeight="251660288" behindDoc="1" locked="0" layoutInCell="1" allowOverlap="1" wp14:anchorId="32920BFA" wp14:editId="27E24CE4">
                <wp:simplePos x="0" y="0"/>
                <wp:positionH relativeFrom="column">
                  <wp:posOffset>-72390</wp:posOffset>
                </wp:positionH>
                <wp:positionV relativeFrom="paragraph">
                  <wp:posOffset>6985</wp:posOffset>
                </wp:positionV>
                <wp:extent cx="982980" cy="819150"/>
                <wp:effectExtent l="0" t="0" r="7620" b="0"/>
                <wp:wrapTight wrapText="bothSides">
                  <wp:wrapPolygon edited="0">
                    <wp:start x="0" y="0"/>
                    <wp:lineTo x="0" y="21098"/>
                    <wp:lineTo x="21349" y="21098"/>
                    <wp:lineTo x="21349" y="0"/>
                    <wp:lineTo x="0" y="0"/>
                  </wp:wrapPolygon>
                </wp:wrapTight>
                <wp:docPr id="5"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98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26" w:type="pct"/>
        </w:tcPr>
        <w:p w:rsidR="0091695B" w:rsidRPr="00C606E5" w:rsidRDefault="0091695B" w:rsidP="00CA74CD">
          <w:pPr>
            <w:tabs>
              <w:tab w:val="left" w:pos="2415"/>
            </w:tabs>
            <w:rPr>
              <w:i/>
              <w:caps/>
              <w:sz w:val="22"/>
              <w:szCs w:val="20"/>
              <w:lang w:val="fr-FR"/>
            </w:rPr>
          </w:pPr>
          <w:r>
            <w:rPr>
              <w:i/>
              <w:caps/>
              <w:sz w:val="22"/>
              <w:szCs w:val="20"/>
              <w:lang w:val="fr-FR"/>
            </w:rPr>
            <w:t xml:space="preserve">            </w:t>
          </w:r>
          <w:r w:rsidRPr="00C606E5">
            <w:rPr>
              <w:i/>
              <w:caps/>
              <w:sz w:val="22"/>
              <w:szCs w:val="20"/>
              <w:lang w:val="fr-FR"/>
            </w:rPr>
            <w:t xml:space="preserve">ACCORD SUR LA CONSERVATION DES OISEAUX </w:t>
          </w:r>
        </w:p>
        <w:p w:rsidR="0091695B" w:rsidRPr="007620D4" w:rsidRDefault="0091695B" w:rsidP="00CA74CD">
          <w:pPr>
            <w:tabs>
              <w:tab w:val="left" w:pos="2415"/>
            </w:tabs>
            <w:rPr>
              <w:i/>
              <w:caps/>
              <w:szCs w:val="22"/>
              <w:lang w:val="fr-FR"/>
            </w:rPr>
          </w:pPr>
          <w:r>
            <w:rPr>
              <w:i/>
              <w:caps/>
              <w:sz w:val="22"/>
              <w:szCs w:val="20"/>
              <w:lang w:val="fr-FR"/>
            </w:rPr>
            <w:t xml:space="preserve">                 </w:t>
          </w:r>
          <w:r w:rsidRPr="007620D4">
            <w:rPr>
              <w:i/>
              <w:caps/>
              <w:sz w:val="22"/>
              <w:szCs w:val="20"/>
              <w:lang w:val="fr-FR"/>
            </w:rPr>
            <w:t>D’eau migrateurs D’afrique-eurasie</w:t>
          </w:r>
        </w:p>
        <w:p w:rsidR="0091695B" w:rsidRPr="007620D4" w:rsidRDefault="0091695B" w:rsidP="00CA74CD">
          <w:pPr>
            <w:tabs>
              <w:tab w:val="left" w:pos="2415"/>
            </w:tabs>
            <w:jc w:val="center"/>
            <w:rPr>
              <w:i/>
              <w:caps/>
              <w:sz w:val="22"/>
              <w:szCs w:val="22"/>
              <w:lang w:val="fr-FR"/>
            </w:rPr>
          </w:pPr>
        </w:p>
        <w:p w:rsidR="0091695B" w:rsidRPr="007620D4" w:rsidRDefault="0091695B" w:rsidP="00CA74CD">
          <w:pPr>
            <w:tabs>
              <w:tab w:val="left" w:pos="2415"/>
            </w:tabs>
            <w:jc w:val="center"/>
            <w:rPr>
              <w:i/>
              <w:caps/>
              <w:sz w:val="22"/>
              <w:szCs w:val="22"/>
              <w:lang w:val="fr-FR"/>
            </w:rPr>
          </w:pPr>
        </w:p>
        <w:p w:rsidR="0091695B" w:rsidRDefault="0091695B" w:rsidP="00CA74CD">
          <w:pPr>
            <w:pStyle w:val="BodyText2"/>
            <w:rPr>
              <w:b/>
              <w:bCs/>
              <w:caps/>
              <w:szCs w:val="26"/>
              <w:lang w:val="fr-FR"/>
            </w:rPr>
          </w:pPr>
          <w:r>
            <w:rPr>
              <w:b/>
              <w:bCs/>
              <w:szCs w:val="26"/>
              <w:lang w:val="fr-FR"/>
            </w:rPr>
            <w:t xml:space="preserve">           </w:t>
          </w:r>
          <w:r w:rsidRPr="00C606E5">
            <w:rPr>
              <w:b/>
              <w:bCs/>
              <w:szCs w:val="26"/>
              <w:lang w:val="fr-FR"/>
            </w:rPr>
            <w:t>5</w:t>
          </w:r>
          <w:r w:rsidRPr="00C606E5">
            <w:rPr>
              <w:b/>
              <w:bCs/>
              <w:szCs w:val="26"/>
              <w:vertAlign w:val="superscript"/>
              <w:lang w:val="fr-FR"/>
            </w:rPr>
            <w:t>ème</w:t>
          </w:r>
          <w:r w:rsidRPr="00C606E5">
            <w:rPr>
              <w:b/>
              <w:bCs/>
              <w:szCs w:val="26"/>
              <w:lang w:val="fr-FR"/>
            </w:rPr>
            <w:t xml:space="preserve"> </w:t>
          </w:r>
          <w:r w:rsidRPr="00C606E5">
            <w:rPr>
              <w:b/>
              <w:bCs/>
              <w:caps/>
              <w:szCs w:val="26"/>
              <w:lang w:val="fr-FR"/>
            </w:rPr>
            <w:t xml:space="preserve">Session de la rÉunion des parties </w:t>
          </w:r>
          <w:r>
            <w:rPr>
              <w:b/>
              <w:bCs/>
              <w:caps/>
              <w:szCs w:val="26"/>
              <w:lang w:val="fr-FR"/>
            </w:rPr>
            <w:t xml:space="preserve">    </w:t>
          </w:r>
        </w:p>
        <w:p w:rsidR="0091695B" w:rsidRPr="00C606E5" w:rsidRDefault="0091695B" w:rsidP="00CA74CD">
          <w:pPr>
            <w:pStyle w:val="BodyText2"/>
            <w:rPr>
              <w:b/>
              <w:bCs/>
              <w:caps/>
              <w:szCs w:val="26"/>
              <w:lang w:val="fr-FR"/>
            </w:rPr>
          </w:pPr>
          <w:r>
            <w:rPr>
              <w:b/>
              <w:bCs/>
              <w:caps/>
              <w:szCs w:val="26"/>
              <w:lang w:val="fr-FR"/>
            </w:rPr>
            <w:t xml:space="preserve">                                C</w:t>
          </w:r>
          <w:r w:rsidRPr="00C606E5">
            <w:rPr>
              <w:b/>
              <w:bCs/>
              <w:caps/>
              <w:szCs w:val="26"/>
              <w:lang w:val="fr-FR"/>
            </w:rPr>
            <w:t>ontractantes</w:t>
          </w:r>
        </w:p>
        <w:p w:rsidR="0091695B" w:rsidRPr="00C606E5" w:rsidRDefault="0091695B" w:rsidP="00CA74CD">
          <w:pPr>
            <w:tabs>
              <w:tab w:val="left" w:pos="2415"/>
              <w:tab w:val="left" w:pos="2975"/>
            </w:tabs>
            <w:rPr>
              <w:lang w:val="fr-FR"/>
            </w:rPr>
          </w:pPr>
          <w:r>
            <w:rPr>
              <w:iCs/>
              <w:lang w:val="fr-FR"/>
            </w:rPr>
            <w:t xml:space="preserve">                    </w:t>
          </w:r>
          <w:r w:rsidRPr="00C606E5">
            <w:rPr>
              <w:iCs/>
              <w:lang w:val="fr-FR"/>
            </w:rPr>
            <w:t>14 – 18 mai 2012, La Rochelle, France</w:t>
          </w:r>
        </w:p>
      </w:tc>
      <w:tc>
        <w:tcPr>
          <w:tcW w:w="488" w:type="pct"/>
        </w:tcPr>
        <w:p w:rsidR="0091695B" w:rsidRPr="00C606E5" w:rsidRDefault="0091695B" w:rsidP="00CA74CD">
          <w:pPr>
            <w:jc w:val="right"/>
            <w:rPr>
              <w:lang w:val="fr-FR"/>
            </w:rPr>
          </w:pPr>
          <w:r>
            <w:rPr>
              <w:noProof/>
              <w:lang w:val="en-US" w:eastAsia="en-US"/>
            </w:rPr>
            <w:drawing>
              <wp:anchor distT="0" distB="0" distL="114300" distR="114300" simplePos="0" relativeHeight="251659264" behindDoc="0" locked="0" layoutInCell="1" allowOverlap="1" wp14:anchorId="2FAC7CDA" wp14:editId="073E8F9D">
                <wp:simplePos x="0" y="0"/>
                <wp:positionH relativeFrom="column">
                  <wp:posOffset>90170</wp:posOffset>
                </wp:positionH>
                <wp:positionV relativeFrom="paragraph">
                  <wp:posOffset>-2540</wp:posOffset>
                </wp:positionV>
                <wp:extent cx="552450" cy="1310659"/>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wa-mop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5283" cy="1317380"/>
                        </a:xfrm>
                        <a:prstGeom prst="rect">
                          <a:avLst/>
                        </a:prstGeom>
                      </pic:spPr>
                    </pic:pic>
                  </a:graphicData>
                </a:graphic>
                <wp14:sizeRelH relativeFrom="page">
                  <wp14:pctWidth>0</wp14:pctWidth>
                </wp14:sizeRelH>
                <wp14:sizeRelV relativeFrom="page">
                  <wp14:pctHeight>0</wp14:pctHeight>
                </wp14:sizeRelV>
              </wp:anchor>
            </w:drawing>
          </w:r>
        </w:p>
      </w:tc>
    </w:tr>
  </w:tbl>
  <w:p w:rsidR="0091695B" w:rsidRDefault="0091695B" w:rsidP="0091695B">
    <w:pPr>
      <w:tabs>
        <w:tab w:val="left" w:pos="2415"/>
      </w:tabs>
      <w:spacing w:before="240"/>
      <w:ind w:hanging="107"/>
      <w:jc w:val="center"/>
      <w:rPr>
        <w:bCs/>
        <w:i/>
        <w:sz w:val="22"/>
        <w:lang w:val="fr-FR"/>
      </w:rPr>
    </w:pPr>
    <w:r w:rsidRPr="00C606E5">
      <w:rPr>
        <w:bCs/>
        <w:i/>
        <w:sz w:val="22"/>
        <w:lang w:val="fr-FR"/>
      </w:rPr>
      <w:t>« Les oiseaux d’eau migrateurs et les hommes – des zones humides en partage »</w:t>
    </w:r>
  </w:p>
  <w:p w:rsidR="00BB4602" w:rsidRPr="00500C7B" w:rsidRDefault="0091695B">
    <w:pPr>
      <w:pStyle w:val="Header"/>
      <w:rPr>
        <w:lang w:val="fr-FR"/>
      </w:rPr>
    </w:pPr>
    <w:r>
      <w:rPr>
        <w:lang w:val="fr-FR"/>
      </w:rP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1F1"/>
    <w:multiLevelType w:val="hybridMultilevel"/>
    <w:tmpl w:val="58261D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65685A"/>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2">
    <w:nsid w:val="0B2B3513"/>
    <w:multiLevelType w:val="hybridMultilevel"/>
    <w:tmpl w:val="77A21066"/>
    <w:lvl w:ilvl="0" w:tplc="985C9592">
      <w:start w:val="1"/>
      <w:numFmt w:val="lowerLetter"/>
      <w:lvlText w:val="%1)"/>
      <w:lvlJc w:val="left"/>
      <w:pPr>
        <w:ind w:left="862" w:hanging="360"/>
      </w:pPr>
      <w:rPr>
        <w:rFonts w:cs="Times New Roman" w:hint="default"/>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3">
    <w:nsid w:val="0CB07FD6"/>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4">
    <w:nsid w:val="0D482CEE"/>
    <w:multiLevelType w:val="hybridMultilevel"/>
    <w:tmpl w:val="8D16043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7162453E">
      <w:start w:val="3"/>
      <w:numFmt w:val="lowerLetter"/>
      <w:lvlText w:val="%3)"/>
      <w:lvlJc w:val="left"/>
      <w:pPr>
        <w:tabs>
          <w:tab w:val="num" w:pos="1980"/>
        </w:tabs>
        <w:ind w:left="1980" w:hanging="360"/>
      </w:pPr>
      <w:rPr>
        <w:rFonts w:cs="Times New Roman" w:hint="default"/>
        <w:b w:val="0"/>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1702557"/>
    <w:multiLevelType w:val="hybridMultilevel"/>
    <w:tmpl w:val="65AAB5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F75EB5"/>
    <w:multiLevelType w:val="hybridMultilevel"/>
    <w:tmpl w:val="0492BDB4"/>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7">
    <w:nsid w:val="12CA7C87"/>
    <w:multiLevelType w:val="hybridMultilevel"/>
    <w:tmpl w:val="1A64CE68"/>
    <w:lvl w:ilvl="0" w:tplc="EF16C51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DD3609"/>
    <w:multiLevelType w:val="hybridMultilevel"/>
    <w:tmpl w:val="41D27626"/>
    <w:lvl w:ilvl="0" w:tplc="04090019">
      <w:start w:val="1"/>
      <w:numFmt w:val="lowerLetter"/>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9">
    <w:nsid w:val="1D4D4F4B"/>
    <w:multiLevelType w:val="hybridMultilevel"/>
    <w:tmpl w:val="6F5CB430"/>
    <w:lvl w:ilvl="0" w:tplc="E1422156">
      <w:start w:val="1"/>
      <w:numFmt w:val="decimal"/>
      <w:lvlText w:val="%1."/>
      <w:lvlJc w:val="left"/>
      <w:pPr>
        <w:tabs>
          <w:tab w:val="num" w:pos="735"/>
        </w:tabs>
        <w:ind w:left="735" w:hanging="375"/>
      </w:pPr>
      <w:rPr>
        <w:rFonts w:ascii="Times New Roman" w:hAnsi="Times New Roman" w:cs="Times New Roman" w:hint="default"/>
        <w:sz w:val="24"/>
        <w:szCs w:val="24"/>
      </w:rPr>
    </w:lvl>
    <w:lvl w:ilvl="1" w:tplc="04090017">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340"/>
        </w:tabs>
        <w:ind w:left="2340" w:hanging="360"/>
      </w:pPr>
      <w:rPr>
        <w:rFonts w:cs="Times New Roman" w:hint="default"/>
        <w:sz w:val="24"/>
        <w:szCs w:val="24"/>
      </w:rPr>
    </w:lvl>
    <w:lvl w:ilvl="3" w:tplc="04090017">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5BA0A0F2">
      <w:start w:val="1"/>
      <w:numFmt w:val="low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0785CCB"/>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1">
    <w:nsid w:val="223515BE"/>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2">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74954"/>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4">
    <w:nsid w:val="2BD959A9"/>
    <w:multiLevelType w:val="hybridMultilevel"/>
    <w:tmpl w:val="679C57A4"/>
    <w:lvl w:ilvl="0" w:tplc="40A422C0">
      <w:start w:val="1"/>
      <w:numFmt w:val="low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5">
    <w:nsid w:val="2E47045F"/>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6">
    <w:nsid w:val="30FA3648"/>
    <w:multiLevelType w:val="hybridMultilevel"/>
    <w:tmpl w:val="B4F6C7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1477899"/>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8">
    <w:nsid w:val="424F2516"/>
    <w:multiLevelType w:val="hybridMultilevel"/>
    <w:tmpl w:val="9CC6E06A"/>
    <w:lvl w:ilvl="0" w:tplc="04090017">
      <w:start w:val="1"/>
      <w:numFmt w:val="lowerLetter"/>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9">
    <w:nsid w:val="433913B8"/>
    <w:multiLevelType w:val="hybridMultilevel"/>
    <w:tmpl w:val="6DB076C2"/>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8616A0D"/>
    <w:multiLevelType w:val="hybridMultilevel"/>
    <w:tmpl w:val="98A450B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C7F705A"/>
    <w:multiLevelType w:val="hybridMultilevel"/>
    <w:tmpl w:val="F59C1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4234D5"/>
    <w:multiLevelType w:val="multilevel"/>
    <w:tmpl w:val="31421284"/>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4EF30BA1"/>
    <w:multiLevelType w:val="hybridMultilevel"/>
    <w:tmpl w:val="B3FAF030"/>
    <w:lvl w:ilvl="0" w:tplc="4CB885E8">
      <w:start w:val="1"/>
      <w:numFmt w:val="lowerLetter"/>
      <w:lvlText w:val="%1."/>
      <w:lvlJc w:val="left"/>
      <w:pPr>
        <w:ind w:left="1222" w:hanging="360"/>
      </w:pPr>
      <w:rPr>
        <w:rFonts w:cs="Times New Roman" w:hint="default"/>
      </w:rPr>
    </w:lvl>
    <w:lvl w:ilvl="1" w:tplc="04090019" w:tentative="1">
      <w:start w:val="1"/>
      <w:numFmt w:val="lowerLetter"/>
      <w:lvlText w:val="%2."/>
      <w:lvlJc w:val="left"/>
      <w:pPr>
        <w:ind w:left="1942" w:hanging="360"/>
      </w:pPr>
      <w:rPr>
        <w:rFonts w:cs="Times New Roman"/>
      </w:rPr>
    </w:lvl>
    <w:lvl w:ilvl="2" w:tplc="0409001B" w:tentative="1">
      <w:start w:val="1"/>
      <w:numFmt w:val="lowerRoman"/>
      <w:lvlText w:val="%3."/>
      <w:lvlJc w:val="right"/>
      <w:pPr>
        <w:ind w:left="2662" w:hanging="180"/>
      </w:pPr>
      <w:rPr>
        <w:rFonts w:cs="Times New Roman"/>
      </w:rPr>
    </w:lvl>
    <w:lvl w:ilvl="3" w:tplc="0409000F" w:tentative="1">
      <w:start w:val="1"/>
      <w:numFmt w:val="decimal"/>
      <w:lvlText w:val="%4."/>
      <w:lvlJc w:val="left"/>
      <w:pPr>
        <w:ind w:left="3382" w:hanging="360"/>
      </w:pPr>
      <w:rPr>
        <w:rFonts w:cs="Times New Roman"/>
      </w:rPr>
    </w:lvl>
    <w:lvl w:ilvl="4" w:tplc="04090019" w:tentative="1">
      <w:start w:val="1"/>
      <w:numFmt w:val="lowerLetter"/>
      <w:lvlText w:val="%5."/>
      <w:lvlJc w:val="left"/>
      <w:pPr>
        <w:ind w:left="4102" w:hanging="360"/>
      </w:pPr>
      <w:rPr>
        <w:rFonts w:cs="Times New Roman"/>
      </w:rPr>
    </w:lvl>
    <w:lvl w:ilvl="5" w:tplc="0409001B" w:tentative="1">
      <w:start w:val="1"/>
      <w:numFmt w:val="lowerRoman"/>
      <w:lvlText w:val="%6."/>
      <w:lvlJc w:val="right"/>
      <w:pPr>
        <w:ind w:left="4822" w:hanging="180"/>
      </w:pPr>
      <w:rPr>
        <w:rFonts w:cs="Times New Roman"/>
      </w:rPr>
    </w:lvl>
    <w:lvl w:ilvl="6" w:tplc="0409000F" w:tentative="1">
      <w:start w:val="1"/>
      <w:numFmt w:val="decimal"/>
      <w:lvlText w:val="%7."/>
      <w:lvlJc w:val="left"/>
      <w:pPr>
        <w:ind w:left="5542" w:hanging="360"/>
      </w:pPr>
      <w:rPr>
        <w:rFonts w:cs="Times New Roman"/>
      </w:rPr>
    </w:lvl>
    <w:lvl w:ilvl="7" w:tplc="04090019" w:tentative="1">
      <w:start w:val="1"/>
      <w:numFmt w:val="lowerLetter"/>
      <w:lvlText w:val="%8."/>
      <w:lvlJc w:val="left"/>
      <w:pPr>
        <w:ind w:left="6262" w:hanging="360"/>
      </w:pPr>
      <w:rPr>
        <w:rFonts w:cs="Times New Roman"/>
      </w:rPr>
    </w:lvl>
    <w:lvl w:ilvl="8" w:tplc="0409001B" w:tentative="1">
      <w:start w:val="1"/>
      <w:numFmt w:val="lowerRoman"/>
      <w:lvlText w:val="%9."/>
      <w:lvlJc w:val="right"/>
      <w:pPr>
        <w:ind w:left="6982" w:hanging="180"/>
      </w:pPr>
      <w:rPr>
        <w:rFonts w:cs="Times New Roman"/>
      </w:rPr>
    </w:lvl>
  </w:abstractNum>
  <w:abstractNum w:abstractNumId="24">
    <w:nsid w:val="4FDA1CCA"/>
    <w:multiLevelType w:val="hybridMultilevel"/>
    <w:tmpl w:val="78B88C5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26B104D"/>
    <w:multiLevelType w:val="multilevel"/>
    <w:tmpl w:val="3142128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53F402A2"/>
    <w:multiLevelType w:val="hybridMultilevel"/>
    <w:tmpl w:val="765AF3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6316D0E"/>
    <w:multiLevelType w:val="multilevel"/>
    <w:tmpl w:val="32566F1E"/>
    <w:lvl w:ilvl="0">
      <w:start w:val="1"/>
      <w:numFmt w:val="decimal"/>
      <w:lvlRestart w:val="0"/>
      <w:pStyle w:val="Heading1"/>
      <w:lvlText w:val="%1"/>
      <w:lvlJc w:val="left"/>
      <w:pPr>
        <w:tabs>
          <w:tab w:val="num" w:pos="360"/>
        </w:tabs>
      </w:pPr>
      <w:rPr>
        <w:rFonts w:ascii="Garamond" w:hAnsi="Garamond" w:cs="Times New Roman" w:hint="default"/>
        <w:b/>
        <w:i w:val="0"/>
        <w:sz w:val="24"/>
      </w:rPr>
    </w:lvl>
    <w:lvl w:ilvl="1">
      <w:start w:val="1"/>
      <w:numFmt w:val="decimal"/>
      <w:pStyle w:val="Heading2"/>
      <w:lvlText w:val="%1.%2"/>
      <w:lvlJc w:val="left"/>
      <w:pPr>
        <w:tabs>
          <w:tab w:val="num" w:pos="720"/>
        </w:tabs>
        <w:ind w:left="360" w:hanging="360"/>
      </w:pPr>
      <w:rPr>
        <w:rFonts w:ascii="Garamond" w:hAnsi="Garamond" w:cs="Times New Roman" w:hint="default"/>
        <w:b/>
        <w:i w:val="0"/>
        <w:sz w:val="24"/>
      </w:rPr>
    </w:lvl>
    <w:lvl w:ilvl="2">
      <w:start w:val="1"/>
      <w:numFmt w:val="decimal"/>
      <w:lvlText w:val="%1.%2.%3"/>
      <w:lvlJc w:val="left"/>
      <w:pPr>
        <w:tabs>
          <w:tab w:val="num" w:pos="1080"/>
        </w:tabs>
        <w:ind w:left="720" w:hanging="360"/>
      </w:pPr>
      <w:rPr>
        <w:rFonts w:ascii="Garamond" w:hAnsi="Garamond" w:cs="Times New Roman" w:hint="default"/>
        <w:b w:val="0"/>
        <w:i w:val="0"/>
        <w:sz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8">
    <w:nsid w:val="5A3A2F80"/>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29">
    <w:nsid w:val="5CBB3AAE"/>
    <w:multiLevelType w:val="hybridMultilevel"/>
    <w:tmpl w:val="DD1E8AE6"/>
    <w:lvl w:ilvl="0" w:tplc="0409000F">
      <w:start w:val="1"/>
      <w:numFmt w:val="decimal"/>
      <w:lvlText w:val="%1."/>
      <w:lvlJc w:val="left"/>
      <w:pPr>
        <w:ind w:left="1582" w:hanging="360"/>
      </w:pPr>
      <w:rPr>
        <w:rFonts w:cs="Times New Roman"/>
      </w:rPr>
    </w:lvl>
    <w:lvl w:ilvl="1" w:tplc="04090019" w:tentative="1">
      <w:start w:val="1"/>
      <w:numFmt w:val="lowerLetter"/>
      <w:lvlText w:val="%2."/>
      <w:lvlJc w:val="left"/>
      <w:pPr>
        <w:ind w:left="2302" w:hanging="360"/>
      </w:pPr>
      <w:rPr>
        <w:rFonts w:cs="Times New Roman"/>
      </w:rPr>
    </w:lvl>
    <w:lvl w:ilvl="2" w:tplc="0409001B" w:tentative="1">
      <w:start w:val="1"/>
      <w:numFmt w:val="lowerRoman"/>
      <w:lvlText w:val="%3."/>
      <w:lvlJc w:val="right"/>
      <w:pPr>
        <w:ind w:left="3022" w:hanging="180"/>
      </w:pPr>
      <w:rPr>
        <w:rFonts w:cs="Times New Roman"/>
      </w:rPr>
    </w:lvl>
    <w:lvl w:ilvl="3" w:tplc="0409000F" w:tentative="1">
      <w:start w:val="1"/>
      <w:numFmt w:val="decimal"/>
      <w:lvlText w:val="%4."/>
      <w:lvlJc w:val="left"/>
      <w:pPr>
        <w:ind w:left="3742" w:hanging="360"/>
      </w:pPr>
      <w:rPr>
        <w:rFonts w:cs="Times New Roman"/>
      </w:rPr>
    </w:lvl>
    <w:lvl w:ilvl="4" w:tplc="04090019" w:tentative="1">
      <w:start w:val="1"/>
      <w:numFmt w:val="lowerLetter"/>
      <w:lvlText w:val="%5."/>
      <w:lvlJc w:val="left"/>
      <w:pPr>
        <w:ind w:left="4462" w:hanging="360"/>
      </w:pPr>
      <w:rPr>
        <w:rFonts w:cs="Times New Roman"/>
      </w:rPr>
    </w:lvl>
    <w:lvl w:ilvl="5" w:tplc="0409001B" w:tentative="1">
      <w:start w:val="1"/>
      <w:numFmt w:val="lowerRoman"/>
      <w:lvlText w:val="%6."/>
      <w:lvlJc w:val="right"/>
      <w:pPr>
        <w:ind w:left="5182" w:hanging="180"/>
      </w:pPr>
      <w:rPr>
        <w:rFonts w:cs="Times New Roman"/>
      </w:rPr>
    </w:lvl>
    <w:lvl w:ilvl="6" w:tplc="0409000F" w:tentative="1">
      <w:start w:val="1"/>
      <w:numFmt w:val="decimal"/>
      <w:lvlText w:val="%7."/>
      <w:lvlJc w:val="left"/>
      <w:pPr>
        <w:ind w:left="5902" w:hanging="360"/>
      </w:pPr>
      <w:rPr>
        <w:rFonts w:cs="Times New Roman"/>
      </w:rPr>
    </w:lvl>
    <w:lvl w:ilvl="7" w:tplc="04090019" w:tentative="1">
      <w:start w:val="1"/>
      <w:numFmt w:val="lowerLetter"/>
      <w:lvlText w:val="%8."/>
      <w:lvlJc w:val="left"/>
      <w:pPr>
        <w:ind w:left="6622" w:hanging="360"/>
      </w:pPr>
      <w:rPr>
        <w:rFonts w:cs="Times New Roman"/>
      </w:rPr>
    </w:lvl>
    <w:lvl w:ilvl="8" w:tplc="0409001B" w:tentative="1">
      <w:start w:val="1"/>
      <w:numFmt w:val="lowerRoman"/>
      <w:lvlText w:val="%9."/>
      <w:lvlJc w:val="right"/>
      <w:pPr>
        <w:ind w:left="7342" w:hanging="180"/>
      </w:pPr>
      <w:rPr>
        <w:rFonts w:cs="Times New Roman"/>
      </w:rPr>
    </w:lvl>
  </w:abstractNum>
  <w:abstractNum w:abstractNumId="30">
    <w:nsid w:val="5D0B3D3B"/>
    <w:multiLevelType w:val="hybridMultilevel"/>
    <w:tmpl w:val="10445DFA"/>
    <w:lvl w:ilvl="0" w:tplc="04090019">
      <w:start w:val="1"/>
      <w:numFmt w:val="lowerLetter"/>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31">
    <w:nsid w:val="60277BDB"/>
    <w:multiLevelType w:val="hybridMultilevel"/>
    <w:tmpl w:val="38B4A0A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4835189"/>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33">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193602"/>
    <w:multiLevelType w:val="hybridMultilevel"/>
    <w:tmpl w:val="7020DF7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725921F0"/>
    <w:multiLevelType w:val="hybridMultilevel"/>
    <w:tmpl w:val="152464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522AC6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4140190"/>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37">
    <w:nsid w:val="7C6E5258"/>
    <w:multiLevelType w:val="hybridMultilevel"/>
    <w:tmpl w:val="7DD287FE"/>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D51579C"/>
    <w:multiLevelType w:val="multilevel"/>
    <w:tmpl w:val="8FF64E04"/>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6"/>
  </w:num>
  <w:num w:numId="4">
    <w:abstractNumId w:val="33"/>
  </w:num>
  <w:num w:numId="5">
    <w:abstractNumId w:val="27"/>
  </w:num>
  <w:num w:numId="6">
    <w:abstractNumId w:val="4"/>
  </w:num>
  <w:num w:numId="7">
    <w:abstractNumId w:val="37"/>
  </w:num>
  <w:num w:numId="8">
    <w:abstractNumId w:val="19"/>
  </w:num>
  <w:num w:numId="9">
    <w:abstractNumId w:val="11"/>
  </w:num>
  <w:num w:numId="10">
    <w:abstractNumId w:val="8"/>
  </w:num>
  <w:num w:numId="11">
    <w:abstractNumId w:val="6"/>
  </w:num>
  <w:num w:numId="12">
    <w:abstractNumId w:val="30"/>
  </w:num>
  <w:num w:numId="13">
    <w:abstractNumId w:val="18"/>
  </w:num>
  <w:num w:numId="14">
    <w:abstractNumId w:val="29"/>
  </w:num>
  <w:num w:numId="15">
    <w:abstractNumId w:val="23"/>
  </w:num>
  <w:num w:numId="16">
    <w:abstractNumId w:val="9"/>
  </w:num>
  <w:num w:numId="17">
    <w:abstractNumId w:val="31"/>
  </w:num>
  <w:num w:numId="18">
    <w:abstractNumId w:val="20"/>
  </w:num>
  <w:num w:numId="19">
    <w:abstractNumId w:val="14"/>
  </w:num>
  <w:num w:numId="20">
    <w:abstractNumId w:val="2"/>
  </w:num>
  <w:num w:numId="21">
    <w:abstractNumId w:val="24"/>
  </w:num>
  <w:num w:numId="22">
    <w:abstractNumId w:val="35"/>
  </w:num>
  <w:num w:numId="23">
    <w:abstractNumId w:val="32"/>
  </w:num>
  <w:num w:numId="24">
    <w:abstractNumId w:val="36"/>
  </w:num>
  <w:num w:numId="25">
    <w:abstractNumId w:val="10"/>
  </w:num>
  <w:num w:numId="26">
    <w:abstractNumId w:val="13"/>
  </w:num>
  <w:num w:numId="27">
    <w:abstractNumId w:val="28"/>
  </w:num>
  <w:num w:numId="28">
    <w:abstractNumId w:val="17"/>
  </w:num>
  <w:num w:numId="29">
    <w:abstractNumId w:val="15"/>
  </w:num>
  <w:num w:numId="30">
    <w:abstractNumId w:val="1"/>
  </w:num>
  <w:num w:numId="31">
    <w:abstractNumId w:val="3"/>
  </w:num>
  <w:num w:numId="32">
    <w:abstractNumId w:val="0"/>
  </w:num>
  <w:num w:numId="33">
    <w:abstractNumId w:val="5"/>
  </w:num>
  <w:num w:numId="34">
    <w:abstractNumId w:val="22"/>
  </w:num>
  <w:num w:numId="35">
    <w:abstractNumId w:val="25"/>
  </w:num>
  <w:num w:numId="36">
    <w:abstractNumId w:val="38"/>
  </w:num>
  <w:num w:numId="37">
    <w:abstractNumId w:val="21"/>
  </w:num>
  <w:num w:numId="38">
    <w:abstractNumId w:val="1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1"/>
    <w:rsid w:val="000010F9"/>
    <w:rsid w:val="00001541"/>
    <w:rsid w:val="00016612"/>
    <w:rsid w:val="00016E7B"/>
    <w:rsid w:val="0002378F"/>
    <w:rsid w:val="000375C2"/>
    <w:rsid w:val="00060494"/>
    <w:rsid w:val="0006129C"/>
    <w:rsid w:val="00062594"/>
    <w:rsid w:val="00076A09"/>
    <w:rsid w:val="0009186C"/>
    <w:rsid w:val="000977BB"/>
    <w:rsid w:val="00097E55"/>
    <w:rsid w:val="000A2F0B"/>
    <w:rsid w:val="000A5A47"/>
    <w:rsid w:val="000C15DF"/>
    <w:rsid w:val="000D3009"/>
    <w:rsid w:val="000D40CE"/>
    <w:rsid w:val="000D4F56"/>
    <w:rsid w:val="000E153E"/>
    <w:rsid w:val="001024AC"/>
    <w:rsid w:val="00104C13"/>
    <w:rsid w:val="00120E5F"/>
    <w:rsid w:val="001211C4"/>
    <w:rsid w:val="00142807"/>
    <w:rsid w:val="00145E99"/>
    <w:rsid w:val="001466F1"/>
    <w:rsid w:val="00147B09"/>
    <w:rsid w:val="00147DF3"/>
    <w:rsid w:val="00151551"/>
    <w:rsid w:val="001524B5"/>
    <w:rsid w:val="00153113"/>
    <w:rsid w:val="00167BA7"/>
    <w:rsid w:val="00167D59"/>
    <w:rsid w:val="00172794"/>
    <w:rsid w:val="00174F9D"/>
    <w:rsid w:val="00182DCC"/>
    <w:rsid w:val="00186687"/>
    <w:rsid w:val="0018695A"/>
    <w:rsid w:val="0019217E"/>
    <w:rsid w:val="00196E67"/>
    <w:rsid w:val="001A00B6"/>
    <w:rsid w:val="001B186D"/>
    <w:rsid w:val="001B1D40"/>
    <w:rsid w:val="001B1FA1"/>
    <w:rsid w:val="001C4F6C"/>
    <w:rsid w:val="001D21F7"/>
    <w:rsid w:val="001D2F7E"/>
    <w:rsid w:val="001D511A"/>
    <w:rsid w:val="001D7C9B"/>
    <w:rsid w:val="001E3253"/>
    <w:rsid w:val="001E4D71"/>
    <w:rsid w:val="001E6729"/>
    <w:rsid w:val="001E72CB"/>
    <w:rsid w:val="001F1D9A"/>
    <w:rsid w:val="00207325"/>
    <w:rsid w:val="0021454E"/>
    <w:rsid w:val="002318FA"/>
    <w:rsid w:val="0024024F"/>
    <w:rsid w:val="00286103"/>
    <w:rsid w:val="002962F8"/>
    <w:rsid w:val="002A3D00"/>
    <w:rsid w:val="002A6EE9"/>
    <w:rsid w:val="002B644B"/>
    <w:rsid w:val="002D1CC3"/>
    <w:rsid w:val="002E4C1F"/>
    <w:rsid w:val="002E6092"/>
    <w:rsid w:val="002F0141"/>
    <w:rsid w:val="002F7147"/>
    <w:rsid w:val="00303606"/>
    <w:rsid w:val="003072A9"/>
    <w:rsid w:val="00310A1C"/>
    <w:rsid w:val="00312BA0"/>
    <w:rsid w:val="003155B9"/>
    <w:rsid w:val="003209C2"/>
    <w:rsid w:val="0032287B"/>
    <w:rsid w:val="003412DF"/>
    <w:rsid w:val="00343971"/>
    <w:rsid w:val="00353767"/>
    <w:rsid w:val="00365117"/>
    <w:rsid w:val="00371F0D"/>
    <w:rsid w:val="003739A7"/>
    <w:rsid w:val="00377EC6"/>
    <w:rsid w:val="00383FCF"/>
    <w:rsid w:val="003A4612"/>
    <w:rsid w:val="003A596F"/>
    <w:rsid w:val="003A6C16"/>
    <w:rsid w:val="003B05C0"/>
    <w:rsid w:val="003B0B2C"/>
    <w:rsid w:val="003B2918"/>
    <w:rsid w:val="003B3CE7"/>
    <w:rsid w:val="003B4398"/>
    <w:rsid w:val="003C320A"/>
    <w:rsid w:val="003E0DB9"/>
    <w:rsid w:val="00406F14"/>
    <w:rsid w:val="00407D1C"/>
    <w:rsid w:val="004149C5"/>
    <w:rsid w:val="004313BF"/>
    <w:rsid w:val="004370A6"/>
    <w:rsid w:val="00444A2F"/>
    <w:rsid w:val="0045611C"/>
    <w:rsid w:val="004623B2"/>
    <w:rsid w:val="004654CD"/>
    <w:rsid w:val="00472453"/>
    <w:rsid w:val="0047253B"/>
    <w:rsid w:val="00482FAB"/>
    <w:rsid w:val="00496AB2"/>
    <w:rsid w:val="00497689"/>
    <w:rsid w:val="004B500E"/>
    <w:rsid w:val="004B57A6"/>
    <w:rsid w:val="004B698D"/>
    <w:rsid w:val="004B75C0"/>
    <w:rsid w:val="004C30D2"/>
    <w:rsid w:val="004F4E6A"/>
    <w:rsid w:val="004F71B1"/>
    <w:rsid w:val="00500C7B"/>
    <w:rsid w:val="00505D70"/>
    <w:rsid w:val="00506DB1"/>
    <w:rsid w:val="005111D2"/>
    <w:rsid w:val="00517C62"/>
    <w:rsid w:val="00536EF5"/>
    <w:rsid w:val="005426DD"/>
    <w:rsid w:val="00544DE7"/>
    <w:rsid w:val="00567628"/>
    <w:rsid w:val="00575367"/>
    <w:rsid w:val="00575BB6"/>
    <w:rsid w:val="005816D2"/>
    <w:rsid w:val="005970C7"/>
    <w:rsid w:val="00597F8D"/>
    <w:rsid w:val="005B1E07"/>
    <w:rsid w:val="005B638E"/>
    <w:rsid w:val="005B674D"/>
    <w:rsid w:val="005C3A78"/>
    <w:rsid w:val="005D4501"/>
    <w:rsid w:val="005D54ED"/>
    <w:rsid w:val="005D7050"/>
    <w:rsid w:val="005F11C9"/>
    <w:rsid w:val="005F25EE"/>
    <w:rsid w:val="006007EA"/>
    <w:rsid w:val="006034CE"/>
    <w:rsid w:val="006075EE"/>
    <w:rsid w:val="006122CD"/>
    <w:rsid w:val="00614C8C"/>
    <w:rsid w:val="00630325"/>
    <w:rsid w:val="00636E12"/>
    <w:rsid w:val="00644611"/>
    <w:rsid w:val="00650283"/>
    <w:rsid w:val="00657A1D"/>
    <w:rsid w:val="006638FF"/>
    <w:rsid w:val="00666333"/>
    <w:rsid w:val="0069010A"/>
    <w:rsid w:val="006A4A6F"/>
    <w:rsid w:val="006A6B51"/>
    <w:rsid w:val="006B6B98"/>
    <w:rsid w:val="006C4AD5"/>
    <w:rsid w:val="006D2501"/>
    <w:rsid w:val="006D28F3"/>
    <w:rsid w:val="006D5B59"/>
    <w:rsid w:val="006E5FFC"/>
    <w:rsid w:val="006F0291"/>
    <w:rsid w:val="0070257F"/>
    <w:rsid w:val="00703647"/>
    <w:rsid w:val="00704B4A"/>
    <w:rsid w:val="00721E31"/>
    <w:rsid w:val="0072561A"/>
    <w:rsid w:val="0076106B"/>
    <w:rsid w:val="00776D32"/>
    <w:rsid w:val="00786AF1"/>
    <w:rsid w:val="00791E66"/>
    <w:rsid w:val="00793EB1"/>
    <w:rsid w:val="007967F7"/>
    <w:rsid w:val="0079698D"/>
    <w:rsid w:val="007A0686"/>
    <w:rsid w:val="007A7DEC"/>
    <w:rsid w:val="007C26A0"/>
    <w:rsid w:val="007D0353"/>
    <w:rsid w:val="007D3410"/>
    <w:rsid w:val="007E054A"/>
    <w:rsid w:val="007E1121"/>
    <w:rsid w:val="007E5503"/>
    <w:rsid w:val="00805E4A"/>
    <w:rsid w:val="00806BB8"/>
    <w:rsid w:val="008115B4"/>
    <w:rsid w:val="0082215E"/>
    <w:rsid w:val="008235E1"/>
    <w:rsid w:val="00841717"/>
    <w:rsid w:val="00842D33"/>
    <w:rsid w:val="00857A1A"/>
    <w:rsid w:val="008650A4"/>
    <w:rsid w:val="00866A3C"/>
    <w:rsid w:val="00875FA4"/>
    <w:rsid w:val="0087707B"/>
    <w:rsid w:val="0089455E"/>
    <w:rsid w:val="008B3285"/>
    <w:rsid w:val="008C04CB"/>
    <w:rsid w:val="008D305B"/>
    <w:rsid w:val="008F0DEA"/>
    <w:rsid w:val="008F155A"/>
    <w:rsid w:val="008F4E75"/>
    <w:rsid w:val="008F4EDD"/>
    <w:rsid w:val="008F673B"/>
    <w:rsid w:val="00903E6E"/>
    <w:rsid w:val="0090698C"/>
    <w:rsid w:val="00911299"/>
    <w:rsid w:val="00915632"/>
    <w:rsid w:val="009164F2"/>
    <w:rsid w:val="0091695B"/>
    <w:rsid w:val="00941610"/>
    <w:rsid w:val="0095479F"/>
    <w:rsid w:val="00960705"/>
    <w:rsid w:val="0096757D"/>
    <w:rsid w:val="0096780E"/>
    <w:rsid w:val="00990AB9"/>
    <w:rsid w:val="00994E8A"/>
    <w:rsid w:val="009B3BB1"/>
    <w:rsid w:val="009E320C"/>
    <w:rsid w:val="009E3956"/>
    <w:rsid w:val="009F47B1"/>
    <w:rsid w:val="009F6DE5"/>
    <w:rsid w:val="00A0753F"/>
    <w:rsid w:val="00A13B54"/>
    <w:rsid w:val="00A151BF"/>
    <w:rsid w:val="00A35E64"/>
    <w:rsid w:val="00A360CE"/>
    <w:rsid w:val="00A36A12"/>
    <w:rsid w:val="00A43C8F"/>
    <w:rsid w:val="00A539BC"/>
    <w:rsid w:val="00A646B7"/>
    <w:rsid w:val="00A71968"/>
    <w:rsid w:val="00A838E2"/>
    <w:rsid w:val="00A8409F"/>
    <w:rsid w:val="00A84DF2"/>
    <w:rsid w:val="00A86EF9"/>
    <w:rsid w:val="00AB0108"/>
    <w:rsid w:val="00AC55DC"/>
    <w:rsid w:val="00AC5ACD"/>
    <w:rsid w:val="00AD0C1F"/>
    <w:rsid w:val="00AD5714"/>
    <w:rsid w:val="00AD7D5F"/>
    <w:rsid w:val="00AE0401"/>
    <w:rsid w:val="00AE0D0B"/>
    <w:rsid w:val="00AE2E40"/>
    <w:rsid w:val="00B04408"/>
    <w:rsid w:val="00B10D26"/>
    <w:rsid w:val="00B10E59"/>
    <w:rsid w:val="00B13FFB"/>
    <w:rsid w:val="00B30BE0"/>
    <w:rsid w:val="00B37692"/>
    <w:rsid w:val="00B37E95"/>
    <w:rsid w:val="00B46A7A"/>
    <w:rsid w:val="00B56DEB"/>
    <w:rsid w:val="00B61FA1"/>
    <w:rsid w:val="00B65481"/>
    <w:rsid w:val="00B71F68"/>
    <w:rsid w:val="00B75C88"/>
    <w:rsid w:val="00BA2B02"/>
    <w:rsid w:val="00BA790F"/>
    <w:rsid w:val="00BB4602"/>
    <w:rsid w:val="00BB60C5"/>
    <w:rsid w:val="00BB60D2"/>
    <w:rsid w:val="00BC1F70"/>
    <w:rsid w:val="00BC3772"/>
    <w:rsid w:val="00BC5339"/>
    <w:rsid w:val="00BD17AE"/>
    <w:rsid w:val="00BE634D"/>
    <w:rsid w:val="00BF2D97"/>
    <w:rsid w:val="00BF6F6E"/>
    <w:rsid w:val="00C007B5"/>
    <w:rsid w:val="00C061F0"/>
    <w:rsid w:val="00C10107"/>
    <w:rsid w:val="00C131B3"/>
    <w:rsid w:val="00C152CC"/>
    <w:rsid w:val="00C23EE5"/>
    <w:rsid w:val="00C31A30"/>
    <w:rsid w:val="00C37179"/>
    <w:rsid w:val="00C523B9"/>
    <w:rsid w:val="00C574A3"/>
    <w:rsid w:val="00C645F5"/>
    <w:rsid w:val="00C72619"/>
    <w:rsid w:val="00C72EF1"/>
    <w:rsid w:val="00C80D6A"/>
    <w:rsid w:val="00C83EC9"/>
    <w:rsid w:val="00C84AAA"/>
    <w:rsid w:val="00C84C24"/>
    <w:rsid w:val="00CB1CAA"/>
    <w:rsid w:val="00CC0413"/>
    <w:rsid w:val="00CC3D4A"/>
    <w:rsid w:val="00CC3F9D"/>
    <w:rsid w:val="00CC509F"/>
    <w:rsid w:val="00CC56B3"/>
    <w:rsid w:val="00CD299A"/>
    <w:rsid w:val="00CD3613"/>
    <w:rsid w:val="00CE312B"/>
    <w:rsid w:val="00CE532C"/>
    <w:rsid w:val="00CF5F07"/>
    <w:rsid w:val="00D42017"/>
    <w:rsid w:val="00D527D9"/>
    <w:rsid w:val="00D5283A"/>
    <w:rsid w:val="00D67F7F"/>
    <w:rsid w:val="00D801A7"/>
    <w:rsid w:val="00DA2E04"/>
    <w:rsid w:val="00DA3C79"/>
    <w:rsid w:val="00DB6FF8"/>
    <w:rsid w:val="00DD1B44"/>
    <w:rsid w:val="00DD33F6"/>
    <w:rsid w:val="00DD42FD"/>
    <w:rsid w:val="00DE002F"/>
    <w:rsid w:val="00DE6C76"/>
    <w:rsid w:val="00DF2636"/>
    <w:rsid w:val="00DF26A5"/>
    <w:rsid w:val="00DF3A7E"/>
    <w:rsid w:val="00E02643"/>
    <w:rsid w:val="00E043A4"/>
    <w:rsid w:val="00E23ADF"/>
    <w:rsid w:val="00E4127C"/>
    <w:rsid w:val="00E5162C"/>
    <w:rsid w:val="00E55F1B"/>
    <w:rsid w:val="00E61492"/>
    <w:rsid w:val="00E61DC4"/>
    <w:rsid w:val="00E719DA"/>
    <w:rsid w:val="00E7226C"/>
    <w:rsid w:val="00E87E46"/>
    <w:rsid w:val="00E965A8"/>
    <w:rsid w:val="00EA1510"/>
    <w:rsid w:val="00EA1BA4"/>
    <w:rsid w:val="00EB38A4"/>
    <w:rsid w:val="00EC038F"/>
    <w:rsid w:val="00EC0F9B"/>
    <w:rsid w:val="00EE02FE"/>
    <w:rsid w:val="00F011FA"/>
    <w:rsid w:val="00F33CB5"/>
    <w:rsid w:val="00F42807"/>
    <w:rsid w:val="00F47BD0"/>
    <w:rsid w:val="00F51646"/>
    <w:rsid w:val="00F627E9"/>
    <w:rsid w:val="00F724CE"/>
    <w:rsid w:val="00F81B26"/>
    <w:rsid w:val="00F81EEA"/>
    <w:rsid w:val="00F85886"/>
    <w:rsid w:val="00F90B9F"/>
    <w:rsid w:val="00FA38F4"/>
    <w:rsid w:val="00FA6D32"/>
    <w:rsid w:val="00FB1D4B"/>
    <w:rsid w:val="00FD0C3E"/>
    <w:rsid w:val="00FD42D6"/>
    <w:rsid w:val="00FE4106"/>
    <w:rsid w:val="00FF60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55"/>
    <w:rPr>
      <w:sz w:val="24"/>
      <w:szCs w:val="24"/>
      <w:lang w:val="de-DE" w:eastAsia="de-DE"/>
    </w:rPr>
  </w:style>
  <w:style w:type="paragraph" w:styleId="Heading1">
    <w:name w:val="heading 1"/>
    <w:basedOn w:val="Normal"/>
    <w:next w:val="Normal"/>
    <w:link w:val="Heading1Char"/>
    <w:uiPriority w:val="99"/>
    <w:qFormat/>
    <w:rsid w:val="008F0DEA"/>
    <w:pPr>
      <w:keepNext/>
      <w:numPr>
        <w:numId w:val="5"/>
      </w:numPr>
      <w:outlineLvl w:val="0"/>
    </w:pPr>
    <w:rPr>
      <w:b/>
      <w:bCs/>
      <w:lang w:val="en-GB" w:eastAsia="en-US"/>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Arial" w:hAnsi="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5FA4"/>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875FA4"/>
    <w:rPr>
      <w:rFonts w:ascii="Cambria" w:hAnsi="Cambria" w:cs="Times New Roman"/>
      <w:b/>
      <w:bCs/>
      <w:i/>
      <w:iCs/>
      <w:sz w:val="28"/>
      <w:szCs w:val="28"/>
      <w:lang w:val="en-US" w:eastAsia="en-US"/>
    </w:rPr>
  </w:style>
  <w:style w:type="paragraph" w:styleId="Header">
    <w:name w:val="header"/>
    <w:basedOn w:val="Normal"/>
    <w:link w:val="HeaderChar"/>
    <w:uiPriority w:val="99"/>
    <w:rsid w:val="00F627E9"/>
    <w:pPr>
      <w:tabs>
        <w:tab w:val="center" w:pos="4320"/>
        <w:tab w:val="right" w:pos="8640"/>
      </w:tabs>
    </w:pPr>
    <w:rPr>
      <w:lang w:val="en-US" w:eastAsia="en-US"/>
    </w:rPr>
  </w:style>
  <w:style w:type="character" w:customStyle="1" w:styleId="HeaderChar">
    <w:name w:val="Header Char"/>
    <w:basedOn w:val="DefaultParagraphFont"/>
    <w:link w:val="Header"/>
    <w:uiPriority w:val="99"/>
    <w:semiHidden/>
    <w:locked/>
    <w:rsid w:val="00875FA4"/>
    <w:rPr>
      <w:rFonts w:cs="Times New Roman"/>
      <w:sz w:val="24"/>
      <w:szCs w:val="24"/>
      <w:lang w:val="en-US" w:eastAsia="en-US"/>
    </w:rPr>
  </w:style>
  <w:style w:type="paragraph" w:styleId="Footer">
    <w:name w:val="footer"/>
    <w:basedOn w:val="Normal"/>
    <w:link w:val="FooterChar"/>
    <w:uiPriority w:val="99"/>
    <w:rsid w:val="00F627E9"/>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75FA4"/>
    <w:rPr>
      <w:rFonts w:cs="Times New Roman"/>
      <w:sz w:val="24"/>
      <w:szCs w:val="24"/>
      <w:lang w:val="en-US" w:eastAsia="en-US"/>
    </w:rPr>
  </w:style>
  <w:style w:type="paragraph" w:styleId="BodyText2">
    <w:name w:val="Body Text 2"/>
    <w:basedOn w:val="Normal"/>
    <w:link w:val="BodyText2Char"/>
    <w:rsid w:val="00F627E9"/>
    <w:rPr>
      <w:lang w:val="en-GB" w:eastAsia="en-US"/>
    </w:rPr>
  </w:style>
  <w:style w:type="character" w:customStyle="1" w:styleId="BodyText2Char">
    <w:name w:val="Body Text 2 Char"/>
    <w:basedOn w:val="DefaultParagraphFont"/>
    <w:link w:val="BodyText2"/>
    <w:locked/>
    <w:rsid w:val="00875FA4"/>
    <w:rPr>
      <w:rFonts w:cs="Times New Roman"/>
      <w:sz w:val="24"/>
      <w:szCs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lang w:val="en-US" w:eastAsia="en-US"/>
    </w:rPr>
  </w:style>
  <w:style w:type="character" w:customStyle="1" w:styleId="FootnoteTextChar">
    <w:name w:val="Footnote Text Char"/>
    <w:basedOn w:val="DefaultParagraphFont"/>
    <w:link w:val="FootnoteText"/>
    <w:uiPriority w:val="99"/>
    <w:semiHidden/>
    <w:locked/>
    <w:rsid w:val="00875FA4"/>
    <w:rPr>
      <w:rFonts w:cs="Times New Roman"/>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BalloonText">
    <w:name w:val="Balloon Text"/>
    <w:basedOn w:val="Normal"/>
    <w:link w:val="BalloonTextChar"/>
    <w:uiPriority w:val="99"/>
    <w:rsid w:val="00B61FA1"/>
    <w:rPr>
      <w:rFonts w:ascii="Tahoma" w:hAnsi="Tahoma" w:cs="Tahoma"/>
      <w:sz w:val="16"/>
      <w:szCs w:val="16"/>
      <w:lang w:val="en-US" w:eastAsia="en-US"/>
    </w:rPr>
  </w:style>
  <w:style w:type="character" w:customStyle="1" w:styleId="BalloonTextChar">
    <w:name w:val="Balloon Text Char"/>
    <w:basedOn w:val="DefaultParagraphFont"/>
    <w:link w:val="BalloonText"/>
    <w:uiPriority w:val="99"/>
    <w:locked/>
    <w:rsid w:val="00B61FA1"/>
    <w:rPr>
      <w:rFonts w:ascii="Tahoma" w:hAnsi="Tahoma" w:cs="Tahoma"/>
      <w:sz w:val="16"/>
      <w:szCs w:val="16"/>
    </w:rPr>
  </w:style>
  <w:style w:type="paragraph" w:styleId="ListParagraph">
    <w:name w:val="List Paragraph"/>
    <w:basedOn w:val="Normal"/>
    <w:uiPriority w:val="99"/>
    <w:qFormat/>
    <w:rsid w:val="0070257F"/>
    <w:pPr>
      <w:ind w:left="720"/>
    </w:pPr>
    <w:rPr>
      <w:lang w:val="en-US" w:eastAsia="en-US"/>
    </w:rPr>
  </w:style>
  <w:style w:type="paragraph" w:styleId="BodyTextIndent2">
    <w:name w:val="Body Text Indent 2"/>
    <w:basedOn w:val="Normal"/>
    <w:link w:val="BodyTextIndent2Char"/>
    <w:uiPriority w:val="99"/>
    <w:rsid w:val="0024024F"/>
    <w:pPr>
      <w:spacing w:after="120" w:line="480" w:lineRule="auto"/>
      <w:ind w:left="360"/>
    </w:pPr>
    <w:rPr>
      <w:lang w:val="en-US" w:eastAsia="en-US"/>
    </w:rPr>
  </w:style>
  <w:style w:type="character" w:customStyle="1" w:styleId="BodyTextIndent2Char">
    <w:name w:val="Body Text Indent 2 Char"/>
    <w:basedOn w:val="DefaultParagraphFont"/>
    <w:link w:val="BodyTextIndent2"/>
    <w:uiPriority w:val="99"/>
    <w:locked/>
    <w:rsid w:val="0024024F"/>
    <w:rPr>
      <w:rFonts w:cs="Times New Roman"/>
      <w:sz w:val="24"/>
      <w:szCs w:val="24"/>
    </w:rPr>
  </w:style>
  <w:style w:type="paragraph" w:styleId="BodyTextIndent">
    <w:name w:val="Body Text Indent"/>
    <w:basedOn w:val="Normal"/>
    <w:link w:val="BodyTextIndentChar"/>
    <w:uiPriority w:val="99"/>
    <w:rsid w:val="00147DF3"/>
    <w:pPr>
      <w:spacing w:after="120"/>
      <w:ind w:left="360"/>
    </w:pPr>
    <w:rPr>
      <w:lang w:val="en-US" w:eastAsia="en-US"/>
    </w:rPr>
  </w:style>
  <w:style w:type="character" w:customStyle="1" w:styleId="BodyTextIndentChar">
    <w:name w:val="Body Text Indent Char"/>
    <w:basedOn w:val="DefaultParagraphFont"/>
    <w:link w:val="BodyTextIndent"/>
    <w:uiPriority w:val="99"/>
    <w:locked/>
    <w:rsid w:val="00147DF3"/>
    <w:rPr>
      <w:rFonts w:cs="Times New Roman"/>
      <w:sz w:val="24"/>
      <w:szCs w:val="24"/>
    </w:rPr>
  </w:style>
  <w:style w:type="character" w:styleId="Hyperlink">
    <w:name w:val="Hyperlink"/>
    <w:basedOn w:val="DefaultParagraphFont"/>
    <w:uiPriority w:val="99"/>
    <w:rsid w:val="00FA6D32"/>
    <w:rPr>
      <w:rFonts w:cs="Times New Roman"/>
      <w:color w:val="0000FF"/>
      <w:u w:val="single"/>
    </w:rPr>
  </w:style>
  <w:style w:type="character" w:styleId="CommentReference">
    <w:name w:val="annotation reference"/>
    <w:basedOn w:val="DefaultParagraphFont"/>
    <w:uiPriority w:val="99"/>
    <w:semiHidden/>
    <w:rsid w:val="008C04CB"/>
    <w:rPr>
      <w:rFonts w:cs="Times New Roman"/>
      <w:sz w:val="16"/>
      <w:szCs w:val="16"/>
    </w:rPr>
  </w:style>
  <w:style w:type="paragraph" w:styleId="BodyText3">
    <w:name w:val="Body Text 3"/>
    <w:basedOn w:val="Normal"/>
    <w:link w:val="BodyText3Char"/>
    <w:uiPriority w:val="99"/>
    <w:rsid w:val="008C04CB"/>
    <w:pPr>
      <w:spacing w:after="120"/>
    </w:pPr>
    <w:rPr>
      <w:sz w:val="16"/>
      <w:szCs w:val="16"/>
      <w:lang w:val="en-US" w:eastAsia="en-US"/>
    </w:rPr>
  </w:style>
  <w:style w:type="character" w:customStyle="1" w:styleId="BodyText3Char">
    <w:name w:val="Body Text 3 Char"/>
    <w:basedOn w:val="DefaultParagraphFont"/>
    <w:link w:val="BodyText3"/>
    <w:uiPriority w:val="99"/>
    <w:semiHidden/>
    <w:locked/>
    <w:rsid w:val="008C04CB"/>
    <w:rPr>
      <w:rFonts w:cs="Times New Roman"/>
      <w:sz w:val="16"/>
      <w:szCs w:val="16"/>
      <w:lang w:val="en-US" w:eastAsia="en-US" w:bidi="ar-SA"/>
    </w:rPr>
  </w:style>
  <w:style w:type="paragraph" w:styleId="CommentText">
    <w:name w:val="annotation text"/>
    <w:basedOn w:val="Normal"/>
    <w:link w:val="CommentTextChar"/>
    <w:uiPriority w:val="99"/>
    <w:semiHidden/>
    <w:rsid w:val="00097E55"/>
    <w:rPr>
      <w:sz w:val="20"/>
      <w:szCs w:val="20"/>
    </w:rPr>
  </w:style>
  <w:style w:type="character" w:customStyle="1" w:styleId="CommentTextChar">
    <w:name w:val="Comment Text Char"/>
    <w:basedOn w:val="DefaultParagraphFont"/>
    <w:link w:val="CommentText"/>
    <w:uiPriority w:val="99"/>
    <w:semiHidden/>
    <w:locked/>
    <w:rsid w:val="00097E55"/>
    <w:rPr>
      <w:rFonts w:eastAsia="Times New Roman" w:cs="Times New Roman"/>
      <w:lang w:val="de-DE" w:eastAsia="de-DE" w:bidi="ar-SA"/>
    </w:rPr>
  </w:style>
  <w:style w:type="paragraph" w:styleId="CommentSubject">
    <w:name w:val="annotation subject"/>
    <w:basedOn w:val="CommentText"/>
    <w:next w:val="CommentText"/>
    <w:link w:val="CommentSubjectChar"/>
    <w:uiPriority w:val="99"/>
    <w:semiHidden/>
    <w:rsid w:val="00FD42D6"/>
    <w:rPr>
      <w:b/>
      <w:bCs/>
    </w:rPr>
  </w:style>
  <w:style w:type="character" w:customStyle="1" w:styleId="CommentSubjectChar">
    <w:name w:val="Comment Subject Char"/>
    <w:basedOn w:val="CommentTextChar"/>
    <w:link w:val="CommentSubject"/>
    <w:uiPriority w:val="99"/>
    <w:semiHidden/>
    <w:locked/>
    <w:rsid w:val="00CD3613"/>
    <w:rPr>
      <w:rFonts w:eastAsia="Times New Roman" w:cs="Times New Roman"/>
      <w:b/>
      <w:bCs/>
      <w:sz w:val="20"/>
      <w:szCs w:val="20"/>
      <w:lang w:val="de-DE" w:eastAsia="de-DE" w:bidi="ar-SA"/>
    </w:rPr>
  </w:style>
  <w:style w:type="character" w:styleId="Emphasis">
    <w:name w:val="Emphasis"/>
    <w:basedOn w:val="DefaultParagraphFont"/>
    <w:qFormat/>
    <w:locked/>
    <w:rsid w:val="00BB46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55"/>
    <w:rPr>
      <w:sz w:val="24"/>
      <w:szCs w:val="24"/>
      <w:lang w:val="de-DE" w:eastAsia="de-DE"/>
    </w:rPr>
  </w:style>
  <w:style w:type="paragraph" w:styleId="Heading1">
    <w:name w:val="heading 1"/>
    <w:basedOn w:val="Normal"/>
    <w:next w:val="Normal"/>
    <w:link w:val="Heading1Char"/>
    <w:uiPriority w:val="99"/>
    <w:qFormat/>
    <w:rsid w:val="008F0DEA"/>
    <w:pPr>
      <w:keepNext/>
      <w:numPr>
        <w:numId w:val="5"/>
      </w:numPr>
      <w:outlineLvl w:val="0"/>
    </w:pPr>
    <w:rPr>
      <w:b/>
      <w:bCs/>
      <w:lang w:val="en-GB" w:eastAsia="en-US"/>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Arial" w:hAnsi="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5FA4"/>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875FA4"/>
    <w:rPr>
      <w:rFonts w:ascii="Cambria" w:hAnsi="Cambria" w:cs="Times New Roman"/>
      <w:b/>
      <w:bCs/>
      <w:i/>
      <w:iCs/>
      <w:sz w:val="28"/>
      <w:szCs w:val="28"/>
      <w:lang w:val="en-US" w:eastAsia="en-US"/>
    </w:rPr>
  </w:style>
  <w:style w:type="paragraph" w:styleId="Header">
    <w:name w:val="header"/>
    <w:basedOn w:val="Normal"/>
    <w:link w:val="HeaderChar"/>
    <w:uiPriority w:val="99"/>
    <w:rsid w:val="00F627E9"/>
    <w:pPr>
      <w:tabs>
        <w:tab w:val="center" w:pos="4320"/>
        <w:tab w:val="right" w:pos="8640"/>
      </w:tabs>
    </w:pPr>
    <w:rPr>
      <w:lang w:val="en-US" w:eastAsia="en-US"/>
    </w:rPr>
  </w:style>
  <w:style w:type="character" w:customStyle="1" w:styleId="HeaderChar">
    <w:name w:val="Header Char"/>
    <w:basedOn w:val="DefaultParagraphFont"/>
    <w:link w:val="Header"/>
    <w:uiPriority w:val="99"/>
    <w:semiHidden/>
    <w:locked/>
    <w:rsid w:val="00875FA4"/>
    <w:rPr>
      <w:rFonts w:cs="Times New Roman"/>
      <w:sz w:val="24"/>
      <w:szCs w:val="24"/>
      <w:lang w:val="en-US" w:eastAsia="en-US"/>
    </w:rPr>
  </w:style>
  <w:style w:type="paragraph" w:styleId="Footer">
    <w:name w:val="footer"/>
    <w:basedOn w:val="Normal"/>
    <w:link w:val="FooterChar"/>
    <w:uiPriority w:val="99"/>
    <w:rsid w:val="00F627E9"/>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75FA4"/>
    <w:rPr>
      <w:rFonts w:cs="Times New Roman"/>
      <w:sz w:val="24"/>
      <w:szCs w:val="24"/>
      <w:lang w:val="en-US" w:eastAsia="en-US"/>
    </w:rPr>
  </w:style>
  <w:style w:type="paragraph" w:styleId="BodyText2">
    <w:name w:val="Body Text 2"/>
    <w:basedOn w:val="Normal"/>
    <w:link w:val="BodyText2Char"/>
    <w:rsid w:val="00F627E9"/>
    <w:rPr>
      <w:lang w:val="en-GB" w:eastAsia="en-US"/>
    </w:rPr>
  </w:style>
  <w:style w:type="character" w:customStyle="1" w:styleId="BodyText2Char">
    <w:name w:val="Body Text 2 Char"/>
    <w:basedOn w:val="DefaultParagraphFont"/>
    <w:link w:val="BodyText2"/>
    <w:locked/>
    <w:rsid w:val="00875FA4"/>
    <w:rPr>
      <w:rFonts w:cs="Times New Roman"/>
      <w:sz w:val="24"/>
      <w:szCs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lang w:val="en-US" w:eastAsia="en-US"/>
    </w:rPr>
  </w:style>
  <w:style w:type="character" w:customStyle="1" w:styleId="FootnoteTextChar">
    <w:name w:val="Footnote Text Char"/>
    <w:basedOn w:val="DefaultParagraphFont"/>
    <w:link w:val="FootnoteText"/>
    <w:uiPriority w:val="99"/>
    <w:semiHidden/>
    <w:locked/>
    <w:rsid w:val="00875FA4"/>
    <w:rPr>
      <w:rFonts w:cs="Times New Roman"/>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BalloonText">
    <w:name w:val="Balloon Text"/>
    <w:basedOn w:val="Normal"/>
    <w:link w:val="BalloonTextChar"/>
    <w:uiPriority w:val="99"/>
    <w:rsid w:val="00B61FA1"/>
    <w:rPr>
      <w:rFonts w:ascii="Tahoma" w:hAnsi="Tahoma" w:cs="Tahoma"/>
      <w:sz w:val="16"/>
      <w:szCs w:val="16"/>
      <w:lang w:val="en-US" w:eastAsia="en-US"/>
    </w:rPr>
  </w:style>
  <w:style w:type="character" w:customStyle="1" w:styleId="BalloonTextChar">
    <w:name w:val="Balloon Text Char"/>
    <w:basedOn w:val="DefaultParagraphFont"/>
    <w:link w:val="BalloonText"/>
    <w:uiPriority w:val="99"/>
    <w:locked/>
    <w:rsid w:val="00B61FA1"/>
    <w:rPr>
      <w:rFonts w:ascii="Tahoma" w:hAnsi="Tahoma" w:cs="Tahoma"/>
      <w:sz w:val="16"/>
      <w:szCs w:val="16"/>
    </w:rPr>
  </w:style>
  <w:style w:type="paragraph" w:styleId="ListParagraph">
    <w:name w:val="List Paragraph"/>
    <w:basedOn w:val="Normal"/>
    <w:uiPriority w:val="99"/>
    <w:qFormat/>
    <w:rsid w:val="0070257F"/>
    <w:pPr>
      <w:ind w:left="720"/>
    </w:pPr>
    <w:rPr>
      <w:lang w:val="en-US" w:eastAsia="en-US"/>
    </w:rPr>
  </w:style>
  <w:style w:type="paragraph" w:styleId="BodyTextIndent2">
    <w:name w:val="Body Text Indent 2"/>
    <w:basedOn w:val="Normal"/>
    <w:link w:val="BodyTextIndent2Char"/>
    <w:uiPriority w:val="99"/>
    <w:rsid w:val="0024024F"/>
    <w:pPr>
      <w:spacing w:after="120" w:line="480" w:lineRule="auto"/>
      <w:ind w:left="360"/>
    </w:pPr>
    <w:rPr>
      <w:lang w:val="en-US" w:eastAsia="en-US"/>
    </w:rPr>
  </w:style>
  <w:style w:type="character" w:customStyle="1" w:styleId="BodyTextIndent2Char">
    <w:name w:val="Body Text Indent 2 Char"/>
    <w:basedOn w:val="DefaultParagraphFont"/>
    <w:link w:val="BodyTextIndent2"/>
    <w:uiPriority w:val="99"/>
    <w:locked/>
    <w:rsid w:val="0024024F"/>
    <w:rPr>
      <w:rFonts w:cs="Times New Roman"/>
      <w:sz w:val="24"/>
      <w:szCs w:val="24"/>
    </w:rPr>
  </w:style>
  <w:style w:type="paragraph" w:styleId="BodyTextIndent">
    <w:name w:val="Body Text Indent"/>
    <w:basedOn w:val="Normal"/>
    <w:link w:val="BodyTextIndentChar"/>
    <w:uiPriority w:val="99"/>
    <w:rsid w:val="00147DF3"/>
    <w:pPr>
      <w:spacing w:after="120"/>
      <w:ind w:left="360"/>
    </w:pPr>
    <w:rPr>
      <w:lang w:val="en-US" w:eastAsia="en-US"/>
    </w:rPr>
  </w:style>
  <w:style w:type="character" w:customStyle="1" w:styleId="BodyTextIndentChar">
    <w:name w:val="Body Text Indent Char"/>
    <w:basedOn w:val="DefaultParagraphFont"/>
    <w:link w:val="BodyTextIndent"/>
    <w:uiPriority w:val="99"/>
    <w:locked/>
    <w:rsid w:val="00147DF3"/>
    <w:rPr>
      <w:rFonts w:cs="Times New Roman"/>
      <w:sz w:val="24"/>
      <w:szCs w:val="24"/>
    </w:rPr>
  </w:style>
  <w:style w:type="character" w:styleId="Hyperlink">
    <w:name w:val="Hyperlink"/>
    <w:basedOn w:val="DefaultParagraphFont"/>
    <w:uiPriority w:val="99"/>
    <w:rsid w:val="00FA6D32"/>
    <w:rPr>
      <w:rFonts w:cs="Times New Roman"/>
      <w:color w:val="0000FF"/>
      <w:u w:val="single"/>
    </w:rPr>
  </w:style>
  <w:style w:type="character" w:styleId="CommentReference">
    <w:name w:val="annotation reference"/>
    <w:basedOn w:val="DefaultParagraphFont"/>
    <w:uiPriority w:val="99"/>
    <w:semiHidden/>
    <w:rsid w:val="008C04CB"/>
    <w:rPr>
      <w:rFonts w:cs="Times New Roman"/>
      <w:sz w:val="16"/>
      <w:szCs w:val="16"/>
    </w:rPr>
  </w:style>
  <w:style w:type="paragraph" w:styleId="BodyText3">
    <w:name w:val="Body Text 3"/>
    <w:basedOn w:val="Normal"/>
    <w:link w:val="BodyText3Char"/>
    <w:uiPriority w:val="99"/>
    <w:rsid w:val="008C04CB"/>
    <w:pPr>
      <w:spacing w:after="120"/>
    </w:pPr>
    <w:rPr>
      <w:sz w:val="16"/>
      <w:szCs w:val="16"/>
      <w:lang w:val="en-US" w:eastAsia="en-US"/>
    </w:rPr>
  </w:style>
  <w:style w:type="character" w:customStyle="1" w:styleId="BodyText3Char">
    <w:name w:val="Body Text 3 Char"/>
    <w:basedOn w:val="DefaultParagraphFont"/>
    <w:link w:val="BodyText3"/>
    <w:uiPriority w:val="99"/>
    <w:semiHidden/>
    <w:locked/>
    <w:rsid w:val="008C04CB"/>
    <w:rPr>
      <w:rFonts w:cs="Times New Roman"/>
      <w:sz w:val="16"/>
      <w:szCs w:val="16"/>
      <w:lang w:val="en-US" w:eastAsia="en-US" w:bidi="ar-SA"/>
    </w:rPr>
  </w:style>
  <w:style w:type="paragraph" w:styleId="CommentText">
    <w:name w:val="annotation text"/>
    <w:basedOn w:val="Normal"/>
    <w:link w:val="CommentTextChar"/>
    <w:uiPriority w:val="99"/>
    <w:semiHidden/>
    <w:rsid w:val="00097E55"/>
    <w:rPr>
      <w:sz w:val="20"/>
      <w:szCs w:val="20"/>
    </w:rPr>
  </w:style>
  <w:style w:type="character" w:customStyle="1" w:styleId="CommentTextChar">
    <w:name w:val="Comment Text Char"/>
    <w:basedOn w:val="DefaultParagraphFont"/>
    <w:link w:val="CommentText"/>
    <w:uiPriority w:val="99"/>
    <w:semiHidden/>
    <w:locked/>
    <w:rsid w:val="00097E55"/>
    <w:rPr>
      <w:rFonts w:eastAsia="Times New Roman" w:cs="Times New Roman"/>
      <w:lang w:val="de-DE" w:eastAsia="de-DE" w:bidi="ar-SA"/>
    </w:rPr>
  </w:style>
  <w:style w:type="paragraph" w:styleId="CommentSubject">
    <w:name w:val="annotation subject"/>
    <w:basedOn w:val="CommentText"/>
    <w:next w:val="CommentText"/>
    <w:link w:val="CommentSubjectChar"/>
    <w:uiPriority w:val="99"/>
    <w:semiHidden/>
    <w:rsid w:val="00FD42D6"/>
    <w:rPr>
      <w:b/>
      <w:bCs/>
    </w:rPr>
  </w:style>
  <w:style w:type="character" w:customStyle="1" w:styleId="CommentSubjectChar">
    <w:name w:val="Comment Subject Char"/>
    <w:basedOn w:val="CommentTextChar"/>
    <w:link w:val="CommentSubject"/>
    <w:uiPriority w:val="99"/>
    <w:semiHidden/>
    <w:locked/>
    <w:rsid w:val="00CD3613"/>
    <w:rPr>
      <w:rFonts w:eastAsia="Times New Roman" w:cs="Times New Roman"/>
      <w:b/>
      <w:bCs/>
      <w:sz w:val="20"/>
      <w:szCs w:val="20"/>
      <w:lang w:val="de-DE" w:eastAsia="de-DE" w:bidi="ar-SA"/>
    </w:rPr>
  </w:style>
  <w:style w:type="character" w:styleId="Emphasis">
    <w:name w:val="Emphasis"/>
    <w:basedOn w:val="DefaultParagraphFont"/>
    <w:qFormat/>
    <w:locked/>
    <w:rsid w:val="00BB46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66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6FFB-10C7-455E-B648-D015932C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1105</Words>
  <Characters>5888</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 (UNEP/AEWA Secretariat)</cp:lastModifiedBy>
  <cp:revision>4</cp:revision>
  <cp:lastPrinted>2012-05-18T02:23:00Z</cp:lastPrinted>
  <dcterms:created xsi:type="dcterms:W3CDTF">2012-07-19T14:28:00Z</dcterms:created>
  <dcterms:modified xsi:type="dcterms:W3CDTF">2012-09-13T12:19:00Z</dcterms:modified>
</cp:coreProperties>
</file>