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95D" w:rsidRPr="00E3297F" w:rsidRDefault="007977F3" w:rsidP="0068695D">
      <w:pPr>
        <w:ind w:left="-240"/>
        <w:jc w:val="center"/>
        <w:rPr>
          <w:b/>
          <w:i/>
          <w:iCs/>
        </w:rPr>
      </w:pPr>
      <w:r w:rsidRPr="00E3297F">
        <w:rPr>
          <w:b/>
          <w:lang w:val="fr-FR"/>
        </w:rPr>
        <w:t xml:space="preserve"> </w:t>
      </w:r>
      <w:r w:rsidR="0068695D" w:rsidRPr="00E3297F">
        <w:rPr>
          <w:b/>
          <w:lang w:val="fr-FR"/>
        </w:rPr>
        <w:t>ORDRE DU JOUR PROVISOIRE</w:t>
      </w:r>
    </w:p>
    <w:p w:rsidR="0068695D" w:rsidRDefault="0068695D" w:rsidP="0068695D">
      <w:pPr>
        <w:ind w:left="-240"/>
        <w:rPr>
          <w:sz w:val="22"/>
        </w:rPr>
      </w:pPr>
    </w:p>
    <w:p w:rsidR="0068695D" w:rsidRDefault="0068695D" w:rsidP="0068695D">
      <w:pPr>
        <w:ind w:left="-240"/>
        <w:rPr>
          <w:sz w:val="22"/>
        </w:rPr>
      </w:pPr>
    </w:p>
    <w:p w:rsidR="0068695D" w:rsidRPr="00FA0839" w:rsidRDefault="0068695D" w:rsidP="00C75C1C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rPr>
          <w:bCs/>
          <w:sz w:val="22"/>
        </w:rPr>
      </w:pPr>
      <w:r w:rsidRPr="00420D59">
        <w:rPr>
          <w:bCs/>
          <w:sz w:val="22"/>
          <w:lang w:val="fr-FR"/>
        </w:rPr>
        <w:t>Ouverture de la réunion</w:t>
      </w:r>
    </w:p>
    <w:p w:rsidR="0068695D" w:rsidRPr="00FA0839" w:rsidRDefault="0068695D" w:rsidP="0068695D">
      <w:pPr>
        <w:ind w:left="-240"/>
        <w:rPr>
          <w:bCs/>
          <w:sz w:val="22"/>
        </w:rPr>
      </w:pPr>
      <w:bookmarkStart w:id="0" w:name="_GoBack"/>
      <w:bookmarkEnd w:id="0"/>
    </w:p>
    <w:p w:rsidR="0068695D" w:rsidRPr="00FA0839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</w:rPr>
      </w:pPr>
      <w:r w:rsidRPr="00420D59">
        <w:rPr>
          <w:bCs/>
          <w:sz w:val="22"/>
          <w:lang w:val="fr-FR"/>
        </w:rPr>
        <w:t>Adoption</w:t>
      </w:r>
      <w:r>
        <w:rPr>
          <w:bCs/>
          <w:sz w:val="22"/>
          <w:lang w:val="fr-FR"/>
        </w:rPr>
        <w:t xml:space="preserve"> </w:t>
      </w:r>
      <w:r w:rsidRPr="00420D59">
        <w:rPr>
          <w:bCs/>
          <w:sz w:val="22"/>
          <w:lang w:val="fr-FR"/>
        </w:rPr>
        <w:t>du Règlement intérieur</w:t>
      </w:r>
    </w:p>
    <w:p w:rsidR="0068695D" w:rsidRPr="00FA0839" w:rsidRDefault="0068695D" w:rsidP="0068695D">
      <w:pPr>
        <w:tabs>
          <w:tab w:val="num" w:pos="561"/>
        </w:tabs>
        <w:ind w:left="-240"/>
        <w:rPr>
          <w:bCs/>
          <w:sz w:val="22"/>
        </w:rPr>
      </w:pPr>
    </w:p>
    <w:p w:rsidR="0068695D" w:rsidRPr="00FA0839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</w:rPr>
      </w:pPr>
      <w:r w:rsidRPr="00420D59">
        <w:rPr>
          <w:bCs/>
          <w:sz w:val="22"/>
          <w:lang w:val="fr-FR"/>
        </w:rPr>
        <w:t>Élection du bureau</w:t>
      </w:r>
    </w:p>
    <w:p w:rsidR="0068695D" w:rsidRPr="00FA0839" w:rsidRDefault="0068695D" w:rsidP="0068695D">
      <w:pPr>
        <w:tabs>
          <w:tab w:val="num" w:pos="561"/>
        </w:tabs>
        <w:ind w:left="-240"/>
        <w:rPr>
          <w:bCs/>
          <w:sz w:val="22"/>
        </w:rPr>
      </w:pPr>
    </w:p>
    <w:p w:rsidR="0068695D" w:rsidRPr="00E3297F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 w:rsidRPr="00EC6D56">
        <w:rPr>
          <w:sz w:val="22"/>
          <w:lang w:val="fr-FR"/>
        </w:rPr>
        <w:t xml:space="preserve">Adoption de l’ordre du </w:t>
      </w:r>
      <w:r w:rsidR="00CF7F8B">
        <w:rPr>
          <w:sz w:val="22"/>
          <w:lang w:val="fr-FR"/>
        </w:rPr>
        <w:t>jour et du programme de la réunion</w:t>
      </w:r>
    </w:p>
    <w:p w:rsidR="0068695D" w:rsidRPr="00E3297F" w:rsidRDefault="0068695D" w:rsidP="0068695D">
      <w:pPr>
        <w:ind w:left="-240"/>
        <w:rPr>
          <w:i/>
          <w:sz w:val="22"/>
          <w:szCs w:val="22"/>
          <w:lang w:val="fr-FR"/>
        </w:rPr>
      </w:pPr>
    </w:p>
    <w:p w:rsidR="0068695D" w:rsidRPr="00E3297F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 w:rsidRPr="00EC6D56">
        <w:rPr>
          <w:bCs/>
          <w:sz w:val="22"/>
          <w:lang w:val="fr-FR"/>
        </w:rPr>
        <w:t>Constitution de la Commission de vérification des pouvoirs et des Comités de session</w:t>
      </w:r>
    </w:p>
    <w:p w:rsidR="0068695D" w:rsidRPr="00E3297F" w:rsidRDefault="0068695D" w:rsidP="0068695D">
      <w:pPr>
        <w:tabs>
          <w:tab w:val="num" w:pos="561"/>
        </w:tabs>
        <w:rPr>
          <w:bCs/>
          <w:sz w:val="22"/>
          <w:lang w:val="fr-FR"/>
        </w:rPr>
      </w:pPr>
    </w:p>
    <w:p w:rsidR="0068695D" w:rsidRPr="00FA0839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</w:rPr>
      </w:pPr>
      <w:r w:rsidRPr="00EC6D56">
        <w:rPr>
          <w:sz w:val="22"/>
          <w:lang w:val="fr-FR"/>
        </w:rPr>
        <w:t>Admission des observateurs</w:t>
      </w:r>
    </w:p>
    <w:p w:rsidR="0068695D" w:rsidRPr="00FA0839" w:rsidRDefault="0068695D" w:rsidP="0068695D">
      <w:pPr>
        <w:tabs>
          <w:tab w:val="num" w:pos="561"/>
        </w:tabs>
        <w:rPr>
          <w:bCs/>
          <w:sz w:val="22"/>
        </w:rPr>
      </w:pPr>
    </w:p>
    <w:p w:rsidR="0068695D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</w:rPr>
      </w:pPr>
      <w:r w:rsidRPr="00EC6D56">
        <w:rPr>
          <w:bCs/>
          <w:sz w:val="22"/>
          <w:lang w:val="fr-FR"/>
        </w:rPr>
        <w:t>Déclarations liminaires</w:t>
      </w:r>
    </w:p>
    <w:p w:rsidR="0068695D" w:rsidRDefault="0068695D" w:rsidP="0068695D">
      <w:pPr>
        <w:pStyle w:val="ListParagraph"/>
        <w:rPr>
          <w:bCs/>
          <w:sz w:val="22"/>
        </w:rPr>
      </w:pPr>
    </w:p>
    <w:p w:rsidR="0068695D" w:rsidRPr="00E3297F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 w:rsidRPr="00307AEF">
        <w:rPr>
          <w:bCs/>
          <w:sz w:val="22"/>
          <w:lang w:val="fr-FR"/>
        </w:rPr>
        <w:t>Cérémonie de la remise des prix de l’AEWA pour la Conservation des oiseaux d’eau</w:t>
      </w:r>
    </w:p>
    <w:p w:rsidR="0068695D" w:rsidRPr="00E3297F" w:rsidRDefault="0068695D" w:rsidP="0068695D">
      <w:pPr>
        <w:ind w:left="-240"/>
        <w:rPr>
          <w:bCs/>
          <w:i/>
          <w:iCs/>
          <w:sz w:val="22"/>
          <w:lang w:val="fr-FR"/>
        </w:rPr>
      </w:pPr>
    </w:p>
    <w:p w:rsidR="0068695D" w:rsidRPr="00490F02" w:rsidRDefault="0068695D" w:rsidP="00C75C1C">
      <w:pPr>
        <w:numPr>
          <w:ilvl w:val="0"/>
          <w:numId w:val="6"/>
        </w:numPr>
        <w:tabs>
          <w:tab w:val="num" w:pos="540"/>
        </w:tabs>
        <w:ind w:left="993" w:hanging="426"/>
        <w:rPr>
          <w:bCs/>
          <w:sz w:val="22"/>
        </w:rPr>
      </w:pPr>
      <w:r w:rsidRPr="00307AEF">
        <w:rPr>
          <w:bCs/>
          <w:sz w:val="22"/>
          <w:lang w:val="fr-FR"/>
        </w:rPr>
        <w:t xml:space="preserve">Rapports </w:t>
      </w:r>
      <w:r>
        <w:rPr>
          <w:bCs/>
          <w:sz w:val="22"/>
          <w:lang w:val="fr-FR"/>
        </w:rPr>
        <w:t>du</w:t>
      </w:r>
      <w:r w:rsidRPr="00307AEF">
        <w:rPr>
          <w:bCs/>
          <w:sz w:val="22"/>
          <w:lang w:val="fr-FR"/>
        </w:rPr>
        <w:t xml:space="preserve"> : </w:t>
      </w:r>
    </w:p>
    <w:p w:rsidR="0068695D" w:rsidRPr="0068695D" w:rsidRDefault="0068695D" w:rsidP="00C75C1C">
      <w:pPr>
        <w:pStyle w:val="ListParagraph"/>
        <w:numPr>
          <w:ilvl w:val="0"/>
          <w:numId w:val="15"/>
        </w:numPr>
        <w:ind w:left="1418" w:hanging="425"/>
        <w:rPr>
          <w:bCs/>
          <w:sz w:val="22"/>
        </w:rPr>
      </w:pPr>
      <w:r w:rsidRPr="0068695D">
        <w:rPr>
          <w:bCs/>
          <w:sz w:val="22"/>
          <w:lang w:val="fr-FR"/>
        </w:rPr>
        <w:t>Comité permanent</w:t>
      </w:r>
    </w:p>
    <w:p w:rsidR="0068695D" w:rsidRPr="0068695D" w:rsidRDefault="0068695D" w:rsidP="00C75C1C">
      <w:pPr>
        <w:pStyle w:val="ListParagraph"/>
        <w:numPr>
          <w:ilvl w:val="0"/>
          <w:numId w:val="15"/>
        </w:numPr>
        <w:ind w:left="1418" w:hanging="425"/>
        <w:rPr>
          <w:bCs/>
          <w:sz w:val="22"/>
        </w:rPr>
      </w:pPr>
      <w:r w:rsidRPr="0068695D">
        <w:rPr>
          <w:bCs/>
          <w:sz w:val="22"/>
          <w:lang w:val="fr-FR"/>
        </w:rPr>
        <w:t>Comité technique</w:t>
      </w:r>
    </w:p>
    <w:p w:rsidR="0068695D" w:rsidRPr="00B72B5C" w:rsidRDefault="0068695D" w:rsidP="00C75C1C">
      <w:pPr>
        <w:pStyle w:val="ListParagraph"/>
        <w:numPr>
          <w:ilvl w:val="0"/>
          <w:numId w:val="15"/>
        </w:numPr>
        <w:ind w:left="1418" w:hanging="425"/>
        <w:rPr>
          <w:bCs/>
          <w:sz w:val="22"/>
        </w:rPr>
      </w:pPr>
      <w:r w:rsidRPr="0068695D">
        <w:rPr>
          <w:bCs/>
          <w:sz w:val="22"/>
          <w:lang w:val="fr-FR"/>
        </w:rPr>
        <w:t>Dépositaire</w:t>
      </w:r>
    </w:p>
    <w:p w:rsidR="00B72B5C" w:rsidRPr="0068695D" w:rsidRDefault="00B72B5C" w:rsidP="00C75C1C">
      <w:pPr>
        <w:pStyle w:val="ListParagraph"/>
        <w:numPr>
          <w:ilvl w:val="0"/>
          <w:numId w:val="15"/>
        </w:numPr>
        <w:ind w:left="1418" w:hanging="425"/>
        <w:rPr>
          <w:bCs/>
          <w:sz w:val="22"/>
        </w:rPr>
      </w:pPr>
      <w:r>
        <w:rPr>
          <w:bCs/>
          <w:sz w:val="22"/>
          <w:lang w:val="fr-FR"/>
        </w:rPr>
        <w:t>Secrétariat</w:t>
      </w:r>
    </w:p>
    <w:p w:rsidR="0068695D" w:rsidRPr="0068695D" w:rsidRDefault="0068695D" w:rsidP="00C75C1C">
      <w:pPr>
        <w:pStyle w:val="ListParagraph"/>
        <w:numPr>
          <w:ilvl w:val="0"/>
          <w:numId w:val="15"/>
        </w:numPr>
        <w:ind w:left="1418" w:hanging="425"/>
        <w:rPr>
          <w:bCs/>
          <w:sz w:val="22"/>
        </w:rPr>
      </w:pPr>
      <w:r w:rsidRPr="0068695D">
        <w:rPr>
          <w:bCs/>
          <w:sz w:val="22"/>
          <w:lang w:val="fr-FR"/>
        </w:rPr>
        <w:t>PNUE</w:t>
      </w:r>
    </w:p>
    <w:p w:rsidR="0068695D" w:rsidRDefault="0068695D" w:rsidP="0068695D">
      <w:pPr>
        <w:tabs>
          <w:tab w:val="num" w:pos="540"/>
        </w:tabs>
        <w:ind w:left="-240"/>
        <w:rPr>
          <w:bCs/>
          <w:sz w:val="22"/>
        </w:rPr>
      </w:pPr>
    </w:p>
    <w:p w:rsidR="00B72B5C" w:rsidRDefault="00CF7F8B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 w:rsidRPr="00CF7F8B">
        <w:rPr>
          <w:sz w:val="22"/>
          <w:szCs w:val="22"/>
          <w:lang w:val="fr-FR"/>
        </w:rPr>
        <w:t>Équipe</w:t>
      </w:r>
      <w:r w:rsidR="00B72B5C">
        <w:rPr>
          <w:sz w:val="22"/>
          <w:szCs w:val="22"/>
          <w:lang w:val="fr-FR"/>
        </w:rPr>
        <w:t xml:space="preserve"> commune de la CMS/l’AEWA chargée de la gestion de l’information, de la communication et de la sensibilisation</w:t>
      </w:r>
    </w:p>
    <w:p w:rsidR="00B72B5C" w:rsidRDefault="00B72B5C" w:rsidP="00B72B5C">
      <w:pPr>
        <w:tabs>
          <w:tab w:val="num" w:pos="561"/>
        </w:tabs>
        <w:ind w:left="993"/>
        <w:rPr>
          <w:bCs/>
          <w:sz w:val="22"/>
          <w:lang w:val="fr-FR"/>
        </w:rPr>
      </w:pPr>
    </w:p>
    <w:p w:rsidR="0068695D" w:rsidRDefault="00CF7F8B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>
        <w:rPr>
          <w:bCs/>
          <w:sz w:val="22"/>
          <w:lang w:val="fr-FR"/>
        </w:rPr>
        <w:t xml:space="preserve">a. </w:t>
      </w:r>
      <w:r w:rsidR="00B72B5C">
        <w:rPr>
          <w:bCs/>
          <w:sz w:val="22"/>
          <w:lang w:val="fr-FR"/>
        </w:rPr>
        <w:t>Résultats</w:t>
      </w:r>
      <w:r w:rsidR="00E2234F">
        <w:rPr>
          <w:bCs/>
          <w:sz w:val="22"/>
          <w:lang w:val="fr-FR"/>
        </w:rPr>
        <w:t xml:space="preserve"> de la COP11</w:t>
      </w:r>
      <w:r w:rsidR="00B72B5C">
        <w:rPr>
          <w:bCs/>
          <w:sz w:val="22"/>
          <w:lang w:val="fr-FR"/>
        </w:rPr>
        <w:t xml:space="preserve"> de la CMS </w:t>
      </w:r>
      <w:r>
        <w:rPr>
          <w:bCs/>
          <w:sz w:val="22"/>
          <w:lang w:val="fr-FR"/>
        </w:rPr>
        <w:t xml:space="preserve">et d’autres développements </w:t>
      </w:r>
      <w:r w:rsidR="00B72B5C">
        <w:rPr>
          <w:bCs/>
          <w:sz w:val="22"/>
          <w:lang w:val="fr-FR"/>
        </w:rPr>
        <w:t>important</w:t>
      </w:r>
      <w:r w:rsidR="0068695D" w:rsidRPr="00F9167D">
        <w:rPr>
          <w:bCs/>
          <w:sz w:val="22"/>
          <w:lang w:val="fr-FR"/>
        </w:rPr>
        <w:t>s pour l’AEWA</w:t>
      </w:r>
    </w:p>
    <w:p w:rsidR="00CF7F8B" w:rsidRDefault="00CF7F8B" w:rsidP="00CF7F8B">
      <w:pPr>
        <w:tabs>
          <w:tab w:val="num" w:pos="561"/>
        </w:tabs>
        <w:ind w:left="993"/>
        <w:rPr>
          <w:bCs/>
          <w:sz w:val="22"/>
          <w:lang w:val="fr-FR"/>
        </w:rPr>
      </w:pPr>
      <w:r>
        <w:rPr>
          <w:bCs/>
          <w:sz w:val="22"/>
          <w:lang w:val="fr-FR"/>
        </w:rPr>
        <w:t xml:space="preserve">b. Résultats de la COP 12 de la Convention de </w:t>
      </w:r>
      <w:proofErr w:type="spellStart"/>
      <w:r>
        <w:rPr>
          <w:bCs/>
          <w:sz w:val="22"/>
          <w:lang w:val="fr-FR"/>
        </w:rPr>
        <w:t>Ramsar</w:t>
      </w:r>
      <w:proofErr w:type="spellEnd"/>
      <w:r>
        <w:rPr>
          <w:bCs/>
          <w:sz w:val="22"/>
          <w:lang w:val="fr-FR"/>
        </w:rPr>
        <w:t xml:space="preserve"> importants pour l’AEWA</w:t>
      </w:r>
    </w:p>
    <w:p w:rsidR="00B72B5C" w:rsidRDefault="00B72B5C" w:rsidP="00B72B5C">
      <w:pPr>
        <w:pStyle w:val="ListParagraph"/>
        <w:rPr>
          <w:bCs/>
          <w:sz w:val="22"/>
          <w:lang w:val="fr-FR"/>
        </w:rPr>
      </w:pPr>
    </w:p>
    <w:p w:rsidR="00B72B5C" w:rsidRPr="00E2234F" w:rsidRDefault="00B72B5C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>
        <w:rPr>
          <w:bCs/>
          <w:sz w:val="22"/>
          <w:lang w:val="fr-FR"/>
        </w:rPr>
        <w:t>Mise en œuvre du Plan d’action de l’AEWA pour l’Afrique 2012 - 2017</w:t>
      </w:r>
    </w:p>
    <w:p w:rsidR="0068695D" w:rsidRPr="00E2234F" w:rsidRDefault="0068695D" w:rsidP="0068695D">
      <w:pPr>
        <w:tabs>
          <w:tab w:val="num" w:pos="561"/>
        </w:tabs>
        <w:ind w:left="-240"/>
        <w:rPr>
          <w:bCs/>
          <w:sz w:val="22"/>
          <w:lang w:val="fr-FR"/>
        </w:rPr>
      </w:pPr>
    </w:p>
    <w:p w:rsidR="0068695D" w:rsidRPr="00E2234F" w:rsidRDefault="0068695D" w:rsidP="00C75C1C">
      <w:pPr>
        <w:numPr>
          <w:ilvl w:val="0"/>
          <w:numId w:val="6"/>
        </w:numPr>
        <w:tabs>
          <w:tab w:val="num" w:pos="561"/>
        </w:tabs>
        <w:ind w:left="993" w:hanging="426"/>
        <w:rPr>
          <w:bCs/>
          <w:sz w:val="22"/>
          <w:lang w:val="fr-FR"/>
        </w:rPr>
      </w:pPr>
      <w:r w:rsidRPr="00952F48">
        <w:rPr>
          <w:bCs/>
          <w:sz w:val="22"/>
          <w:lang w:val="fr-FR"/>
        </w:rPr>
        <w:t>Mise en œuvre du Plan stratégique</w:t>
      </w:r>
      <w:r w:rsidR="00E2234F">
        <w:rPr>
          <w:bCs/>
          <w:sz w:val="22"/>
          <w:lang w:val="fr-FR"/>
        </w:rPr>
        <w:t xml:space="preserve"> </w:t>
      </w:r>
      <w:r w:rsidRPr="00952F48">
        <w:rPr>
          <w:bCs/>
          <w:sz w:val="22"/>
          <w:lang w:val="fr-FR"/>
        </w:rPr>
        <w:t>de l’AEWA</w:t>
      </w:r>
      <w:r w:rsidR="00E2234F">
        <w:rPr>
          <w:bCs/>
          <w:sz w:val="22"/>
          <w:lang w:val="fr-FR"/>
        </w:rPr>
        <w:t xml:space="preserve"> 2009 - 2017</w:t>
      </w:r>
    </w:p>
    <w:p w:rsidR="0068695D" w:rsidRPr="00E2234F" w:rsidRDefault="0068695D" w:rsidP="0068695D">
      <w:pPr>
        <w:tabs>
          <w:tab w:val="num" w:pos="561"/>
        </w:tabs>
        <w:ind w:left="-240"/>
        <w:rPr>
          <w:bCs/>
          <w:sz w:val="22"/>
          <w:lang w:val="fr-FR"/>
        </w:rPr>
      </w:pPr>
      <w:r w:rsidRPr="00E2234F">
        <w:rPr>
          <w:bCs/>
          <w:sz w:val="22"/>
          <w:lang w:val="fr-FR"/>
        </w:rPr>
        <w:tab/>
      </w:r>
    </w:p>
    <w:p w:rsidR="0068695D" w:rsidRPr="00433AA2" w:rsidRDefault="00E2234F" w:rsidP="00C75C1C">
      <w:pPr>
        <w:numPr>
          <w:ilvl w:val="0"/>
          <w:numId w:val="6"/>
        </w:numPr>
        <w:tabs>
          <w:tab w:val="num" w:pos="540"/>
        </w:tabs>
        <w:ind w:left="993" w:hanging="426"/>
        <w:rPr>
          <w:bCs/>
          <w:sz w:val="22"/>
          <w:lang w:val="fr-FR"/>
        </w:rPr>
      </w:pPr>
      <w:r>
        <w:rPr>
          <w:sz w:val="22"/>
          <w:lang w:val="fr-FR"/>
        </w:rPr>
        <w:t>Analyse et synthèse des r</w:t>
      </w:r>
      <w:r w:rsidR="0068695D" w:rsidRPr="00952F48">
        <w:rPr>
          <w:sz w:val="22"/>
          <w:lang w:val="fr-FR"/>
        </w:rPr>
        <w:t xml:space="preserve">apports </w:t>
      </w:r>
      <w:r>
        <w:rPr>
          <w:sz w:val="22"/>
          <w:lang w:val="fr-FR"/>
        </w:rPr>
        <w:t>nationaux</w:t>
      </w:r>
    </w:p>
    <w:p w:rsidR="0068695D" w:rsidRPr="00433AA2" w:rsidRDefault="0068695D" w:rsidP="0068695D">
      <w:pPr>
        <w:tabs>
          <w:tab w:val="num" w:pos="540"/>
        </w:tabs>
        <w:ind w:left="-240"/>
        <w:rPr>
          <w:bCs/>
          <w:sz w:val="22"/>
          <w:lang w:val="fr-FR"/>
        </w:rPr>
      </w:pPr>
    </w:p>
    <w:p w:rsidR="0068695D" w:rsidRPr="00490F02" w:rsidRDefault="0068695D" w:rsidP="00C75C1C">
      <w:pPr>
        <w:numPr>
          <w:ilvl w:val="0"/>
          <w:numId w:val="6"/>
        </w:numPr>
        <w:tabs>
          <w:tab w:val="num" w:pos="540"/>
        </w:tabs>
        <w:ind w:left="993" w:hanging="426"/>
        <w:rPr>
          <w:bCs/>
          <w:sz w:val="22"/>
        </w:rPr>
      </w:pPr>
      <w:r w:rsidRPr="00952F48">
        <w:rPr>
          <w:sz w:val="22"/>
          <w:lang w:val="fr-FR"/>
        </w:rPr>
        <w:t>Études internationales</w:t>
      </w:r>
    </w:p>
    <w:p w:rsidR="0068695D" w:rsidRPr="00490F02" w:rsidRDefault="0068695D" w:rsidP="0068695D">
      <w:pPr>
        <w:tabs>
          <w:tab w:val="num" w:pos="540"/>
        </w:tabs>
        <w:rPr>
          <w:bCs/>
          <w:sz w:val="22"/>
        </w:rPr>
      </w:pPr>
    </w:p>
    <w:p w:rsidR="0068695D" w:rsidRPr="00E2234F" w:rsidRDefault="0068695D" w:rsidP="00C75C1C">
      <w:pPr>
        <w:numPr>
          <w:ilvl w:val="0"/>
          <w:numId w:val="6"/>
        </w:numPr>
        <w:tabs>
          <w:tab w:val="num" w:pos="540"/>
        </w:tabs>
        <w:ind w:left="993" w:hanging="426"/>
        <w:rPr>
          <w:bCs/>
          <w:sz w:val="22"/>
          <w:lang w:val="fr-FR"/>
        </w:rPr>
      </w:pPr>
      <w:r w:rsidRPr="004A3EDC">
        <w:rPr>
          <w:sz w:val="22"/>
          <w:lang w:val="fr-FR"/>
        </w:rPr>
        <w:t>Procédure d’éval</w:t>
      </w:r>
      <w:r w:rsidR="00E2234F">
        <w:rPr>
          <w:sz w:val="22"/>
          <w:lang w:val="fr-FR"/>
        </w:rPr>
        <w:t>uation de la mise en œuvre</w:t>
      </w:r>
    </w:p>
    <w:p w:rsidR="0068695D" w:rsidRPr="00E2234F" w:rsidRDefault="0068695D" w:rsidP="0068695D">
      <w:pPr>
        <w:pStyle w:val="ListParagraph"/>
        <w:rPr>
          <w:bCs/>
          <w:sz w:val="22"/>
          <w:lang w:val="fr-FR"/>
        </w:rPr>
      </w:pPr>
    </w:p>
    <w:p w:rsidR="00E2234F" w:rsidRDefault="0068695D" w:rsidP="00E2234F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988" w:hanging="426"/>
        <w:rPr>
          <w:bCs/>
          <w:sz w:val="22"/>
          <w:szCs w:val="22"/>
          <w:lang w:val="fr-FR"/>
        </w:rPr>
      </w:pPr>
      <w:r w:rsidRPr="00E2234F">
        <w:rPr>
          <w:bCs/>
          <w:sz w:val="22"/>
          <w:szCs w:val="22"/>
          <w:lang w:val="fr-FR"/>
        </w:rPr>
        <w:t>Rapport sur la mise en œuvre et révision des Tâches internationales de mise en œuvre</w:t>
      </w:r>
      <w:r w:rsidR="00C75C1C" w:rsidRPr="00E2234F">
        <w:rPr>
          <w:bCs/>
          <w:sz w:val="22"/>
          <w:szCs w:val="22"/>
          <w:lang w:val="fr-FR"/>
        </w:rPr>
        <w:t xml:space="preserve"> de l’AEWA</w:t>
      </w:r>
      <w:r w:rsidR="001107A1" w:rsidRPr="00E2234F">
        <w:rPr>
          <w:bCs/>
          <w:sz w:val="22"/>
          <w:szCs w:val="22"/>
          <w:lang w:val="fr-FR"/>
        </w:rPr>
        <w:t xml:space="preserve"> pour 20</w:t>
      </w:r>
      <w:r w:rsidR="00E3297F">
        <w:rPr>
          <w:bCs/>
          <w:sz w:val="22"/>
          <w:szCs w:val="22"/>
          <w:lang w:val="fr-FR"/>
        </w:rPr>
        <w:t>12-2015</w:t>
      </w:r>
    </w:p>
    <w:p w:rsidR="00326812" w:rsidRDefault="00326812" w:rsidP="00326812">
      <w:pPr>
        <w:pStyle w:val="ListParagraph"/>
        <w:rPr>
          <w:bCs/>
          <w:sz w:val="22"/>
          <w:szCs w:val="22"/>
          <w:lang w:val="fr-FR"/>
        </w:rPr>
      </w:pPr>
    </w:p>
    <w:p w:rsidR="00326812" w:rsidRPr="00E2234F" w:rsidRDefault="00326812" w:rsidP="00E2234F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988" w:hanging="426"/>
        <w:rPr>
          <w:bCs/>
          <w:sz w:val="22"/>
          <w:szCs w:val="22"/>
          <w:lang w:val="fr-FR"/>
        </w:rPr>
      </w:pPr>
      <w:r>
        <w:rPr>
          <w:bCs/>
          <w:sz w:val="22"/>
          <w:szCs w:val="22"/>
          <w:lang w:val="fr-FR"/>
        </w:rPr>
        <w:t>Questions financières et administratives</w:t>
      </w:r>
    </w:p>
    <w:p w:rsidR="00E2234F" w:rsidRDefault="00E2234F" w:rsidP="00E2234F">
      <w:pPr>
        <w:pStyle w:val="ListParagraph"/>
        <w:rPr>
          <w:sz w:val="22"/>
          <w:szCs w:val="22"/>
          <w:lang w:val="fr-FR"/>
        </w:rPr>
      </w:pPr>
    </w:p>
    <w:p w:rsidR="0068695D" w:rsidRPr="00326812" w:rsidRDefault="0068695D" w:rsidP="00326812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988" w:hanging="426"/>
        <w:rPr>
          <w:bCs/>
          <w:sz w:val="22"/>
          <w:szCs w:val="22"/>
          <w:lang w:val="fr-FR"/>
        </w:rPr>
      </w:pPr>
      <w:r w:rsidRPr="00E2234F">
        <w:rPr>
          <w:sz w:val="22"/>
          <w:szCs w:val="22"/>
          <w:lang w:val="fr-FR"/>
        </w:rPr>
        <w:lastRenderedPageBreak/>
        <w:t>Rapport s</w:t>
      </w:r>
      <w:r w:rsidR="00E2234F" w:rsidRPr="00E2234F">
        <w:rPr>
          <w:sz w:val="22"/>
          <w:szCs w:val="22"/>
          <w:lang w:val="fr-FR"/>
        </w:rPr>
        <w:t xml:space="preserve">ur la mise en œuvre </w:t>
      </w:r>
      <w:r w:rsidRPr="00E2234F">
        <w:rPr>
          <w:sz w:val="22"/>
          <w:szCs w:val="22"/>
          <w:lang w:val="fr-FR"/>
        </w:rPr>
        <w:t>de la Stratégie de communication</w:t>
      </w:r>
      <w:r w:rsidR="00E2234F" w:rsidRPr="00E2234F">
        <w:rPr>
          <w:sz w:val="22"/>
          <w:szCs w:val="22"/>
          <w:lang w:val="fr-FR"/>
        </w:rPr>
        <w:t xml:space="preserve"> et adoption de la nouvelle Stratégie de communication</w:t>
      </w:r>
    </w:p>
    <w:p w:rsidR="0068695D" w:rsidRPr="00E2234F" w:rsidRDefault="0068695D" w:rsidP="00E2234F">
      <w:pPr>
        <w:rPr>
          <w:sz w:val="22"/>
          <w:szCs w:val="22"/>
          <w:lang w:val="fr-FR"/>
        </w:rPr>
      </w:pPr>
    </w:p>
    <w:p w:rsidR="0068695D" w:rsidRPr="00E3297F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szCs w:val="22"/>
          <w:lang w:val="fr-FR"/>
        </w:rPr>
      </w:pPr>
      <w:r w:rsidRPr="00E2234F">
        <w:rPr>
          <w:bCs/>
          <w:sz w:val="22"/>
          <w:szCs w:val="22"/>
          <w:lang w:val="fr-FR"/>
        </w:rPr>
        <w:t>Propositions d’amendements à l’Accord et</w:t>
      </w:r>
      <w:r w:rsidR="00326812">
        <w:rPr>
          <w:bCs/>
          <w:sz w:val="22"/>
          <w:szCs w:val="22"/>
          <w:lang w:val="fr-FR"/>
        </w:rPr>
        <w:t>/ ou</w:t>
      </w:r>
      <w:r w:rsidRPr="00E2234F">
        <w:rPr>
          <w:bCs/>
          <w:sz w:val="22"/>
          <w:szCs w:val="22"/>
          <w:lang w:val="fr-FR"/>
        </w:rPr>
        <w:t xml:space="preserve"> à ses annexes</w:t>
      </w:r>
    </w:p>
    <w:p w:rsidR="0068695D" w:rsidRPr="00E3297F" w:rsidRDefault="0068695D" w:rsidP="0068695D">
      <w:pPr>
        <w:tabs>
          <w:tab w:val="num" w:pos="540"/>
        </w:tabs>
        <w:ind w:left="357"/>
        <w:rPr>
          <w:bCs/>
          <w:sz w:val="22"/>
          <w:szCs w:val="22"/>
          <w:lang w:val="fr-FR"/>
        </w:rPr>
      </w:pPr>
    </w:p>
    <w:p w:rsidR="0068695D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 w:rsidRPr="00620D3E">
        <w:rPr>
          <w:bCs/>
          <w:sz w:val="22"/>
          <w:lang w:val="fr-FR"/>
        </w:rPr>
        <w:t>Adoption de la nouvelle traduction en arabe du texte de l’Accord</w:t>
      </w:r>
    </w:p>
    <w:p w:rsidR="00326812" w:rsidRDefault="00326812" w:rsidP="00326812">
      <w:pPr>
        <w:pStyle w:val="ListParagraph"/>
        <w:rPr>
          <w:bCs/>
          <w:sz w:val="22"/>
          <w:lang w:val="fr-FR"/>
        </w:rPr>
      </w:pPr>
    </w:p>
    <w:p w:rsidR="00326812" w:rsidRPr="00E3297F" w:rsidRDefault="00326812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>
        <w:rPr>
          <w:bCs/>
          <w:sz w:val="22"/>
          <w:lang w:val="fr-FR"/>
        </w:rPr>
        <w:t>Suivi des oiseaux d’eau le long des voies de migration de l’Afrique-Eurasie</w:t>
      </w:r>
    </w:p>
    <w:p w:rsidR="0068695D" w:rsidRPr="00E3297F" w:rsidRDefault="0068695D" w:rsidP="0068695D">
      <w:pPr>
        <w:ind w:left="357"/>
        <w:rPr>
          <w:bCs/>
          <w:sz w:val="22"/>
          <w:lang w:val="fr-FR"/>
        </w:rPr>
      </w:pPr>
    </w:p>
    <w:p w:rsidR="000D7741" w:rsidRPr="00E3297F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 w:rsidRPr="00620D3E">
        <w:rPr>
          <w:bCs/>
          <w:sz w:val="22"/>
          <w:lang w:val="fr-FR"/>
        </w:rPr>
        <w:t xml:space="preserve">Plans d’action </w:t>
      </w:r>
      <w:r w:rsidR="00F043C2">
        <w:rPr>
          <w:bCs/>
          <w:sz w:val="22"/>
          <w:lang w:val="fr-FR"/>
        </w:rPr>
        <w:t xml:space="preserve">et de gestion </w:t>
      </w:r>
      <w:r w:rsidRPr="00620D3E">
        <w:rPr>
          <w:bCs/>
          <w:sz w:val="22"/>
          <w:lang w:val="fr-FR"/>
        </w:rPr>
        <w:t>internationaux p</w:t>
      </w:r>
      <w:r w:rsidR="00F043C2">
        <w:rPr>
          <w:bCs/>
          <w:sz w:val="22"/>
          <w:lang w:val="fr-FR"/>
        </w:rPr>
        <w:t>ar espèce et multi-espèces</w:t>
      </w:r>
    </w:p>
    <w:p w:rsidR="000D7741" w:rsidRDefault="000D7741" w:rsidP="000D7741">
      <w:pPr>
        <w:pStyle w:val="ListParagraph"/>
        <w:rPr>
          <w:bCs/>
          <w:sz w:val="22"/>
          <w:lang w:val="fr-FR"/>
        </w:rPr>
      </w:pPr>
    </w:p>
    <w:p w:rsidR="0068695D" w:rsidRPr="00F043C2" w:rsidRDefault="000D7741" w:rsidP="00F043C2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>
        <w:rPr>
          <w:bCs/>
          <w:sz w:val="22"/>
          <w:lang w:val="fr-FR"/>
        </w:rPr>
        <w:t>Lignes directrices de conservation</w:t>
      </w:r>
      <w:r w:rsidR="00F043C2">
        <w:rPr>
          <w:bCs/>
          <w:sz w:val="22"/>
          <w:lang w:val="fr-FR"/>
        </w:rPr>
        <w:t>, conseils et définitions</w:t>
      </w:r>
      <w:r w:rsidR="0068695D" w:rsidRPr="00620D3E">
        <w:rPr>
          <w:bCs/>
          <w:sz w:val="22"/>
          <w:lang w:val="fr-FR"/>
        </w:rPr>
        <w:t xml:space="preserve"> </w:t>
      </w:r>
    </w:p>
    <w:p w:rsidR="0068695D" w:rsidRPr="00A95EDF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Default="00F043C2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993" w:hanging="426"/>
        <w:rPr>
          <w:bCs/>
          <w:sz w:val="22"/>
          <w:lang w:val="fr-FR"/>
        </w:rPr>
      </w:pPr>
      <w:r>
        <w:rPr>
          <w:bCs/>
          <w:sz w:val="22"/>
          <w:lang w:val="fr-FR"/>
        </w:rPr>
        <w:t>Influences</w:t>
      </w:r>
      <w:r w:rsidR="0068695D" w:rsidRPr="00433AA2">
        <w:rPr>
          <w:bCs/>
          <w:sz w:val="22"/>
          <w:lang w:val="fr-FR"/>
        </w:rPr>
        <w:t xml:space="preserve"> sur l’état de conservation des oisea</w:t>
      </w:r>
      <w:r>
        <w:rPr>
          <w:bCs/>
          <w:sz w:val="22"/>
          <w:lang w:val="fr-FR"/>
        </w:rPr>
        <w:t>ux d’eau migrateurs dans la région</w:t>
      </w:r>
      <w:r w:rsidR="0068695D" w:rsidRPr="00433AA2">
        <w:rPr>
          <w:bCs/>
          <w:sz w:val="22"/>
          <w:lang w:val="fr-FR"/>
        </w:rPr>
        <w:t xml:space="preserve"> de </w:t>
      </w:r>
    </w:p>
    <w:p w:rsidR="001107A1" w:rsidRPr="00C75C1C" w:rsidRDefault="000D7741" w:rsidP="00C75C1C">
      <w:pPr>
        <w:ind w:left="273" w:firstLine="720"/>
        <w:rPr>
          <w:bCs/>
          <w:sz w:val="22"/>
          <w:lang w:val="fr-FR"/>
        </w:rPr>
      </w:pPr>
      <w:r>
        <w:rPr>
          <w:bCs/>
          <w:sz w:val="22"/>
          <w:lang w:val="fr-FR"/>
        </w:rPr>
        <w:t>l’AEWA</w:t>
      </w:r>
    </w:p>
    <w:p w:rsidR="0068695D" w:rsidRPr="00433AA2" w:rsidRDefault="0068695D" w:rsidP="0068695D">
      <w:pPr>
        <w:rPr>
          <w:bCs/>
          <w:sz w:val="22"/>
          <w:lang w:val="fr-FR"/>
        </w:rPr>
      </w:pPr>
    </w:p>
    <w:p w:rsidR="0068695D" w:rsidRPr="00186994" w:rsidRDefault="0068695D" w:rsidP="00C75C1C">
      <w:pPr>
        <w:numPr>
          <w:ilvl w:val="0"/>
          <w:numId w:val="6"/>
        </w:numPr>
        <w:tabs>
          <w:tab w:val="clear" w:pos="360"/>
          <w:tab w:val="num" w:pos="993"/>
        </w:tabs>
        <w:ind w:left="993" w:hanging="426"/>
        <w:rPr>
          <w:bCs/>
          <w:sz w:val="22"/>
        </w:rPr>
      </w:pPr>
      <w:r w:rsidRPr="009C1C86">
        <w:rPr>
          <w:bCs/>
          <w:sz w:val="22"/>
          <w:lang w:val="fr-FR"/>
        </w:rPr>
        <w:t>Dispositions institutionnelles</w:t>
      </w:r>
    </w:p>
    <w:p w:rsidR="0068695D" w:rsidRPr="001107A1" w:rsidRDefault="0068695D" w:rsidP="00C75C1C">
      <w:pPr>
        <w:pStyle w:val="ListParagraph"/>
        <w:numPr>
          <w:ilvl w:val="0"/>
          <w:numId w:val="16"/>
        </w:numPr>
        <w:ind w:left="1134" w:hanging="141"/>
        <w:rPr>
          <w:bCs/>
          <w:sz w:val="22"/>
        </w:rPr>
      </w:pPr>
      <w:r w:rsidRPr="001107A1">
        <w:rPr>
          <w:bCs/>
          <w:sz w:val="22"/>
          <w:lang w:val="fr-FR"/>
        </w:rPr>
        <w:t>Comité permanent</w:t>
      </w:r>
    </w:p>
    <w:p w:rsidR="0068695D" w:rsidRPr="00C75C1C" w:rsidRDefault="0068695D" w:rsidP="00C75C1C">
      <w:pPr>
        <w:pStyle w:val="ListParagraph"/>
        <w:numPr>
          <w:ilvl w:val="0"/>
          <w:numId w:val="16"/>
        </w:numPr>
        <w:ind w:left="1418" w:hanging="425"/>
        <w:rPr>
          <w:bCs/>
          <w:sz w:val="22"/>
        </w:rPr>
      </w:pPr>
      <w:r w:rsidRPr="00C75C1C">
        <w:rPr>
          <w:bCs/>
          <w:sz w:val="22"/>
          <w:lang w:val="fr-FR"/>
        </w:rPr>
        <w:t>Comité technique</w:t>
      </w:r>
    </w:p>
    <w:p w:rsidR="0068695D" w:rsidRPr="00326812" w:rsidRDefault="0068695D" w:rsidP="00326812">
      <w:pPr>
        <w:pStyle w:val="ListParagraph"/>
        <w:numPr>
          <w:ilvl w:val="0"/>
          <w:numId w:val="16"/>
        </w:numPr>
        <w:tabs>
          <w:tab w:val="left" w:pos="360"/>
        </w:tabs>
        <w:ind w:left="1418" w:hanging="425"/>
        <w:rPr>
          <w:bCs/>
          <w:sz w:val="22"/>
          <w:lang w:val="fr-FR"/>
        </w:rPr>
      </w:pPr>
      <w:r w:rsidRPr="00C75C1C">
        <w:rPr>
          <w:bCs/>
          <w:sz w:val="22"/>
          <w:lang w:val="fr-FR"/>
        </w:rPr>
        <w:t>Coopération avec d’autres organes et procédures</w:t>
      </w:r>
    </w:p>
    <w:p w:rsidR="0068695D" w:rsidRDefault="0068695D" w:rsidP="0068695D">
      <w:pPr>
        <w:tabs>
          <w:tab w:val="num" w:pos="540"/>
        </w:tabs>
        <w:ind w:left="357"/>
        <w:rPr>
          <w:bCs/>
          <w:sz w:val="22"/>
          <w:lang w:val="fr-FR"/>
        </w:rPr>
      </w:pPr>
    </w:p>
    <w:p w:rsidR="0068695D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 w:rsidRPr="00AA5509">
        <w:rPr>
          <w:bCs/>
          <w:sz w:val="22"/>
          <w:lang w:val="fr-FR"/>
        </w:rPr>
        <w:t xml:space="preserve">Rapports </w:t>
      </w:r>
      <w:r w:rsidR="00AA5509" w:rsidRPr="00AA5509">
        <w:rPr>
          <w:sz w:val="22"/>
          <w:szCs w:val="22"/>
          <w:lang w:val="fr-FR"/>
        </w:rPr>
        <w:t xml:space="preserve">du Comité chargé de la vérification des </w:t>
      </w:r>
      <w:r w:rsidR="00AA5509" w:rsidRPr="005B25D2">
        <w:rPr>
          <w:sz w:val="22"/>
          <w:szCs w:val="22"/>
          <w:lang w:val="fr-FR"/>
        </w:rPr>
        <w:t xml:space="preserve">pouvoirs </w:t>
      </w:r>
      <w:r w:rsidR="005B25D2" w:rsidRPr="005B25D2">
        <w:rPr>
          <w:sz w:val="22"/>
          <w:szCs w:val="22"/>
          <w:lang w:val="fr-FR"/>
        </w:rPr>
        <w:t xml:space="preserve">et </w:t>
      </w:r>
      <w:r w:rsidRPr="005B25D2">
        <w:rPr>
          <w:bCs/>
          <w:sz w:val="22"/>
          <w:lang w:val="fr-FR"/>
        </w:rPr>
        <w:t>des</w:t>
      </w:r>
      <w:r w:rsidRPr="00303FDD">
        <w:rPr>
          <w:bCs/>
          <w:sz w:val="22"/>
          <w:lang w:val="fr-FR"/>
        </w:rPr>
        <w:t xml:space="preserve"> Comités de session</w:t>
      </w:r>
    </w:p>
    <w:p w:rsidR="0068695D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Default="0068695D" w:rsidP="00C75C1C">
      <w:pPr>
        <w:numPr>
          <w:ilvl w:val="0"/>
          <w:numId w:val="6"/>
        </w:numPr>
        <w:tabs>
          <w:tab w:val="clear" w:pos="360"/>
          <w:tab w:val="num" w:pos="540"/>
        </w:tabs>
        <w:ind w:left="993" w:hanging="426"/>
        <w:rPr>
          <w:bCs/>
          <w:sz w:val="22"/>
          <w:lang w:val="fr-FR"/>
        </w:rPr>
      </w:pPr>
      <w:r w:rsidRPr="00303FDD">
        <w:rPr>
          <w:bCs/>
          <w:sz w:val="22"/>
          <w:lang w:val="fr-FR"/>
        </w:rPr>
        <w:t>Adoption des résolutions et des amendements aux Annexes de l’Accord</w:t>
      </w:r>
    </w:p>
    <w:p w:rsidR="0068695D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Default="000D7741" w:rsidP="00C75C1C">
      <w:pPr>
        <w:numPr>
          <w:ilvl w:val="0"/>
          <w:numId w:val="6"/>
        </w:numPr>
        <w:tabs>
          <w:tab w:val="clear" w:pos="360"/>
          <w:tab w:val="num" w:pos="540"/>
        </w:tabs>
        <w:ind w:left="993" w:hanging="426"/>
        <w:rPr>
          <w:bCs/>
          <w:sz w:val="22"/>
          <w:lang w:val="fr-FR"/>
        </w:rPr>
      </w:pPr>
      <w:r>
        <w:rPr>
          <w:bCs/>
          <w:sz w:val="22"/>
          <w:lang w:val="fr-FR"/>
        </w:rPr>
        <w:t>Date et lieu de la Sept</w:t>
      </w:r>
      <w:r w:rsidR="0068695D" w:rsidRPr="00303FDD">
        <w:rPr>
          <w:bCs/>
          <w:sz w:val="22"/>
          <w:lang w:val="fr-FR"/>
        </w:rPr>
        <w:t>ième Réunion des Parties</w:t>
      </w:r>
    </w:p>
    <w:p w:rsidR="0068695D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 w:rsidRPr="00303FDD">
        <w:rPr>
          <w:bCs/>
          <w:sz w:val="22"/>
          <w:lang w:val="fr-FR"/>
        </w:rPr>
        <w:t>Adoption du compte rendu de la Réunion</w:t>
      </w:r>
    </w:p>
    <w:p w:rsidR="0068695D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Default="0068695D" w:rsidP="00C75C1C">
      <w:pPr>
        <w:numPr>
          <w:ilvl w:val="0"/>
          <w:numId w:val="6"/>
        </w:numPr>
        <w:tabs>
          <w:tab w:val="clear" w:pos="360"/>
          <w:tab w:val="num" w:pos="540"/>
          <w:tab w:val="num" w:pos="993"/>
        </w:tabs>
        <w:ind w:left="357" w:firstLine="210"/>
        <w:rPr>
          <w:bCs/>
          <w:sz w:val="22"/>
          <w:lang w:val="fr-FR"/>
        </w:rPr>
      </w:pPr>
      <w:r w:rsidRPr="00303FDD">
        <w:rPr>
          <w:bCs/>
          <w:sz w:val="22"/>
          <w:lang w:val="fr-FR"/>
        </w:rPr>
        <w:t>Questions diverses</w:t>
      </w:r>
    </w:p>
    <w:p w:rsidR="0068695D" w:rsidRDefault="0068695D" w:rsidP="0068695D">
      <w:pPr>
        <w:pStyle w:val="ListParagraph"/>
        <w:rPr>
          <w:bCs/>
          <w:sz w:val="22"/>
          <w:lang w:val="fr-FR"/>
        </w:rPr>
      </w:pPr>
    </w:p>
    <w:p w:rsidR="0068695D" w:rsidRPr="00303FDD" w:rsidRDefault="0068695D" w:rsidP="00C75C1C">
      <w:pPr>
        <w:numPr>
          <w:ilvl w:val="0"/>
          <w:numId w:val="6"/>
        </w:numPr>
        <w:tabs>
          <w:tab w:val="clear" w:pos="360"/>
          <w:tab w:val="num" w:pos="993"/>
        </w:tabs>
        <w:ind w:left="357" w:firstLine="210"/>
        <w:rPr>
          <w:bCs/>
          <w:sz w:val="22"/>
          <w:lang w:val="fr-FR"/>
        </w:rPr>
      </w:pPr>
      <w:r w:rsidRPr="00303FDD">
        <w:rPr>
          <w:bCs/>
          <w:sz w:val="22"/>
          <w:lang w:val="fr-FR"/>
        </w:rPr>
        <w:t>Clôture de la réunion</w:t>
      </w:r>
    </w:p>
    <w:p w:rsidR="0068695D" w:rsidRDefault="0068695D" w:rsidP="0068695D">
      <w:pPr>
        <w:tabs>
          <w:tab w:val="left" w:pos="360"/>
        </w:tabs>
        <w:rPr>
          <w:bCs/>
          <w:sz w:val="22"/>
          <w:lang w:val="fr-FR"/>
        </w:rPr>
      </w:pPr>
    </w:p>
    <w:p w:rsidR="0068695D" w:rsidRDefault="0068695D" w:rsidP="0068695D">
      <w:pPr>
        <w:tabs>
          <w:tab w:val="left" w:pos="360"/>
        </w:tabs>
        <w:rPr>
          <w:bCs/>
          <w:sz w:val="22"/>
          <w:lang w:val="fr-FR"/>
        </w:rPr>
      </w:pPr>
    </w:p>
    <w:p w:rsidR="0068695D" w:rsidRPr="00FA0839" w:rsidRDefault="0068695D" w:rsidP="0068695D">
      <w:pPr>
        <w:tabs>
          <w:tab w:val="left" w:pos="360"/>
        </w:tabs>
        <w:jc w:val="center"/>
        <w:rPr>
          <w:bCs/>
          <w:sz w:val="22"/>
        </w:rPr>
      </w:pPr>
    </w:p>
    <w:p w:rsidR="0068695D" w:rsidRPr="00FA0839" w:rsidRDefault="0068695D" w:rsidP="0068695D">
      <w:pPr>
        <w:tabs>
          <w:tab w:val="left" w:pos="540"/>
        </w:tabs>
        <w:ind w:left="-240"/>
        <w:rPr>
          <w:bCs/>
          <w:sz w:val="22"/>
        </w:rPr>
      </w:pPr>
    </w:p>
    <w:p w:rsidR="0068695D" w:rsidRDefault="0068695D" w:rsidP="0068695D">
      <w:pPr>
        <w:tabs>
          <w:tab w:val="left" w:pos="360"/>
        </w:tabs>
        <w:ind w:left="-240"/>
        <w:rPr>
          <w:b/>
          <w:bCs/>
          <w:sz w:val="22"/>
        </w:rPr>
      </w:pPr>
    </w:p>
    <w:p w:rsidR="0068695D" w:rsidRDefault="0068695D" w:rsidP="0068695D">
      <w:pPr>
        <w:tabs>
          <w:tab w:val="left" w:pos="360"/>
        </w:tabs>
        <w:ind w:left="-240"/>
        <w:rPr>
          <w:b/>
          <w:bCs/>
          <w:sz w:val="22"/>
        </w:rPr>
      </w:pPr>
    </w:p>
    <w:p w:rsidR="00C72EF1" w:rsidRPr="007C04F6" w:rsidRDefault="00C72EF1" w:rsidP="007C04F6"/>
    <w:sectPr w:rsidR="00C72EF1" w:rsidRPr="007C04F6" w:rsidSect="00DF4DBD">
      <w:footerReference w:type="even" r:id="rId7"/>
      <w:footerReference w:type="default" r:id="rId8"/>
      <w:headerReference w:type="first" r:id="rId9"/>
      <w:pgSz w:w="11907" w:h="16840" w:code="9"/>
      <w:pgMar w:top="1021" w:right="1134" w:bottom="851" w:left="1134" w:header="851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32E" w:rsidRDefault="0013332E">
      <w:r>
        <w:separator/>
      </w:r>
    </w:p>
  </w:endnote>
  <w:endnote w:type="continuationSeparator" w:id="0">
    <w:p w:rsidR="0013332E" w:rsidRDefault="00133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1C" w:rsidRDefault="00C75C1C" w:rsidP="001D21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75C1C" w:rsidRDefault="00C75C1C" w:rsidP="00E0264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741" w:rsidRDefault="000D774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A28C5">
      <w:rPr>
        <w:noProof/>
      </w:rPr>
      <w:t>2</w:t>
    </w:r>
    <w:r>
      <w:rPr>
        <w:noProof/>
      </w:rPr>
      <w:fldChar w:fldCharType="end"/>
    </w:r>
  </w:p>
  <w:p w:rsidR="00C75C1C" w:rsidRDefault="00C75C1C" w:rsidP="00E0264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32E" w:rsidRDefault="0013332E">
      <w:r>
        <w:separator/>
      </w:r>
    </w:p>
  </w:footnote>
  <w:footnote w:type="continuationSeparator" w:id="0">
    <w:p w:rsidR="0013332E" w:rsidRDefault="00133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1" w:type="dxa"/>
      <w:tblInd w:w="-318" w:type="dxa"/>
      <w:tblBorders>
        <w:bottom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2406"/>
      <w:gridCol w:w="5580"/>
      <w:gridCol w:w="2505"/>
    </w:tblGrid>
    <w:tr w:rsidR="00C75C1C" w:rsidTr="0087707B">
      <w:trPr>
        <w:trHeight w:val="1256"/>
      </w:trPr>
      <w:tc>
        <w:tcPr>
          <w:tcW w:w="2406" w:type="dxa"/>
        </w:tcPr>
        <w:p w:rsidR="00C75C1C" w:rsidRDefault="001C4EFE" w:rsidP="004B57A6">
          <w:r w:rsidRPr="00E70482">
            <w:rPr>
              <w:noProof/>
            </w:rPr>
            <w:drawing>
              <wp:inline distT="0" distB="0" distL="0" distR="0">
                <wp:extent cx="853440" cy="711200"/>
                <wp:effectExtent l="0" t="0" r="3810" b="0"/>
                <wp:docPr id="1" name="Picture 1" descr="Description: AEWA_4Colou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cription: AEWA_4Colour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34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80" w:type="dxa"/>
        </w:tcPr>
        <w:p w:rsidR="00C75C1C" w:rsidRPr="00E3297F" w:rsidRDefault="00C75C1C" w:rsidP="005D54ED">
          <w:pPr>
            <w:jc w:val="center"/>
            <w:rPr>
              <w:sz w:val="22"/>
              <w:szCs w:val="22"/>
              <w:lang w:val="fr-FR"/>
            </w:rPr>
          </w:pPr>
          <w:r w:rsidRPr="000C0C02">
            <w:rPr>
              <w:i/>
              <w:caps/>
              <w:sz w:val="22"/>
              <w:szCs w:val="22"/>
              <w:lang w:val="fr-FR"/>
            </w:rPr>
            <w:t>ACCORD SUR LA CONSERVATION DES OISEAUX D’eau migrateurs D’afrique-eurasie</w:t>
          </w:r>
        </w:p>
      </w:tc>
      <w:tc>
        <w:tcPr>
          <w:tcW w:w="2505" w:type="dxa"/>
        </w:tcPr>
        <w:p w:rsidR="00C75C1C" w:rsidRPr="00E7468D" w:rsidRDefault="00C75C1C" w:rsidP="00367A59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7468D">
            <w:rPr>
              <w:i/>
              <w:iCs/>
              <w:sz w:val="20"/>
              <w:szCs w:val="20"/>
              <w:lang w:val="fr-FR"/>
            </w:rPr>
            <w:t xml:space="preserve">Doc: </w:t>
          </w:r>
          <w:r w:rsidRPr="00E7468D">
            <w:rPr>
              <w:bCs/>
              <w:i/>
              <w:iCs/>
              <w:sz w:val="20"/>
              <w:szCs w:val="20"/>
              <w:lang w:val="fr-FR"/>
            </w:rPr>
            <w:t xml:space="preserve">AEWA/MOP </w:t>
          </w:r>
          <w:r w:rsidR="00E2234F">
            <w:rPr>
              <w:bCs/>
              <w:i/>
              <w:iCs/>
              <w:sz w:val="20"/>
              <w:szCs w:val="20"/>
              <w:lang w:val="fr-FR"/>
            </w:rPr>
            <w:t>6</w:t>
          </w:r>
          <w:r>
            <w:rPr>
              <w:bCs/>
              <w:i/>
              <w:iCs/>
              <w:sz w:val="20"/>
              <w:szCs w:val="20"/>
              <w:lang w:val="fr-FR"/>
            </w:rPr>
            <w:t>.3</w:t>
          </w:r>
          <w:r w:rsidR="001C4EFE">
            <w:rPr>
              <w:bCs/>
              <w:i/>
              <w:iCs/>
              <w:sz w:val="20"/>
              <w:szCs w:val="20"/>
              <w:lang w:val="fr-FR"/>
            </w:rPr>
            <w:t xml:space="preserve"> Rév.</w:t>
          </w:r>
          <w:r w:rsidR="00A23E7E">
            <w:rPr>
              <w:bCs/>
              <w:i/>
              <w:iCs/>
              <w:sz w:val="20"/>
              <w:szCs w:val="20"/>
              <w:lang w:val="fr-FR"/>
            </w:rPr>
            <w:t>2</w:t>
          </w:r>
        </w:p>
        <w:p w:rsidR="00C75C1C" w:rsidRPr="00E7468D" w:rsidRDefault="00C75C1C" w:rsidP="00367A59">
          <w:pPr>
            <w:ind w:left="-108"/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7468D">
            <w:rPr>
              <w:i/>
              <w:iCs/>
              <w:sz w:val="20"/>
              <w:szCs w:val="20"/>
              <w:lang w:val="fr-FR"/>
            </w:rPr>
            <w:t xml:space="preserve">Point </w:t>
          </w:r>
          <w:r>
            <w:rPr>
              <w:i/>
              <w:iCs/>
              <w:sz w:val="20"/>
              <w:szCs w:val="20"/>
              <w:lang w:val="fr-FR"/>
            </w:rPr>
            <w:t>4</w:t>
          </w:r>
          <w:r w:rsidRPr="00E7468D">
            <w:rPr>
              <w:bCs/>
              <w:i/>
              <w:iCs/>
              <w:sz w:val="20"/>
              <w:szCs w:val="20"/>
              <w:lang w:val="fr-FR"/>
            </w:rPr>
            <w:t xml:space="preserve"> de l’ordre du jour</w:t>
          </w:r>
        </w:p>
        <w:p w:rsidR="00C75C1C" w:rsidRPr="00E7468D" w:rsidRDefault="00C75C1C" w:rsidP="00367A59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  <w:r w:rsidRPr="00E7468D">
            <w:rPr>
              <w:i/>
              <w:iCs/>
              <w:sz w:val="20"/>
              <w:szCs w:val="20"/>
              <w:lang w:val="fr-FR"/>
            </w:rPr>
            <w:t>Original: Anglais</w:t>
          </w:r>
        </w:p>
        <w:p w:rsidR="00C75C1C" w:rsidRPr="00E7468D" w:rsidRDefault="00C75C1C" w:rsidP="00367A59">
          <w:pPr>
            <w:jc w:val="right"/>
            <w:rPr>
              <w:bCs/>
              <w:i/>
              <w:iCs/>
              <w:sz w:val="20"/>
              <w:szCs w:val="20"/>
              <w:lang w:val="fr-FR"/>
            </w:rPr>
          </w:pPr>
        </w:p>
        <w:p w:rsidR="00C75C1C" w:rsidRDefault="00C75C1C" w:rsidP="00C54C75">
          <w:pPr>
            <w:jc w:val="right"/>
          </w:pPr>
          <w:r w:rsidRPr="00E7468D">
            <w:rPr>
              <w:i/>
              <w:iCs/>
              <w:sz w:val="20"/>
              <w:szCs w:val="20"/>
              <w:lang w:val="fr-FR"/>
            </w:rPr>
            <w:t xml:space="preserve">Date: </w:t>
          </w:r>
          <w:r w:rsidR="00A23E7E">
            <w:rPr>
              <w:i/>
              <w:iCs/>
              <w:sz w:val="20"/>
              <w:szCs w:val="20"/>
              <w:lang w:val="fr-FR"/>
            </w:rPr>
            <w:t>2</w:t>
          </w:r>
          <w:r w:rsidR="00C54C75">
            <w:rPr>
              <w:i/>
              <w:iCs/>
              <w:sz w:val="20"/>
              <w:szCs w:val="20"/>
              <w:lang w:val="fr-FR"/>
            </w:rPr>
            <w:t>2</w:t>
          </w:r>
          <w:r w:rsidR="00A23E7E">
            <w:rPr>
              <w:i/>
              <w:iCs/>
              <w:sz w:val="20"/>
              <w:szCs w:val="20"/>
              <w:lang w:val="fr-FR"/>
            </w:rPr>
            <w:t xml:space="preserve"> octobre</w:t>
          </w:r>
          <w:r w:rsidRPr="00E7468D">
            <w:rPr>
              <w:i/>
              <w:iCs/>
              <w:sz w:val="20"/>
              <w:szCs w:val="20"/>
              <w:lang w:val="fr-FR"/>
            </w:rPr>
            <w:t xml:space="preserve"> 20</w:t>
          </w:r>
          <w:r>
            <w:rPr>
              <w:i/>
              <w:iCs/>
              <w:sz w:val="20"/>
              <w:szCs w:val="20"/>
              <w:lang w:val="fr-FR"/>
            </w:rPr>
            <w:t>1</w:t>
          </w:r>
          <w:r w:rsidR="00E2234F">
            <w:rPr>
              <w:i/>
              <w:iCs/>
              <w:sz w:val="20"/>
              <w:szCs w:val="20"/>
              <w:lang w:val="fr-FR"/>
            </w:rPr>
            <w:t>5</w:t>
          </w:r>
        </w:p>
      </w:tc>
    </w:tr>
    <w:tr w:rsidR="00C75C1C" w:rsidRPr="000D7741" w:rsidTr="0087707B">
      <w:tc>
        <w:tcPr>
          <w:tcW w:w="10491" w:type="dxa"/>
          <w:gridSpan w:val="3"/>
        </w:tcPr>
        <w:p w:rsidR="00060535" w:rsidRPr="00060535" w:rsidRDefault="00060535" w:rsidP="00367A59">
          <w:pPr>
            <w:pStyle w:val="BodyText2"/>
            <w:jc w:val="center"/>
            <w:rPr>
              <w:bCs/>
              <w:szCs w:val="26"/>
              <w:lang w:val="fr-FR"/>
            </w:rPr>
          </w:pPr>
        </w:p>
        <w:p w:rsidR="00C75C1C" w:rsidRPr="00E2234F" w:rsidRDefault="000D7741" w:rsidP="00367A59">
          <w:pPr>
            <w:pStyle w:val="BodyText2"/>
            <w:jc w:val="center"/>
            <w:rPr>
              <w:b/>
              <w:bCs/>
              <w:caps/>
              <w:lang w:val="fr-FR"/>
            </w:rPr>
          </w:pPr>
          <w:r>
            <w:rPr>
              <w:b/>
              <w:bCs/>
              <w:lang w:val="fr-FR"/>
            </w:rPr>
            <w:t>6</w:t>
          </w:r>
          <w:r w:rsidR="00C75C1C" w:rsidRPr="00E2234F">
            <w:rPr>
              <w:b/>
              <w:bCs/>
              <w:vertAlign w:val="superscript"/>
              <w:lang w:val="fr-FR"/>
            </w:rPr>
            <w:t>ème</w:t>
          </w:r>
          <w:r w:rsidR="00C75C1C" w:rsidRPr="00E2234F">
            <w:rPr>
              <w:b/>
              <w:bCs/>
              <w:lang w:val="fr-FR"/>
            </w:rPr>
            <w:t xml:space="preserve"> </w:t>
          </w:r>
          <w:r w:rsidR="00C75C1C" w:rsidRPr="00E2234F">
            <w:rPr>
              <w:b/>
              <w:bCs/>
              <w:caps/>
              <w:lang w:val="fr-FR"/>
            </w:rPr>
            <w:t>Session de la rÉunion des parties contractantes</w:t>
          </w:r>
        </w:p>
        <w:p w:rsidR="00C75C1C" w:rsidRPr="000D7741" w:rsidRDefault="000D7741" w:rsidP="000D7741">
          <w:pPr>
            <w:jc w:val="center"/>
            <w:rPr>
              <w:sz w:val="22"/>
              <w:szCs w:val="22"/>
              <w:lang w:val="fr-FR"/>
            </w:rPr>
          </w:pPr>
          <w:r>
            <w:rPr>
              <w:iCs/>
              <w:lang w:val="fr-FR"/>
            </w:rPr>
            <w:t>9</w:t>
          </w:r>
          <w:r w:rsidR="00C75C1C" w:rsidRPr="00060535">
            <w:rPr>
              <w:iCs/>
              <w:lang w:val="fr-FR"/>
            </w:rPr>
            <w:t xml:space="preserve"> – 1</w:t>
          </w:r>
          <w:r>
            <w:rPr>
              <w:iCs/>
              <w:lang w:val="fr-FR"/>
            </w:rPr>
            <w:t>4</w:t>
          </w:r>
          <w:r w:rsidR="00C75C1C" w:rsidRPr="00060535">
            <w:rPr>
              <w:iCs/>
              <w:lang w:val="fr-FR"/>
            </w:rPr>
            <w:t xml:space="preserve"> </w:t>
          </w:r>
          <w:r>
            <w:rPr>
              <w:iCs/>
              <w:lang w:val="fr-FR"/>
            </w:rPr>
            <w:t>novembre</w:t>
          </w:r>
          <w:r w:rsidR="00C75C1C" w:rsidRPr="00060535">
            <w:rPr>
              <w:iCs/>
              <w:lang w:val="fr-FR"/>
            </w:rPr>
            <w:t xml:space="preserve"> 201</w:t>
          </w:r>
          <w:r>
            <w:rPr>
              <w:iCs/>
              <w:lang w:val="fr-FR"/>
            </w:rPr>
            <w:t>5</w:t>
          </w:r>
          <w:r w:rsidR="00C75C1C" w:rsidRPr="00060535">
            <w:rPr>
              <w:iCs/>
              <w:lang w:val="fr-FR"/>
            </w:rPr>
            <w:t xml:space="preserve">, </w:t>
          </w:r>
          <w:r>
            <w:rPr>
              <w:iCs/>
              <w:lang w:val="fr-FR"/>
            </w:rPr>
            <w:t>Bonn</w:t>
          </w:r>
          <w:r w:rsidR="00C75C1C" w:rsidRPr="00060535">
            <w:rPr>
              <w:iCs/>
              <w:lang w:val="fr-FR"/>
            </w:rPr>
            <w:t xml:space="preserve">, </w:t>
          </w:r>
          <w:r>
            <w:rPr>
              <w:iCs/>
              <w:lang w:val="fr-FR"/>
            </w:rPr>
            <w:t>Allemagne</w:t>
          </w:r>
        </w:p>
      </w:tc>
    </w:tr>
    <w:tr w:rsidR="00C75C1C" w:rsidRPr="00CF7F8B" w:rsidTr="0087707B">
      <w:trPr>
        <w:trHeight w:val="702"/>
      </w:trPr>
      <w:tc>
        <w:tcPr>
          <w:tcW w:w="10491" w:type="dxa"/>
          <w:gridSpan w:val="3"/>
          <w:vAlign w:val="center"/>
        </w:tcPr>
        <w:p w:rsidR="00C75C1C" w:rsidRPr="00E2234F" w:rsidRDefault="007977F3" w:rsidP="009F6DE5">
          <w:pPr>
            <w:pStyle w:val="BodyText2"/>
            <w:jc w:val="center"/>
            <w:rPr>
              <w:bCs/>
              <w:i/>
              <w:sz w:val="22"/>
              <w:szCs w:val="22"/>
              <w:lang w:val="fr-FR"/>
            </w:rPr>
          </w:pPr>
          <w:r>
            <w:rPr>
              <w:b/>
              <w:sz w:val="28"/>
              <w:lang w:val="fr-FR"/>
            </w:rPr>
            <w:t>«</w:t>
          </w:r>
          <w:r>
            <w:rPr>
              <w:bCs/>
              <w:i/>
              <w:sz w:val="22"/>
              <w:szCs w:val="22"/>
              <w:lang w:val="fr-FR"/>
            </w:rPr>
            <w:t xml:space="preserve"> </w:t>
          </w:r>
          <w:r w:rsidR="00E2234F" w:rsidRPr="00E2234F">
            <w:rPr>
              <w:bCs/>
              <w:i/>
              <w:sz w:val="22"/>
              <w:szCs w:val="22"/>
              <w:lang w:val="fr-FR"/>
            </w:rPr>
            <w:t>Concrétiser</w:t>
          </w:r>
          <w:r w:rsidR="00E2234F">
            <w:rPr>
              <w:bCs/>
              <w:i/>
              <w:sz w:val="22"/>
              <w:szCs w:val="22"/>
              <w:lang w:val="fr-FR"/>
            </w:rPr>
            <w:t xml:space="preserve"> la conservation au niveau de la voie de migration</w:t>
          </w:r>
          <w:r>
            <w:rPr>
              <w:bCs/>
              <w:i/>
              <w:sz w:val="22"/>
              <w:szCs w:val="22"/>
              <w:lang w:val="fr-FR"/>
            </w:rPr>
            <w:t xml:space="preserve"> </w:t>
          </w:r>
          <w:r>
            <w:rPr>
              <w:b/>
              <w:sz w:val="28"/>
              <w:lang w:val="fr-FR"/>
            </w:rPr>
            <w:t>»</w:t>
          </w:r>
        </w:p>
      </w:tc>
    </w:tr>
  </w:tbl>
  <w:p w:rsidR="00C75C1C" w:rsidRPr="00E2234F" w:rsidRDefault="00C75C1C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82CEE"/>
    <w:multiLevelType w:val="hybridMultilevel"/>
    <w:tmpl w:val="DB4EF184"/>
    <w:lvl w:ilvl="0" w:tplc="D66809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1F75EB5"/>
    <w:multiLevelType w:val="hybridMultilevel"/>
    <w:tmpl w:val="0492BDB4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7DD3609"/>
    <w:multiLevelType w:val="hybridMultilevel"/>
    <w:tmpl w:val="41D27626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223515BE"/>
    <w:multiLevelType w:val="hybridMultilevel"/>
    <w:tmpl w:val="038456C6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4F2516"/>
    <w:multiLevelType w:val="hybridMultilevel"/>
    <w:tmpl w:val="9CC6E06A"/>
    <w:lvl w:ilvl="0" w:tplc="04090017">
      <w:start w:val="1"/>
      <w:numFmt w:val="lowerLetter"/>
      <w:lvlText w:val="%1)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433913B8"/>
    <w:multiLevelType w:val="hybridMultilevel"/>
    <w:tmpl w:val="6DB076C2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D4E76FF"/>
    <w:multiLevelType w:val="hybridMultilevel"/>
    <w:tmpl w:val="2A56A77A"/>
    <w:lvl w:ilvl="0" w:tplc="04090019">
      <w:start w:val="1"/>
      <w:numFmt w:val="lowerLetter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316D0E"/>
    <w:multiLevelType w:val="multilevel"/>
    <w:tmpl w:val="32566F1E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Garamond" w:hAnsi="Garamond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0" w15:restartNumberingAfterBreak="0">
    <w:nsid w:val="5CBB3AAE"/>
    <w:multiLevelType w:val="hybridMultilevel"/>
    <w:tmpl w:val="DD1E8AE6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1" w15:restartNumberingAfterBreak="0">
    <w:nsid w:val="5D0B3D3B"/>
    <w:multiLevelType w:val="hybridMultilevel"/>
    <w:tmpl w:val="10445DFA"/>
    <w:lvl w:ilvl="0" w:tplc="04090019">
      <w:start w:val="1"/>
      <w:numFmt w:val="lowerLetter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640A1B5A"/>
    <w:multiLevelType w:val="hybridMultilevel"/>
    <w:tmpl w:val="0BA2B424"/>
    <w:lvl w:ilvl="0" w:tplc="04090019">
      <w:start w:val="1"/>
      <w:numFmt w:val="lowerLetter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C6E5258"/>
    <w:multiLevelType w:val="hybridMultilevel"/>
    <w:tmpl w:val="7DD287FE"/>
    <w:lvl w:ilvl="0" w:tplc="15B2C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7162453E">
      <w:start w:val="3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15"/>
  </w:num>
  <w:num w:numId="8">
    <w:abstractNumId w:val="6"/>
  </w:num>
  <w:num w:numId="9">
    <w:abstractNumId w:val="3"/>
  </w:num>
  <w:num w:numId="10">
    <w:abstractNumId w:val="2"/>
  </w:num>
  <w:num w:numId="11">
    <w:abstractNumId w:val="1"/>
  </w:num>
  <w:num w:numId="12">
    <w:abstractNumId w:val="11"/>
  </w:num>
  <w:num w:numId="13">
    <w:abstractNumId w:val="5"/>
  </w:num>
  <w:num w:numId="14">
    <w:abstractNumId w:val="10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FA1"/>
    <w:rsid w:val="00013BE4"/>
    <w:rsid w:val="00016E7B"/>
    <w:rsid w:val="00034B67"/>
    <w:rsid w:val="00060494"/>
    <w:rsid w:val="00060535"/>
    <w:rsid w:val="0006129C"/>
    <w:rsid w:val="000977BB"/>
    <w:rsid w:val="000A5A47"/>
    <w:rsid w:val="000C0C02"/>
    <w:rsid w:val="000D7741"/>
    <w:rsid w:val="000E153E"/>
    <w:rsid w:val="00104C13"/>
    <w:rsid w:val="001107A1"/>
    <w:rsid w:val="0013332E"/>
    <w:rsid w:val="00167D59"/>
    <w:rsid w:val="00182DCC"/>
    <w:rsid w:val="00186687"/>
    <w:rsid w:val="00196E67"/>
    <w:rsid w:val="001A00B6"/>
    <w:rsid w:val="001B186D"/>
    <w:rsid w:val="001C4EFE"/>
    <w:rsid w:val="001D21F7"/>
    <w:rsid w:val="001F1D9A"/>
    <w:rsid w:val="00207325"/>
    <w:rsid w:val="00244E6F"/>
    <w:rsid w:val="00286103"/>
    <w:rsid w:val="002A3D00"/>
    <w:rsid w:val="002C10D9"/>
    <w:rsid w:val="002E4C1F"/>
    <w:rsid w:val="002E6092"/>
    <w:rsid w:val="002F0141"/>
    <w:rsid w:val="002F7147"/>
    <w:rsid w:val="00303606"/>
    <w:rsid w:val="003072A9"/>
    <w:rsid w:val="00312BA0"/>
    <w:rsid w:val="003209C2"/>
    <w:rsid w:val="00326812"/>
    <w:rsid w:val="003412DF"/>
    <w:rsid w:val="00353767"/>
    <w:rsid w:val="00365117"/>
    <w:rsid w:val="00367A59"/>
    <w:rsid w:val="00383FCF"/>
    <w:rsid w:val="003A596F"/>
    <w:rsid w:val="003B2918"/>
    <w:rsid w:val="003B4398"/>
    <w:rsid w:val="003C320A"/>
    <w:rsid w:val="003E0DB9"/>
    <w:rsid w:val="00407D1C"/>
    <w:rsid w:val="004313BF"/>
    <w:rsid w:val="004370A6"/>
    <w:rsid w:val="004623B2"/>
    <w:rsid w:val="00497689"/>
    <w:rsid w:val="004B57A6"/>
    <w:rsid w:val="004B75C0"/>
    <w:rsid w:val="004F4E6A"/>
    <w:rsid w:val="004F71B1"/>
    <w:rsid w:val="00517C62"/>
    <w:rsid w:val="005426DD"/>
    <w:rsid w:val="00567628"/>
    <w:rsid w:val="00575367"/>
    <w:rsid w:val="005970C7"/>
    <w:rsid w:val="005B25D2"/>
    <w:rsid w:val="005D54ED"/>
    <w:rsid w:val="006075EE"/>
    <w:rsid w:val="006122CD"/>
    <w:rsid w:val="00657A1D"/>
    <w:rsid w:val="0068695D"/>
    <w:rsid w:val="0069010A"/>
    <w:rsid w:val="006A4A6F"/>
    <w:rsid w:val="006B6B98"/>
    <w:rsid w:val="0070257F"/>
    <w:rsid w:val="00703647"/>
    <w:rsid w:val="00786AF1"/>
    <w:rsid w:val="0079698D"/>
    <w:rsid w:val="007977F3"/>
    <w:rsid w:val="007C04F6"/>
    <w:rsid w:val="007E054A"/>
    <w:rsid w:val="007E1121"/>
    <w:rsid w:val="008115B4"/>
    <w:rsid w:val="0082215E"/>
    <w:rsid w:val="008235E1"/>
    <w:rsid w:val="008650A4"/>
    <w:rsid w:val="0087707B"/>
    <w:rsid w:val="008B3285"/>
    <w:rsid w:val="008D305B"/>
    <w:rsid w:val="008F0DEA"/>
    <w:rsid w:val="008F4E75"/>
    <w:rsid w:val="00903E6E"/>
    <w:rsid w:val="009164F2"/>
    <w:rsid w:val="00932849"/>
    <w:rsid w:val="00960705"/>
    <w:rsid w:val="0096757D"/>
    <w:rsid w:val="0096780E"/>
    <w:rsid w:val="00990AB9"/>
    <w:rsid w:val="009C3F5E"/>
    <w:rsid w:val="009E3956"/>
    <w:rsid w:val="009F6DE5"/>
    <w:rsid w:val="00A13B54"/>
    <w:rsid w:val="00A23E7E"/>
    <w:rsid w:val="00A36A12"/>
    <w:rsid w:val="00A74431"/>
    <w:rsid w:val="00A84DF2"/>
    <w:rsid w:val="00A86EF9"/>
    <w:rsid w:val="00A93F33"/>
    <w:rsid w:val="00A95EDF"/>
    <w:rsid w:val="00AA5509"/>
    <w:rsid w:val="00AC55DC"/>
    <w:rsid w:val="00B04408"/>
    <w:rsid w:val="00B30BE0"/>
    <w:rsid w:val="00B37E95"/>
    <w:rsid w:val="00B4412F"/>
    <w:rsid w:val="00B56DEB"/>
    <w:rsid w:val="00B61FA1"/>
    <w:rsid w:val="00B72B5C"/>
    <w:rsid w:val="00BA790F"/>
    <w:rsid w:val="00BB60C5"/>
    <w:rsid w:val="00BD17AE"/>
    <w:rsid w:val="00BD3748"/>
    <w:rsid w:val="00C10107"/>
    <w:rsid w:val="00C31A30"/>
    <w:rsid w:val="00C37179"/>
    <w:rsid w:val="00C54C75"/>
    <w:rsid w:val="00C645F5"/>
    <w:rsid w:val="00C72EF1"/>
    <w:rsid w:val="00C75C1C"/>
    <w:rsid w:val="00C83EC9"/>
    <w:rsid w:val="00CB1CAA"/>
    <w:rsid w:val="00CC3F9D"/>
    <w:rsid w:val="00CC509F"/>
    <w:rsid w:val="00CF5F07"/>
    <w:rsid w:val="00CF7F8B"/>
    <w:rsid w:val="00D41221"/>
    <w:rsid w:val="00D65B40"/>
    <w:rsid w:val="00D801A7"/>
    <w:rsid w:val="00DA28C5"/>
    <w:rsid w:val="00DA2E04"/>
    <w:rsid w:val="00DB6FF8"/>
    <w:rsid w:val="00DE6C76"/>
    <w:rsid w:val="00DF26A5"/>
    <w:rsid w:val="00DF4DBD"/>
    <w:rsid w:val="00E02643"/>
    <w:rsid w:val="00E043A4"/>
    <w:rsid w:val="00E2234F"/>
    <w:rsid w:val="00E3297F"/>
    <w:rsid w:val="00E55F1B"/>
    <w:rsid w:val="00E719DA"/>
    <w:rsid w:val="00E965A8"/>
    <w:rsid w:val="00EA1BA4"/>
    <w:rsid w:val="00F043C2"/>
    <w:rsid w:val="00F627E9"/>
    <w:rsid w:val="00F81B26"/>
    <w:rsid w:val="00F85886"/>
    <w:rsid w:val="00FE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chartTrackingRefBased/>
  <w15:docId w15:val="{562CC4B6-B6DB-422F-9DCE-87C127778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57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F627E9"/>
    <w:rPr>
      <w:lang w:val="en-GB"/>
    </w:rPr>
  </w:style>
  <w:style w:type="table" w:styleId="TableGrid">
    <w:name w:val="Table Grid"/>
    <w:basedOn w:val="TableNormal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BalloonText">
    <w:name w:val="Balloon Text"/>
    <w:basedOn w:val="Normal"/>
    <w:link w:val="BalloonTextChar"/>
    <w:rsid w:val="00B61F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61F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0257F"/>
    <w:pPr>
      <w:ind w:left="720"/>
    </w:pPr>
  </w:style>
  <w:style w:type="character" w:customStyle="1" w:styleId="FooterChar">
    <w:name w:val="Footer Char"/>
    <w:link w:val="Footer"/>
    <w:uiPriority w:val="99"/>
    <w:rsid w:val="000D7741"/>
    <w:rPr>
      <w:sz w:val="24"/>
      <w:szCs w:val="24"/>
    </w:rPr>
  </w:style>
  <w:style w:type="paragraph" w:customStyle="1" w:styleId="ListParagraph1">
    <w:name w:val="List Paragraph1"/>
    <w:basedOn w:val="Normal"/>
    <w:qFormat/>
    <w:rsid w:val="00AA550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356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quick brown fox jumps over the lazy dog</vt:lpstr>
    </vt:vector>
  </TitlesOfParts>
  <Company>aewa</Company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subject/>
  <dc:creator>Dunia Sforzin (UNEP/AEWA Secretariat)</dc:creator>
  <cp:keywords/>
  <cp:lastModifiedBy>Jolanta Kremer</cp:lastModifiedBy>
  <cp:revision>3</cp:revision>
  <cp:lastPrinted>2015-10-23T13:25:00Z</cp:lastPrinted>
  <dcterms:created xsi:type="dcterms:W3CDTF">2015-10-23T13:25:00Z</dcterms:created>
  <dcterms:modified xsi:type="dcterms:W3CDTF">2015-10-23T13:25:00Z</dcterms:modified>
</cp:coreProperties>
</file>