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1A" w:rsidRPr="00A674BE" w:rsidRDefault="0070601A" w:rsidP="00EA4F53">
      <w:pPr>
        <w:jc w:val="center"/>
        <w:rPr>
          <w:b/>
          <w:lang w:val="fr-FR"/>
        </w:rPr>
      </w:pPr>
      <w:r w:rsidRPr="00A674BE">
        <w:rPr>
          <w:b/>
          <w:lang w:val="fr-FR"/>
        </w:rPr>
        <w:t xml:space="preserve">PROCÉDURE D’ÉVALUATION DE LA MISE EN ŒUVRE – </w:t>
      </w:r>
    </w:p>
    <w:p w:rsidR="003A7BC0" w:rsidRPr="00A674BE" w:rsidRDefault="0070601A" w:rsidP="00EA4F53">
      <w:pPr>
        <w:jc w:val="center"/>
        <w:rPr>
          <w:b/>
          <w:lang w:val="fr-FR"/>
        </w:rPr>
      </w:pPr>
      <w:r w:rsidRPr="00A674BE">
        <w:rPr>
          <w:b/>
          <w:lang w:val="fr-FR"/>
        </w:rPr>
        <w:t>RAPPORT DESTINÉ À LA MOP6</w:t>
      </w:r>
    </w:p>
    <w:p w:rsidR="003A7BC0" w:rsidRPr="00A674BE" w:rsidRDefault="003A7BC0">
      <w:pPr>
        <w:rPr>
          <w:lang w:val="fr-FR"/>
        </w:rPr>
      </w:pPr>
    </w:p>
    <w:p w:rsidR="003A7BC0" w:rsidRPr="00A674BE" w:rsidRDefault="007511BA" w:rsidP="00EA4F53">
      <w:pPr>
        <w:jc w:val="center"/>
        <w:rPr>
          <w:i/>
          <w:lang w:val="fr-FR"/>
        </w:rPr>
      </w:pPr>
      <w:r w:rsidRPr="007511BA">
        <w:rPr>
          <w:i/>
          <w:lang w:val="fr-FR"/>
        </w:rPr>
        <w:t>Compilé par le Secrétariat PNUE/AEWA pour le Comité permanent de l</w:t>
      </w:r>
      <w:r w:rsidR="00851849">
        <w:rPr>
          <w:i/>
          <w:lang w:val="fr-FR"/>
        </w:rPr>
        <w:t>’</w:t>
      </w:r>
      <w:r w:rsidRPr="007511BA">
        <w:rPr>
          <w:i/>
          <w:lang w:val="fr-FR"/>
        </w:rPr>
        <w:t>AEWA</w:t>
      </w:r>
    </w:p>
    <w:p w:rsidR="003A7BC0" w:rsidRPr="00A674BE" w:rsidRDefault="003A7BC0">
      <w:pPr>
        <w:rPr>
          <w:lang w:val="fr-FR"/>
        </w:rPr>
      </w:pPr>
    </w:p>
    <w:p w:rsidR="003A7BC0" w:rsidRPr="00A674BE" w:rsidRDefault="003A7BC0">
      <w:pPr>
        <w:rPr>
          <w:lang w:val="fr-FR"/>
        </w:rPr>
      </w:pPr>
    </w:p>
    <w:p w:rsidR="003A7BC0" w:rsidRPr="00A674BE" w:rsidRDefault="007511BA">
      <w:pPr>
        <w:rPr>
          <w:b/>
          <w:lang w:val="fr-FR"/>
        </w:rPr>
      </w:pPr>
      <w:r w:rsidRPr="007511BA">
        <w:rPr>
          <w:b/>
          <w:lang w:val="fr-FR"/>
        </w:rPr>
        <w:t>Introduction</w:t>
      </w:r>
      <w:r w:rsidR="002B2B8E">
        <w:rPr>
          <w:b/>
          <w:lang w:val="fr-FR"/>
        </w:rPr>
        <w:t xml:space="preserve"> </w:t>
      </w:r>
    </w:p>
    <w:p w:rsidR="003A7BC0" w:rsidRPr="00A674BE" w:rsidRDefault="003A7BC0">
      <w:pPr>
        <w:rPr>
          <w:lang w:val="fr-FR"/>
        </w:rPr>
      </w:pPr>
    </w:p>
    <w:p w:rsidR="003A7BC0" w:rsidRPr="00A674BE" w:rsidRDefault="007511BA" w:rsidP="00173E2B">
      <w:pPr>
        <w:jc w:val="both"/>
        <w:rPr>
          <w:sz w:val="22"/>
          <w:szCs w:val="22"/>
          <w:lang w:val="fr-FR"/>
        </w:rPr>
      </w:pPr>
      <w:r w:rsidRPr="007511BA">
        <w:rPr>
          <w:sz w:val="22"/>
          <w:szCs w:val="22"/>
          <w:lang w:val="fr-FR"/>
        </w:rPr>
        <w:t xml:space="preserve">Aux termes de la Résolution 4.6, la Réunion des Parties a établi une procédure spécifique, la </w:t>
      </w:r>
      <w:r w:rsidRPr="007511BA">
        <w:rPr>
          <w:i/>
          <w:sz w:val="22"/>
          <w:szCs w:val="22"/>
          <w:lang w:val="fr-FR"/>
        </w:rPr>
        <w:t>Procédure d</w:t>
      </w:r>
      <w:r w:rsidR="00851849">
        <w:rPr>
          <w:i/>
          <w:sz w:val="22"/>
          <w:szCs w:val="22"/>
          <w:lang w:val="fr-FR"/>
        </w:rPr>
        <w:t>’</w:t>
      </w:r>
      <w:r w:rsidRPr="007511BA">
        <w:rPr>
          <w:i/>
          <w:sz w:val="22"/>
          <w:szCs w:val="22"/>
          <w:lang w:val="fr-FR"/>
        </w:rPr>
        <w:t>évaluation de</w:t>
      </w:r>
      <w:r w:rsidR="002B2B8E">
        <w:rPr>
          <w:i/>
          <w:sz w:val="22"/>
          <w:szCs w:val="22"/>
          <w:lang w:val="fr-FR"/>
        </w:rPr>
        <w:t xml:space="preserve"> </w:t>
      </w:r>
      <w:r w:rsidR="00424FB6">
        <w:rPr>
          <w:i/>
          <w:sz w:val="22"/>
          <w:szCs w:val="22"/>
          <w:lang w:val="fr-FR"/>
        </w:rPr>
        <w:t xml:space="preserve">la </w:t>
      </w:r>
      <w:r w:rsidRPr="007511BA">
        <w:rPr>
          <w:i/>
          <w:sz w:val="22"/>
          <w:szCs w:val="22"/>
          <w:lang w:val="fr-FR"/>
        </w:rPr>
        <w:t>mise en œuvre (IRP)</w:t>
      </w:r>
      <w:r w:rsidRPr="007511BA">
        <w:rPr>
          <w:sz w:val="22"/>
          <w:szCs w:val="22"/>
          <w:lang w:val="fr-FR"/>
        </w:rPr>
        <w:t>, afin d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>aider les Parties contractantes à mettre en œuvre l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>Accord,</w:t>
      </w:r>
      <w:r w:rsidR="00A6067A">
        <w:rPr>
          <w:sz w:val="22"/>
          <w:szCs w:val="22"/>
          <w:lang w:val="fr-FR"/>
        </w:rPr>
        <w:t xml:space="preserve"> </w:t>
      </w:r>
      <w:r w:rsidR="00416EE0">
        <w:rPr>
          <w:sz w:val="22"/>
          <w:szCs w:val="22"/>
          <w:lang w:val="fr-FR"/>
        </w:rPr>
        <w:t>indiqu</w:t>
      </w:r>
      <w:r w:rsidR="004931E5">
        <w:rPr>
          <w:sz w:val="22"/>
          <w:szCs w:val="22"/>
          <w:lang w:val="fr-FR"/>
        </w:rPr>
        <w:t>ant</w:t>
      </w:r>
      <w:r w:rsidR="00416EE0">
        <w:rPr>
          <w:sz w:val="22"/>
          <w:szCs w:val="22"/>
          <w:lang w:val="fr-FR"/>
        </w:rPr>
        <w:t xml:space="preserve"> que</w:t>
      </w:r>
      <w:r w:rsidRPr="007511BA">
        <w:rPr>
          <w:sz w:val="22"/>
          <w:szCs w:val="22"/>
          <w:lang w:val="fr-FR"/>
        </w:rPr>
        <w:t xml:space="preserve"> cette procédure sera effectuée par le Comité permanent.</w:t>
      </w:r>
      <w:r w:rsidR="003A7BC0" w:rsidRPr="00A674BE">
        <w:rPr>
          <w:sz w:val="22"/>
          <w:szCs w:val="22"/>
          <w:lang w:val="fr-FR"/>
        </w:rPr>
        <w:t xml:space="preserve"> </w:t>
      </w:r>
    </w:p>
    <w:p w:rsidR="003A7BC0" w:rsidRPr="00A674BE" w:rsidRDefault="003A7BC0" w:rsidP="00173E2B">
      <w:pPr>
        <w:jc w:val="both"/>
        <w:rPr>
          <w:sz w:val="22"/>
          <w:szCs w:val="22"/>
          <w:lang w:val="fr-FR"/>
        </w:rPr>
      </w:pPr>
    </w:p>
    <w:p w:rsidR="003A7BC0" w:rsidRPr="00A674BE" w:rsidRDefault="007511BA" w:rsidP="00173E2B">
      <w:pPr>
        <w:jc w:val="both"/>
        <w:rPr>
          <w:sz w:val="22"/>
          <w:szCs w:val="22"/>
          <w:lang w:val="fr-FR"/>
        </w:rPr>
      </w:pPr>
      <w:r w:rsidRPr="007511BA">
        <w:rPr>
          <w:sz w:val="22"/>
          <w:szCs w:val="22"/>
          <w:lang w:val="fr-FR"/>
        </w:rPr>
        <w:t>L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>IRP habilite le Comité permanent de l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>AEWA (StC) à prendre en main des cas d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 xml:space="preserve">impacts défavorables </w:t>
      </w:r>
      <w:r w:rsidR="00416EE0">
        <w:rPr>
          <w:sz w:val="22"/>
          <w:szCs w:val="22"/>
          <w:lang w:val="fr-FR"/>
        </w:rPr>
        <w:t>actuels ou potentiels</w:t>
      </w:r>
      <w:r w:rsidR="00A6067A">
        <w:rPr>
          <w:sz w:val="22"/>
          <w:szCs w:val="22"/>
          <w:lang w:val="fr-FR"/>
        </w:rPr>
        <w:t xml:space="preserve">, </w:t>
      </w:r>
      <w:r w:rsidR="00A6067A" w:rsidRPr="007511BA">
        <w:rPr>
          <w:sz w:val="22"/>
          <w:szCs w:val="22"/>
          <w:lang w:val="fr-FR"/>
        </w:rPr>
        <w:t>résultant d</w:t>
      </w:r>
      <w:r w:rsidR="00A6067A">
        <w:rPr>
          <w:sz w:val="22"/>
          <w:szCs w:val="22"/>
          <w:lang w:val="fr-FR"/>
        </w:rPr>
        <w:t>’</w:t>
      </w:r>
      <w:r w:rsidR="00A6067A" w:rsidRPr="007511BA">
        <w:rPr>
          <w:sz w:val="22"/>
          <w:szCs w:val="22"/>
          <w:lang w:val="fr-FR"/>
        </w:rPr>
        <w:t>activités humaines</w:t>
      </w:r>
      <w:r w:rsidR="00A6067A">
        <w:rPr>
          <w:sz w:val="22"/>
          <w:szCs w:val="22"/>
          <w:lang w:val="fr-FR"/>
        </w:rPr>
        <w:t>,</w:t>
      </w:r>
      <w:r w:rsidRPr="007511BA">
        <w:rPr>
          <w:sz w:val="22"/>
          <w:szCs w:val="22"/>
          <w:lang w:val="fr-FR"/>
        </w:rPr>
        <w:t xml:space="preserve"> sur les oiseaux d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>eau migrateurs ou sur leurs sites et habitats.</w:t>
      </w:r>
      <w:r w:rsidR="003A7BC0" w:rsidRPr="00A674BE">
        <w:rPr>
          <w:sz w:val="22"/>
          <w:szCs w:val="22"/>
          <w:lang w:val="fr-FR"/>
        </w:rPr>
        <w:t xml:space="preserve"> </w:t>
      </w:r>
      <w:r w:rsidRPr="007511BA">
        <w:rPr>
          <w:sz w:val="22"/>
          <w:szCs w:val="22"/>
          <w:lang w:val="fr-FR"/>
        </w:rPr>
        <w:t>Sur la base des informations reçues relatives à de tels cas, le Comité permanent contactera la Partie contractante concernée et évaluera l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>impact en question sur les oiseaux d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 xml:space="preserve">eau migrateurs, </w:t>
      </w:r>
      <w:r w:rsidR="00A6067A">
        <w:rPr>
          <w:sz w:val="22"/>
          <w:szCs w:val="22"/>
          <w:lang w:val="fr-FR"/>
        </w:rPr>
        <w:t>également par le biais de</w:t>
      </w:r>
      <w:r w:rsidRPr="007511BA">
        <w:rPr>
          <w:sz w:val="22"/>
          <w:szCs w:val="22"/>
          <w:lang w:val="fr-FR"/>
        </w:rPr>
        <w:t xml:space="preserve"> missions sur place, et recommand</w:t>
      </w:r>
      <w:r w:rsidR="00416EE0">
        <w:rPr>
          <w:sz w:val="22"/>
          <w:szCs w:val="22"/>
          <w:lang w:val="fr-FR"/>
        </w:rPr>
        <w:t>era des mesures destinées à</w:t>
      </w:r>
      <w:r w:rsidR="002B2B8E">
        <w:rPr>
          <w:sz w:val="22"/>
          <w:szCs w:val="22"/>
          <w:lang w:val="fr-FR"/>
        </w:rPr>
        <w:t xml:space="preserve"> </w:t>
      </w:r>
      <w:r w:rsidRPr="007511BA">
        <w:rPr>
          <w:sz w:val="22"/>
          <w:szCs w:val="22"/>
          <w:lang w:val="fr-FR"/>
        </w:rPr>
        <w:t>prévenir ou réduire l</w:t>
      </w:r>
      <w:r w:rsidR="00851849">
        <w:rPr>
          <w:sz w:val="22"/>
          <w:szCs w:val="22"/>
          <w:lang w:val="fr-FR"/>
        </w:rPr>
        <w:t>’</w:t>
      </w:r>
      <w:r w:rsidRPr="007511BA">
        <w:rPr>
          <w:sz w:val="22"/>
          <w:szCs w:val="22"/>
          <w:lang w:val="fr-FR"/>
        </w:rPr>
        <w:t>impact.</w:t>
      </w:r>
      <w:r w:rsidR="003A7BC0" w:rsidRPr="00A674BE">
        <w:rPr>
          <w:sz w:val="22"/>
          <w:szCs w:val="22"/>
          <w:lang w:val="fr-FR"/>
        </w:rPr>
        <w:t xml:space="preserve"> </w:t>
      </w:r>
    </w:p>
    <w:p w:rsidR="003A7BC0" w:rsidRPr="00A674BE" w:rsidRDefault="003A7BC0" w:rsidP="00173E2B">
      <w:pPr>
        <w:jc w:val="both"/>
        <w:rPr>
          <w:sz w:val="22"/>
          <w:szCs w:val="22"/>
          <w:lang w:val="fr-FR"/>
        </w:rPr>
      </w:pPr>
    </w:p>
    <w:p w:rsidR="003A7BC0" w:rsidRPr="00A674BE" w:rsidRDefault="00067445" w:rsidP="00173E2B">
      <w:pPr>
        <w:jc w:val="both"/>
        <w:rPr>
          <w:sz w:val="22"/>
          <w:szCs w:val="22"/>
          <w:lang w:val="fr-FR"/>
        </w:rPr>
      </w:pPr>
      <w:r w:rsidRPr="00067445">
        <w:rPr>
          <w:sz w:val="22"/>
          <w:szCs w:val="22"/>
          <w:lang w:val="fr-FR"/>
        </w:rPr>
        <w:t>Après avoir reçu des recommandations du Comité permanent en vue de prévenir ou réduire l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>impact en question sur les oiseaux d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 xml:space="preserve">eau ou sur leurs sites et habitats, la Partie concernée </w:t>
      </w:r>
      <w:r w:rsidR="00A6067A">
        <w:rPr>
          <w:sz w:val="22"/>
          <w:szCs w:val="22"/>
          <w:lang w:val="fr-FR"/>
        </w:rPr>
        <w:t>s’</w:t>
      </w:r>
      <w:r w:rsidRPr="00067445">
        <w:rPr>
          <w:sz w:val="22"/>
          <w:szCs w:val="22"/>
          <w:lang w:val="fr-FR"/>
        </w:rPr>
        <w:t>assurera que toute mesure prise en relation avec l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>activité, le site ou l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 xml:space="preserve">habitat concernés sera conforme à ses obligations </w:t>
      </w:r>
      <w:r w:rsidR="00424FB6">
        <w:rPr>
          <w:sz w:val="22"/>
          <w:szCs w:val="22"/>
          <w:lang w:val="fr-FR"/>
        </w:rPr>
        <w:t xml:space="preserve">en </w:t>
      </w:r>
      <w:r w:rsidRPr="00067445">
        <w:rPr>
          <w:sz w:val="22"/>
          <w:szCs w:val="22"/>
          <w:lang w:val="fr-FR"/>
        </w:rPr>
        <w:t>vertu de l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>Accord et basée sur le principe de précaution</w:t>
      </w:r>
      <w:r w:rsidR="007511BA" w:rsidRPr="00067445">
        <w:rPr>
          <w:sz w:val="22"/>
          <w:szCs w:val="22"/>
          <w:lang w:val="fr-FR"/>
        </w:rPr>
        <w:t>.</w:t>
      </w:r>
      <w:r w:rsidR="003A7BC0" w:rsidRPr="00A674BE">
        <w:rPr>
          <w:sz w:val="22"/>
          <w:szCs w:val="22"/>
          <w:lang w:val="fr-FR"/>
        </w:rPr>
        <w:t xml:space="preserve"> </w:t>
      </w:r>
      <w:r w:rsidRPr="00067445">
        <w:rPr>
          <w:sz w:val="22"/>
          <w:szCs w:val="22"/>
          <w:lang w:val="fr-FR"/>
        </w:rPr>
        <w:t>La Partie concernée informera le Comité permanent sur les mesures susmentionnées dès que possible.</w:t>
      </w:r>
    </w:p>
    <w:p w:rsidR="003A7BC0" w:rsidRPr="00A674BE" w:rsidRDefault="003A7BC0" w:rsidP="00173E2B">
      <w:pPr>
        <w:jc w:val="both"/>
        <w:rPr>
          <w:sz w:val="22"/>
          <w:szCs w:val="22"/>
          <w:lang w:val="fr-FR"/>
        </w:rPr>
      </w:pPr>
    </w:p>
    <w:p w:rsidR="003A7BC0" w:rsidRPr="00A674BE" w:rsidRDefault="00067445" w:rsidP="00173E2B">
      <w:pPr>
        <w:jc w:val="both"/>
        <w:rPr>
          <w:sz w:val="22"/>
          <w:szCs w:val="22"/>
          <w:lang w:val="fr-FR"/>
        </w:rPr>
      </w:pPr>
      <w:r w:rsidRPr="00067445">
        <w:rPr>
          <w:sz w:val="22"/>
          <w:szCs w:val="22"/>
          <w:lang w:val="fr-FR"/>
        </w:rPr>
        <w:t>La MOP4 a aussi chargé le Comité permanent de préparer et de soumettre à chaque session ordinaire de la Réunion des Parties un rapport sur ses activités réalisées dans le cadre de l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>IRP.</w:t>
      </w:r>
      <w:r w:rsidR="003A7BC0" w:rsidRPr="00A674BE">
        <w:rPr>
          <w:sz w:val="22"/>
          <w:szCs w:val="22"/>
          <w:lang w:val="fr-FR"/>
        </w:rPr>
        <w:t xml:space="preserve"> </w:t>
      </w:r>
      <w:r w:rsidRPr="00067445">
        <w:rPr>
          <w:sz w:val="22"/>
          <w:szCs w:val="22"/>
          <w:lang w:val="fr-FR"/>
        </w:rPr>
        <w:t>Le Secrétariat a été chargé d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>assister le Comité permanent, dans la mesure des ressources disponibles, à réaliser des activités relevant de l</w:t>
      </w:r>
      <w:r w:rsidR="00851849">
        <w:rPr>
          <w:sz w:val="22"/>
          <w:szCs w:val="22"/>
          <w:lang w:val="fr-FR"/>
        </w:rPr>
        <w:t>’</w:t>
      </w:r>
      <w:r w:rsidRPr="00067445">
        <w:rPr>
          <w:sz w:val="22"/>
          <w:szCs w:val="22"/>
          <w:lang w:val="fr-FR"/>
        </w:rPr>
        <w:t>IRP.</w:t>
      </w:r>
    </w:p>
    <w:p w:rsidR="003A7BC0" w:rsidRPr="00A674BE" w:rsidRDefault="003A7BC0" w:rsidP="00173E2B">
      <w:pPr>
        <w:jc w:val="both"/>
        <w:rPr>
          <w:sz w:val="22"/>
          <w:szCs w:val="22"/>
          <w:lang w:val="fr-FR"/>
        </w:rPr>
      </w:pPr>
    </w:p>
    <w:p w:rsidR="00A81E87" w:rsidRPr="00A674BE" w:rsidRDefault="00783972" w:rsidP="00173E2B">
      <w:pPr>
        <w:jc w:val="both"/>
        <w:rPr>
          <w:lang w:val="fr-FR"/>
        </w:rPr>
        <w:sectPr w:rsidR="00A81E87" w:rsidRPr="00A674BE" w:rsidSect="00251ED6">
          <w:headerReference w:type="default" r:id="rId7"/>
          <w:footerReference w:type="default" r:id="rId8"/>
          <w:pgSz w:w="11907" w:h="16840" w:code="9"/>
          <w:pgMar w:top="1021" w:right="1134" w:bottom="851" w:left="1134" w:header="709" w:footer="709" w:gutter="0"/>
          <w:cols w:space="708"/>
          <w:docGrid w:linePitch="360"/>
        </w:sectPr>
      </w:pPr>
      <w:r w:rsidRPr="00783972">
        <w:rPr>
          <w:sz w:val="22"/>
          <w:szCs w:val="22"/>
          <w:lang w:val="fr-FR"/>
        </w:rPr>
        <w:t>À sa 9</w:t>
      </w:r>
      <w:r w:rsidRPr="00783972">
        <w:rPr>
          <w:sz w:val="22"/>
          <w:szCs w:val="22"/>
          <w:vertAlign w:val="superscript"/>
          <w:lang w:val="fr-FR"/>
        </w:rPr>
        <w:t>ème</w:t>
      </w:r>
      <w:r w:rsidR="002B2B8E">
        <w:rPr>
          <w:sz w:val="22"/>
          <w:szCs w:val="22"/>
          <w:lang w:val="fr-FR"/>
        </w:rPr>
        <w:t xml:space="preserve"> </w:t>
      </w:r>
      <w:r w:rsidRPr="00783972">
        <w:rPr>
          <w:sz w:val="22"/>
          <w:szCs w:val="22"/>
          <w:lang w:val="fr-FR"/>
        </w:rPr>
        <w:t>réunion (20-23 avril 2009), le Comité technique de l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>AEWA a discuté et convenu de son rôle de soutien du Comité permanent dans l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>acquittement de</w:t>
      </w:r>
      <w:r w:rsidR="00424FB6">
        <w:rPr>
          <w:sz w:val="22"/>
          <w:szCs w:val="22"/>
          <w:lang w:val="fr-FR"/>
        </w:rPr>
        <w:t xml:space="preserve"> se</w:t>
      </w:r>
      <w:r w:rsidRPr="00783972">
        <w:rPr>
          <w:sz w:val="22"/>
          <w:szCs w:val="22"/>
          <w:lang w:val="fr-FR"/>
        </w:rPr>
        <w:t xml:space="preserve">s </w:t>
      </w:r>
      <w:r w:rsidR="00424FB6">
        <w:rPr>
          <w:sz w:val="22"/>
          <w:szCs w:val="22"/>
          <w:lang w:val="fr-FR"/>
        </w:rPr>
        <w:t>tâches</w:t>
      </w:r>
      <w:r w:rsidRPr="00783972">
        <w:rPr>
          <w:sz w:val="22"/>
          <w:szCs w:val="22"/>
          <w:lang w:val="fr-FR"/>
        </w:rPr>
        <w:t xml:space="preserve"> dans le cadre de l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>IRP</w:t>
      </w:r>
      <w:r w:rsidR="00067445" w:rsidRPr="00783972">
        <w:rPr>
          <w:sz w:val="22"/>
          <w:szCs w:val="22"/>
          <w:lang w:val="fr-FR"/>
        </w:rPr>
        <w:t>.</w:t>
      </w:r>
      <w:r w:rsidR="003A7BC0" w:rsidRPr="00A964AE">
        <w:rPr>
          <w:sz w:val="22"/>
          <w:szCs w:val="22"/>
          <w:lang w:val="fr-FR"/>
        </w:rPr>
        <w:t xml:space="preserve"> </w:t>
      </w:r>
      <w:r w:rsidRPr="00783972">
        <w:rPr>
          <w:sz w:val="22"/>
          <w:szCs w:val="22"/>
          <w:lang w:val="fr-FR"/>
        </w:rPr>
        <w:t>Après la réunion, le Comité technique a préparé et approuvé par correspondance une fiche d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 xml:space="preserve">information relative à des cas possibles </w:t>
      </w:r>
      <w:r w:rsidR="00814136">
        <w:rPr>
          <w:sz w:val="22"/>
          <w:szCs w:val="22"/>
          <w:lang w:val="fr-FR"/>
        </w:rPr>
        <w:t>d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>IRP</w:t>
      </w:r>
      <w:r w:rsidR="00A6067A">
        <w:rPr>
          <w:sz w:val="22"/>
          <w:szCs w:val="22"/>
          <w:lang w:val="fr-FR"/>
        </w:rPr>
        <w:t>,</w:t>
      </w:r>
      <w:r w:rsidRPr="00783972">
        <w:rPr>
          <w:sz w:val="22"/>
          <w:szCs w:val="22"/>
          <w:lang w:val="fr-FR"/>
        </w:rPr>
        <w:t xml:space="preserve"> afin de permettre aux diverses parties prenantes de soumettre des informations au Comité permanent sur des cas qui constituent à leur avis des menaces pour les oiseaux d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>eau et nécessitent une procédure d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>IRP.</w:t>
      </w:r>
      <w:r w:rsidR="003A7BC0" w:rsidRPr="00A674BE">
        <w:rPr>
          <w:sz w:val="22"/>
          <w:szCs w:val="22"/>
          <w:lang w:val="fr-FR"/>
        </w:rPr>
        <w:t xml:space="preserve"> </w:t>
      </w:r>
      <w:r w:rsidRPr="00783972">
        <w:rPr>
          <w:sz w:val="22"/>
          <w:szCs w:val="22"/>
          <w:lang w:val="fr-FR"/>
        </w:rPr>
        <w:t>Cette fiche d</w:t>
      </w:r>
      <w:r w:rsidR="00851849">
        <w:rPr>
          <w:sz w:val="22"/>
          <w:szCs w:val="22"/>
          <w:lang w:val="fr-FR"/>
        </w:rPr>
        <w:t>’</w:t>
      </w:r>
      <w:r w:rsidRPr="00783972">
        <w:rPr>
          <w:sz w:val="22"/>
          <w:szCs w:val="22"/>
          <w:lang w:val="fr-FR"/>
        </w:rPr>
        <w:t xml:space="preserve">information est disponible sur le </w:t>
      </w:r>
      <w:hyperlink r:id="rId9" w:history="1">
        <w:r w:rsidRPr="00783972">
          <w:rPr>
            <w:rStyle w:val="Hyperlink"/>
            <w:sz w:val="22"/>
            <w:szCs w:val="22"/>
            <w:lang w:val="fr-FR"/>
          </w:rPr>
          <w:t>site Web de l</w:t>
        </w:r>
        <w:r w:rsidR="00851849">
          <w:rPr>
            <w:rStyle w:val="Hyperlink"/>
            <w:sz w:val="22"/>
            <w:szCs w:val="22"/>
            <w:lang w:val="fr-FR"/>
          </w:rPr>
          <w:t>’</w:t>
        </w:r>
        <w:r w:rsidRPr="00783972">
          <w:rPr>
            <w:rStyle w:val="Hyperlink"/>
            <w:sz w:val="22"/>
            <w:szCs w:val="22"/>
            <w:lang w:val="fr-FR"/>
          </w:rPr>
          <w:t>AEWA</w:t>
        </w:r>
      </w:hyperlink>
      <w:r w:rsidRPr="00783972">
        <w:rPr>
          <w:sz w:val="22"/>
          <w:szCs w:val="22"/>
          <w:lang w:val="fr-FR"/>
        </w:rPr>
        <w:t>.</w:t>
      </w:r>
      <w:r w:rsidR="00A81E87" w:rsidRPr="00A674BE">
        <w:rPr>
          <w:lang w:val="fr-FR"/>
        </w:rPr>
        <w:t xml:space="preserve"> </w:t>
      </w:r>
    </w:p>
    <w:p w:rsidR="003A7BC0" w:rsidRPr="00A674BE" w:rsidRDefault="00783972" w:rsidP="00A420F4">
      <w:pPr>
        <w:jc w:val="both"/>
        <w:rPr>
          <w:b/>
          <w:lang w:val="fr-FR"/>
        </w:rPr>
      </w:pPr>
      <w:r w:rsidRPr="001F0659">
        <w:rPr>
          <w:b/>
          <w:lang w:val="fr-FR"/>
        </w:rPr>
        <w:lastRenderedPageBreak/>
        <w:t>Rapport du Comité permanent à la MOP6 sur la Procédure d</w:t>
      </w:r>
      <w:r w:rsidR="00851849">
        <w:rPr>
          <w:b/>
          <w:lang w:val="fr-FR"/>
        </w:rPr>
        <w:t>’</w:t>
      </w:r>
      <w:r w:rsidRPr="001F0659">
        <w:rPr>
          <w:b/>
          <w:lang w:val="fr-FR"/>
        </w:rPr>
        <w:t>évaluation de la mise en œuvre</w:t>
      </w:r>
    </w:p>
    <w:p w:rsidR="003A7BC0" w:rsidRPr="00A674BE" w:rsidRDefault="003A7BC0" w:rsidP="00A420F4">
      <w:pPr>
        <w:jc w:val="both"/>
        <w:rPr>
          <w:lang w:val="fr-FR"/>
        </w:rPr>
      </w:pPr>
    </w:p>
    <w:p w:rsidR="003A7BC0" w:rsidRPr="00A420F4" w:rsidRDefault="001F0659" w:rsidP="00A420F4">
      <w:pPr>
        <w:jc w:val="both"/>
        <w:rPr>
          <w:sz w:val="22"/>
          <w:szCs w:val="22"/>
          <w:lang w:val="en-GB"/>
        </w:rPr>
      </w:pPr>
      <w:r w:rsidRPr="001F0659">
        <w:rPr>
          <w:sz w:val="22"/>
          <w:szCs w:val="22"/>
          <w:lang w:val="fr-FR"/>
        </w:rPr>
        <w:t xml:space="preserve">Le présent rapport résume les </w:t>
      </w:r>
      <w:r w:rsidR="00424FB6">
        <w:rPr>
          <w:sz w:val="22"/>
          <w:szCs w:val="22"/>
          <w:lang w:val="fr-FR"/>
        </w:rPr>
        <w:t>quatre</w:t>
      </w:r>
      <w:r w:rsidRPr="001F0659">
        <w:rPr>
          <w:sz w:val="22"/>
          <w:szCs w:val="22"/>
          <w:lang w:val="fr-FR"/>
        </w:rPr>
        <w:t xml:space="preserve"> cas pris en considération pendant la période 2009-2012 ainsi que les activités entreprises par le Comité permanent </w:t>
      </w:r>
      <w:r w:rsidR="00424FB6">
        <w:rPr>
          <w:sz w:val="22"/>
          <w:szCs w:val="22"/>
          <w:lang w:val="fr-FR"/>
        </w:rPr>
        <w:t>et</w:t>
      </w:r>
      <w:r w:rsidRPr="001F0659">
        <w:rPr>
          <w:sz w:val="22"/>
          <w:szCs w:val="22"/>
          <w:lang w:val="fr-FR"/>
        </w:rPr>
        <w:t xml:space="preserve"> d</w:t>
      </w:r>
      <w:r w:rsidR="00851849">
        <w:rPr>
          <w:sz w:val="22"/>
          <w:szCs w:val="22"/>
          <w:lang w:val="fr-FR"/>
        </w:rPr>
        <w:t>’</w:t>
      </w:r>
      <w:r w:rsidRPr="001F0659">
        <w:rPr>
          <w:sz w:val="22"/>
          <w:szCs w:val="22"/>
          <w:lang w:val="fr-FR"/>
        </w:rPr>
        <w:t>autres parties prenantes concernées.</w:t>
      </w:r>
      <w:r w:rsidR="003A7BC0" w:rsidRPr="00A674BE">
        <w:rPr>
          <w:sz w:val="22"/>
          <w:szCs w:val="22"/>
          <w:lang w:val="fr-FR"/>
        </w:rPr>
        <w:t xml:space="preserve"> </w:t>
      </w:r>
      <w:r w:rsidRPr="001F0659">
        <w:rPr>
          <w:sz w:val="22"/>
          <w:szCs w:val="22"/>
          <w:lang w:val="fr-FR"/>
        </w:rPr>
        <w:t>Les cas suivants font l</w:t>
      </w:r>
      <w:r w:rsidR="00851849">
        <w:rPr>
          <w:sz w:val="22"/>
          <w:szCs w:val="22"/>
          <w:lang w:val="fr-FR"/>
        </w:rPr>
        <w:t>’</w:t>
      </w:r>
      <w:r w:rsidRPr="001F0659">
        <w:rPr>
          <w:sz w:val="22"/>
          <w:szCs w:val="22"/>
          <w:lang w:val="fr-FR"/>
        </w:rPr>
        <w:t>objet du rapport :</w:t>
      </w:r>
    </w:p>
    <w:p w:rsidR="003A7BC0" w:rsidRPr="00A420F4" w:rsidRDefault="003A7BC0" w:rsidP="00A420F4">
      <w:pPr>
        <w:jc w:val="both"/>
        <w:rPr>
          <w:sz w:val="22"/>
          <w:szCs w:val="22"/>
          <w:lang w:val="en-GB"/>
        </w:rPr>
      </w:pPr>
    </w:p>
    <w:p w:rsidR="00DA6C08" w:rsidRPr="00A674BE" w:rsidRDefault="001F0659" w:rsidP="00A420F4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1F0659">
        <w:rPr>
          <w:sz w:val="22"/>
          <w:szCs w:val="22"/>
          <w:lang w:val="fr-FR"/>
        </w:rPr>
        <w:t>République arabe syrienne :</w:t>
      </w:r>
      <w:r w:rsidR="003A7BC0" w:rsidRPr="00A674BE">
        <w:rPr>
          <w:sz w:val="22"/>
          <w:szCs w:val="22"/>
          <w:lang w:val="fr-FR"/>
        </w:rPr>
        <w:t xml:space="preserve"> </w:t>
      </w:r>
      <w:r w:rsidRPr="001F0659">
        <w:rPr>
          <w:sz w:val="22"/>
          <w:szCs w:val="22"/>
          <w:lang w:val="fr-FR"/>
        </w:rPr>
        <w:t>Chasse illégale du Vanneau sociable (</w:t>
      </w:r>
      <w:r w:rsidRPr="001F0659">
        <w:rPr>
          <w:i/>
          <w:iCs/>
          <w:sz w:val="22"/>
          <w:szCs w:val="22"/>
          <w:lang w:val="fr-FR"/>
        </w:rPr>
        <w:t>Vanellus gregarius</w:t>
      </w:r>
      <w:r w:rsidRPr="001F0659">
        <w:rPr>
          <w:sz w:val="22"/>
          <w:szCs w:val="22"/>
          <w:lang w:val="fr-FR"/>
        </w:rPr>
        <w:t xml:space="preserve">), espèce </w:t>
      </w:r>
      <w:r w:rsidR="00A6067A">
        <w:rPr>
          <w:sz w:val="22"/>
          <w:szCs w:val="22"/>
          <w:lang w:val="fr-FR"/>
        </w:rPr>
        <w:t>en danger critique d’extinction</w:t>
      </w:r>
      <w:r w:rsidR="003A7BC0" w:rsidRPr="00A674BE">
        <w:rPr>
          <w:sz w:val="22"/>
          <w:szCs w:val="22"/>
          <w:lang w:val="fr-FR"/>
        </w:rPr>
        <w:t xml:space="preserve"> </w:t>
      </w:r>
    </w:p>
    <w:p w:rsidR="003A7BC0" w:rsidRPr="00A674BE" w:rsidRDefault="001F0659" w:rsidP="00A420F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r w:rsidRPr="001F0659">
        <w:rPr>
          <w:sz w:val="22"/>
          <w:szCs w:val="22"/>
          <w:lang w:val="fr-FR"/>
        </w:rPr>
        <w:t>Monténégro :</w:t>
      </w:r>
      <w:r w:rsidR="003A7BC0" w:rsidRPr="00A674BE">
        <w:rPr>
          <w:sz w:val="22"/>
          <w:szCs w:val="22"/>
          <w:lang w:val="fr-FR"/>
        </w:rPr>
        <w:t xml:space="preserve"> </w:t>
      </w:r>
      <w:r w:rsidRPr="001F0659">
        <w:rPr>
          <w:sz w:val="22"/>
          <w:szCs w:val="22"/>
          <w:lang w:val="fr-FR"/>
        </w:rPr>
        <w:t>Drainage des salines d</w:t>
      </w:r>
      <w:r w:rsidR="00851849">
        <w:rPr>
          <w:sz w:val="22"/>
          <w:szCs w:val="22"/>
          <w:lang w:val="fr-FR"/>
        </w:rPr>
        <w:t>’</w:t>
      </w:r>
      <w:r w:rsidRPr="001F0659">
        <w:rPr>
          <w:sz w:val="22"/>
          <w:szCs w:val="22"/>
          <w:lang w:val="fr-FR"/>
        </w:rPr>
        <w:t>Ulcinj à des fins de développement touristique</w:t>
      </w:r>
    </w:p>
    <w:p w:rsidR="003A7BC0" w:rsidRPr="00A674BE" w:rsidRDefault="001F0659" w:rsidP="00A420F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r w:rsidRPr="001F0659">
        <w:rPr>
          <w:sz w:val="22"/>
          <w:szCs w:val="22"/>
          <w:lang w:val="fr-FR"/>
        </w:rPr>
        <w:t>Bulgarie :</w:t>
      </w:r>
      <w:r w:rsidR="003A7BC0" w:rsidRPr="00A674BE">
        <w:rPr>
          <w:sz w:val="22"/>
          <w:szCs w:val="22"/>
          <w:lang w:val="fr-FR"/>
        </w:rPr>
        <w:t xml:space="preserve"> </w:t>
      </w:r>
      <w:r w:rsidRPr="001F0659">
        <w:rPr>
          <w:sz w:val="22"/>
          <w:szCs w:val="22"/>
          <w:lang w:val="fr-FR"/>
        </w:rPr>
        <w:t xml:space="preserve">Projet de ferme éolienne </w:t>
      </w:r>
      <w:r w:rsidR="00851849">
        <w:rPr>
          <w:sz w:val="22"/>
          <w:szCs w:val="22"/>
          <w:lang w:val="fr-FR"/>
        </w:rPr>
        <w:t>proche du</w:t>
      </w:r>
      <w:r w:rsidRPr="001F0659">
        <w:rPr>
          <w:sz w:val="22"/>
          <w:szCs w:val="22"/>
          <w:lang w:val="fr-FR"/>
        </w:rPr>
        <w:t xml:space="preserve"> lac Durankulak, qui menace la Bernache à cou roux (</w:t>
      </w:r>
      <w:r w:rsidRPr="001F0659">
        <w:rPr>
          <w:i/>
          <w:sz w:val="22"/>
          <w:szCs w:val="22"/>
          <w:lang w:val="fr-FR"/>
        </w:rPr>
        <w:t>Branta ruficollis</w:t>
      </w:r>
      <w:r w:rsidRPr="001F0659">
        <w:rPr>
          <w:sz w:val="22"/>
          <w:szCs w:val="22"/>
          <w:lang w:val="fr-FR"/>
        </w:rPr>
        <w:t>), espèce globalement menacée</w:t>
      </w:r>
    </w:p>
    <w:p w:rsidR="001177B9" w:rsidRPr="00A674BE" w:rsidRDefault="001F0659" w:rsidP="00A420F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r w:rsidRPr="001F0659">
        <w:rPr>
          <w:sz w:val="22"/>
          <w:szCs w:val="22"/>
          <w:lang w:val="fr-FR"/>
        </w:rPr>
        <w:t>Islande :</w:t>
      </w:r>
      <w:r w:rsidR="001177B9" w:rsidRPr="00A674BE">
        <w:rPr>
          <w:sz w:val="22"/>
          <w:szCs w:val="22"/>
          <w:lang w:val="fr-FR"/>
        </w:rPr>
        <w:t xml:space="preserve"> </w:t>
      </w:r>
      <w:r w:rsidRPr="001F0659">
        <w:rPr>
          <w:sz w:val="22"/>
          <w:szCs w:val="22"/>
          <w:lang w:val="fr-FR"/>
        </w:rPr>
        <w:t>Plans de reboisement des basses terres menaçant les habitats de reproduction d</w:t>
      </w:r>
      <w:r w:rsidR="00851849">
        <w:rPr>
          <w:sz w:val="22"/>
          <w:szCs w:val="22"/>
          <w:lang w:val="fr-FR"/>
        </w:rPr>
        <w:t>’</w:t>
      </w:r>
      <w:r w:rsidRPr="001F0659">
        <w:rPr>
          <w:sz w:val="22"/>
          <w:szCs w:val="22"/>
          <w:lang w:val="fr-FR"/>
        </w:rPr>
        <w:t>espèces d</w:t>
      </w:r>
      <w:r w:rsidR="00851849">
        <w:rPr>
          <w:sz w:val="22"/>
          <w:szCs w:val="22"/>
          <w:lang w:val="fr-FR"/>
        </w:rPr>
        <w:t>’</w:t>
      </w:r>
      <w:r w:rsidRPr="001F0659">
        <w:rPr>
          <w:sz w:val="22"/>
          <w:szCs w:val="22"/>
          <w:lang w:val="fr-FR"/>
        </w:rPr>
        <w:t>oiseaux d</w:t>
      </w:r>
      <w:r w:rsidR="00851849">
        <w:rPr>
          <w:sz w:val="22"/>
          <w:szCs w:val="22"/>
          <w:lang w:val="fr-FR"/>
        </w:rPr>
        <w:t>’</w:t>
      </w:r>
      <w:r w:rsidRPr="001F0659">
        <w:rPr>
          <w:sz w:val="22"/>
          <w:szCs w:val="22"/>
          <w:lang w:val="fr-FR"/>
        </w:rPr>
        <w:t>eau couvertes par l</w:t>
      </w:r>
      <w:r w:rsidR="00851849">
        <w:rPr>
          <w:sz w:val="22"/>
          <w:szCs w:val="22"/>
          <w:lang w:val="fr-FR"/>
        </w:rPr>
        <w:t>’</w:t>
      </w:r>
      <w:r w:rsidRPr="001F0659">
        <w:rPr>
          <w:sz w:val="22"/>
          <w:szCs w:val="22"/>
          <w:lang w:val="fr-FR"/>
        </w:rPr>
        <w:t>AEWA</w:t>
      </w:r>
    </w:p>
    <w:p w:rsidR="003A7BC0" w:rsidRPr="00A674BE" w:rsidRDefault="003A7BC0" w:rsidP="00A420F4">
      <w:pPr>
        <w:jc w:val="both"/>
        <w:rPr>
          <w:lang w:val="fr-FR"/>
        </w:rPr>
      </w:pPr>
    </w:p>
    <w:p w:rsidR="001707B6" w:rsidRPr="00A674BE" w:rsidRDefault="001F0659" w:rsidP="00A420F4">
      <w:pPr>
        <w:jc w:val="both"/>
        <w:rPr>
          <w:sz w:val="22"/>
          <w:szCs w:val="22"/>
          <w:lang w:val="fr-FR"/>
        </w:rPr>
      </w:pPr>
      <w:r w:rsidRPr="00851849">
        <w:rPr>
          <w:sz w:val="22"/>
          <w:szCs w:val="22"/>
          <w:lang w:val="fr-FR"/>
        </w:rPr>
        <w:t>En outre, le Comité permanent continue à surveiller le cas de la construction d</w:t>
      </w:r>
      <w:r w:rsidR="00851849" w:rsidRPr="00851849">
        <w:rPr>
          <w:sz w:val="22"/>
          <w:szCs w:val="22"/>
          <w:lang w:val="fr-FR"/>
        </w:rPr>
        <w:t>’</w:t>
      </w:r>
      <w:r w:rsidRPr="00851849">
        <w:rPr>
          <w:sz w:val="22"/>
          <w:szCs w:val="22"/>
          <w:lang w:val="fr-FR"/>
        </w:rPr>
        <w:t>une ferme éolienne prévue sur le site d</w:t>
      </w:r>
      <w:r w:rsidR="00851849" w:rsidRPr="00851849">
        <w:rPr>
          <w:sz w:val="22"/>
          <w:szCs w:val="22"/>
          <w:lang w:val="fr-FR"/>
        </w:rPr>
        <w:t>’</w:t>
      </w:r>
      <w:r w:rsidRPr="00851849">
        <w:rPr>
          <w:sz w:val="22"/>
          <w:szCs w:val="22"/>
          <w:lang w:val="fr-FR"/>
        </w:rPr>
        <w:t xml:space="preserve">Arjuzanx, dans la région aquitaine, </w:t>
      </w:r>
      <w:r w:rsidR="00851849" w:rsidRPr="00851849">
        <w:rPr>
          <w:sz w:val="22"/>
          <w:szCs w:val="22"/>
          <w:lang w:val="fr-FR"/>
        </w:rPr>
        <w:t>dans le</w:t>
      </w:r>
      <w:r w:rsidRPr="00851849">
        <w:rPr>
          <w:sz w:val="22"/>
          <w:szCs w:val="22"/>
          <w:lang w:val="fr-FR"/>
        </w:rPr>
        <w:t xml:space="preserve"> sud-ouest de la France.</w:t>
      </w:r>
      <w:r w:rsidR="001E2215" w:rsidRPr="00A674BE">
        <w:rPr>
          <w:sz w:val="22"/>
          <w:szCs w:val="22"/>
          <w:lang w:val="fr-FR"/>
        </w:rPr>
        <w:t xml:space="preserve"> </w:t>
      </w:r>
      <w:r w:rsidRPr="00851849">
        <w:rPr>
          <w:sz w:val="22"/>
          <w:szCs w:val="22"/>
          <w:lang w:val="fr-FR"/>
        </w:rPr>
        <w:t>Il s</w:t>
      </w:r>
      <w:r w:rsidR="00851849" w:rsidRPr="00851849">
        <w:rPr>
          <w:sz w:val="22"/>
          <w:szCs w:val="22"/>
          <w:lang w:val="fr-FR"/>
        </w:rPr>
        <w:t>’</w:t>
      </w:r>
      <w:r w:rsidRPr="00851849">
        <w:rPr>
          <w:sz w:val="22"/>
          <w:szCs w:val="22"/>
          <w:lang w:val="fr-FR"/>
        </w:rPr>
        <w:t>agit d</w:t>
      </w:r>
      <w:r w:rsidR="00851849" w:rsidRPr="00851849">
        <w:rPr>
          <w:sz w:val="22"/>
          <w:szCs w:val="22"/>
          <w:lang w:val="fr-FR"/>
        </w:rPr>
        <w:t>’</w:t>
      </w:r>
      <w:r w:rsidRPr="00851849">
        <w:rPr>
          <w:sz w:val="22"/>
          <w:szCs w:val="22"/>
          <w:lang w:val="fr-FR"/>
        </w:rPr>
        <w:t>un site de ha</w:t>
      </w:r>
      <w:r w:rsidR="00814136" w:rsidRPr="00851849">
        <w:rPr>
          <w:sz w:val="22"/>
          <w:szCs w:val="22"/>
          <w:lang w:val="fr-FR"/>
        </w:rPr>
        <w:t>lte et d</w:t>
      </w:r>
      <w:r w:rsidR="00851849" w:rsidRPr="00851849">
        <w:rPr>
          <w:sz w:val="22"/>
          <w:szCs w:val="22"/>
          <w:lang w:val="fr-FR"/>
        </w:rPr>
        <w:t>’</w:t>
      </w:r>
      <w:r w:rsidR="00814136" w:rsidRPr="00851849">
        <w:rPr>
          <w:sz w:val="22"/>
          <w:szCs w:val="22"/>
          <w:lang w:val="fr-FR"/>
        </w:rPr>
        <w:t>hivernage import</w:t>
      </w:r>
      <w:r w:rsidR="00851849" w:rsidRPr="00851849">
        <w:rPr>
          <w:sz w:val="22"/>
          <w:szCs w:val="22"/>
          <w:lang w:val="fr-FR"/>
        </w:rPr>
        <w:t>a</w:t>
      </w:r>
      <w:r w:rsidR="00814136" w:rsidRPr="00851849">
        <w:rPr>
          <w:sz w:val="22"/>
          <w:szCs w:val="22"/>
          <w:lang w:val="fr-FR"/>
        </w:rPr>
        <w:t>nt pour la Grue cendrée</w:t>
      </w:r>
      <w:r w:rsidRPr="00851849">
        <w:rPr>
          <w:sz w:val="22"/>
          <w:szCs w:val="22"/>
          <w:lang w:val="fr-FR"/>
        </w:rPr>
        <w:t>.</w:t>
      </w:r>
      <w:r w:rsidR="001E2215" w:rsidRPr="00A674BE">
        <w:rPr>
          <w:sz w:val="22"/>
          <w:szCs w:val="22"/>
          <w:lang w:val="fr-FR"/>
        </w:rPr>
        <w:t xml:space="preserve"> </w:t>
      </w:r>
      <w:r w:rsidR="00814136" w:rsidRPr="00851849">
        <w:rPr>
          <w:sz w:val="22"/>
          <w:szCs w:val="22"/>
          <w:lang w:val="fr-FR"/>
        </w:rPr>
        <w:t>Aucun cas d</w:t>
      </w:r>
      <w:r w:rsidR="00851849" w:rsidRPr="00851849">
        <w:rPr>
          <w:sz w:val="22"/>
          <w:szCs w:val="22"/>
          <w:lang w:val="fr-FR"/>
        </w:rPr>
        <w:t>’</w:t>
      </w:r>
      <w:r w:rsidR="00814136" w:rsidRPr="00851849">
        <w:rPr>
          <w:sz w:val="22"/>
          <w:szCs w:val="22"/>
          <w:lang w:val="fr-FR"/>
        </w:rPr>
        <w:t>IRP n</w:t>
      </w:r>
      <w:r w:rsidR="00851849" w:rsidRPr="00851849">
        <w:rPr>
          <w:sz w:val="22"/>
          <w:szCs w:val="22"/>
          <w:lang w:val="fr-FR"/>
        </w:rPr>
        <w:t>’</w:t>
      </w:r>
      <w:r w:rsidR="00814136" w:rsidRPr="00851849">
        <w:rPr>
          <w:sz w:val="22"/>
          <w:szCs w:val="22"/>
          <w:lang w:val="fr-FR"/>
        </w:rPr>
        <w:t>a été encore ouvert et la France est chargée de mettre régulièrement le Comité permanent au courant des derniers développements lors de chacune de ses réunions.</w:t>
      </w:r>
      <w:r w:rsidR="001E2215" w:rsidRPr="00A674BE">
        <w:rPr>
          <w:sz w:val="22"/>
          <w:szCs w:val="22"/>
          <w:lang w:val="fr-FR"/>
        </w:rPr>
        <w:t xml:space="preserve"> </w:t>
      </w:r>
      <w:r w:rsidR="00814136" w:rsidRPr="00851849">
        <w:rPr>
          <w:sz w:val="22"/>
          <w:szCs w:val="22"/>
          <w:lang w:val="fr-FR"/>
        </w:rPr>
        <w:t>Le présent rapport n</w:t>
      </w:r>
      <w:r w:rsidR="00851849" w:rsidRPr="00851849">
        <w:rPr>
          <w:sz w:val="22"/>
          <w:szCs w:val="22"/>
          <w:lang w:val="fr-FR"/>
        </w:rPr>
        <w:t>’</w:t>
      </w:r>
      <w:r w:rsidR="00814136" w:rsidRPr="00851849">
        <w:rPr>
          <w:sz w:val="22"/>
          <w:szCs w:val="22"/>
          <w:lang w:val="fr-FR"/>
        </w:rPr>
        <w:t>inclut pas d</w:t>
      </w:r>
      <w:r w:rsidR="00851849" w:rsidRPr="00851849">
        <w:rPr>
          <w:sz w:val="22"/>
          <w:szCs w:val="22"/>
          <w:lang w:val="fr-FR"/>
        </w:rPr>
        <w:t>’</w:t>
      </w:r>
      <w:r w:rsidR="00814136" w:rsidRPr="00851849">
        <w:rPr>
          <w:sz w:val="22"/>
          <w:szCs w:val="22"/>
          <w:lang w:val="fr-FR"/>
        </w:rPr>
        <w:t>informations supplémentaires sur ce cas éventuel d</w:t>
      </w:r>
      <w:r w:rsidR="00851849" w:rsidRPr="00851849">
        <w:rPr>
          <w:sz w:val="22"/>
          <w:szCs w:val="22"/>
          <w:lang w:val="fr-FR"/>
        </w:rPr>
        <w:t>’</w:t>
      </w:r>
      <w:r w:rsidR="00814136" w:rsidRPr="00851849">
        <w:rPr>
          <w:sz w:val="22"/>
          <w:szCs w:val="22"/>
          <w:lang w:val="fr-FR"/>
        </w:rPr>
        <w:t>IRP.</w:t>
      </w:r>
      <w:r w:rsidR="001E2215" w:rsidRPr="00A674BE">
        <w:rPr>
          <w:sz w:val="22"/>
          <w:szCs w:val="22"/>
          <w:lang w:val="fr-FR"/>
        </w:rPr>
        <w:t xml:space="preserve"> </w:t>
      </w:r>
    </w:p>
    <w:p w:rsidR="001707B6" w:rsidRPr="00A674BE" w:rsidRDefault="001707B6" w:rsidP="00A420F4">
      <w:pPr>
        <w:jc w:val="both"/>
        <w:rPr>
          <w:sz w:val="22"/>
          <w:szCs w:val="22"/>
          <w:lang w:val="fr-FR"/>
        </w:rPr>
      </w:pPr>
    </w:p>
    <w:p w:rsidR="003A7BC0" w:rsidRPr="00A674BE" w:rsidRDefault="00814136" w:rsidP="00A420F4">
      <w:pPr>
        <w:jc w:val="both"/>
        <w:rPr>
          <w:sz w:val="22"/>
          <w:szCs w:val="22"/>
          <w:lang w:val="fr-FR"/>
        </w:rPr>
      </w:pPr>
      <w:r w:rsidRPr="00851849">
        <w:rPr>
          <w:sz w:val="22"/>
          <w:szCs w:val="22"/>
          <w:lang w:val="fr-FR"/>
        </w:rPr>
        <w:t>Ce rapport a été compilé par le Secrétariat pour le Comité permanent et a été approuvé par correspondance par ce dernier aux fins de soumission à la MOP6.</w:t>
      </w:r>
    </w:p>
    <w:p w:rsidR="003A7BC0" w:rsidRPr="00A674BE" w:rsidRDefault="003A7BC0" w:rsidP="00A420F4">
      <w:pPr>
        <w:jc w:val="both"/>
        <w:rPr>
          <w:lang w:val="fr-FR"/>
        </w:rPr>
      </w:pPr>
    </w:p>
    <w:p w:rsidR="003A7BC0" w:rsidRPr="00A674BE" w:rsidRDefault="003A7BC0" w:rsidP="00A420F4">
      <w:pPr>
        <w:jc w:val="both"/>
        <w:rPr>
          <w:lang w:val="fr-FR"/>
        </w:rPr>
      </w:pPr>
    </w:p>
    <w:p w:rsidR="003A7BC0" w:rsidRPr="00A674BE" w:rsidRDefault="00814136" w:rsidP="00A420F4">
      <w:pPr>
        <w:jc w:val="both"/>
        <w:rPr>
          <w:b/>
          <w:lang w:val="fr-FR"/>
        </w:rPr>
      </w:pPr>
      <w:r w:rsidRPr="00814136">
        <w:rPr>
          <w:b/>
          <w:lang w:val="fr-FR"/>
        </w:rPr>
        <w:t>Action requise de la Réunion des Parties</w:t>
      </w:r>
    </w:p>
    <w:p w:rsidR="003A7BC0" w:rsidRPr="00A674BE" w:rsidRDefault="003A7BC0" w:rsidP="00A420F4">
      <w:pPr>
        <w:jc w:val="both"/>
        <w:rPr>
          <w:lang w:val="fr-FR"/>
        </w:rPr>
      </w:pPr>
    </w:p>
    <w:p w:rsidR="003A7BC0" w:rsidRPr="00A674BE" w:rsidRDefault="002B2B8E" w:rsidP="00173E2B">
      <w:pPr>
        <w:jc w:val="both"/>
        <w:rPr>
          <w:lang w:val="fr-FR"/>
        </w:rPr>
      </w:pPr>
      <w:r w:rsidRPr="00814136">
        <w:rPr>
          <w:sz w:val="22"/>
          <w:szCs w:val="22"/>
          <w:lang w:val="fr-FR"/>
        </w:rPr>
        <w:t>La</w:t>
      </w:r>
      <w:r w:rsidR="00814136" w:rsidRPr="00814136">
        <w:rPr>
          <w:sz w:val="22"/>
          <w:szCs w:val="22"/>
          <w:lang w:val="fr-FR"/>
        </w:rPr>
        <w:t xml:space="preserve"> Réunion des Parties est invitée à prendre note du présent rapport et, s</w:t>
      </w:r>
      <w:r w:rsidR="00851849">
        <w:rPr>
          <w:sz w:val="22"/>
          <w:szCs w:val="22"/>
          <w:lang w:val="fr-FR"/>
        </w:rPr>
        <w:t>’</w:t>
      </w:r>
      <w:r w:rsidR="00814136" w:rsidRPr="00814136">
        <w:rPr>
          <w:sz w:val="22"/>
          <w:szCs w:val="22"/>
          <w:lang w:val="fr-FR"/>
        </w:rPr>
        <w:t>il y a lieu, de fournir des conseils.</w:t>
      </w:r>
    </w:p>
    <w:p w:rsidR="003A7BC0" w:rsidRPr="00A674BE" w:rsidRDefault="003A7BC0" w:rsidP="00173E2B">
      <w:pPr>
        <w:jc w:val="both"/>
        <w:rPr>
          <w:lang w:val="fr-FR"/>
        </w:rPr>
        <w:sectPr w:rsidR="003A7BC0" w:rsidRPr="00A674BE" w:rsidSect="00251ED6">
          <w:headerReference w:type="default" r:id="rId10"/>
          <w:footerReference w:type="default" r:id="rId11"/>
          <w:pgSz w:w="11907" w:h="16840" w:code="9"/>
          <w:pgMar w:top="1021" w:right="1134" w:bottom="851" w:left="1134" w:header="709" w:footer="709" w:gutter="0"/>
          <w:cols w:space="708"/>
          <w:docGrid w:linePitch="360"/>
        </w:sectPr>
      </w:pPr>
    </w:p>
    <w:p w:rsidR="003A7BC0" w:rsidRPr="00A674BE" w:rsidRDefault="00814136" w:rsidP="003638F1">
      <w:pPr>
        <w:pageBreakBefore/>
        <w:rPr>
          <w:b/>
          <w:lang w:val="fr-FR"/>
        </w:rPr>
      </w:pPr>
      <w:r w:rsidRPr="00814136">
        <w:rPr>
          <w:b/>
          <w:lang w:val="fr-FR"/>
        </w:rPr>
        <w:lastRenderedPageBreak/>
        <w:t>Cas de Procédure d</w:t>
      </w:r>
      <w:r w:rsidR="00851849">
        <w:rPr>
          <w:b/>
          <w:lang w:val="fr-FR"/>
        </w:rPr>
        <w:t>’</w:t>
      </w:r>
      <w:r w:rsidRPr="00814136">
        <w:rPr>
          <w:b/>
          <w:lang w:val="fr-FR"/>
        </w:rPr>
        <w:t>évaluation de la mise en œuvre (IRP) examinés durant la période 2012-2015</w:t>
      </w:r>
    </w:p>
    <w:p w:rsidR="003A7BC0" w:rsidRPr="00A674BE" w:rsidRDefault="003A7BC0" w:rsidP="007613A6">
      <w:pPr>
        <w:rPr>
          <w:lang w:val="fr-FR"/>
        </w:rPr>
      </w:pPr>
      <w:r w:rsidRPr="00A674BE">
        <w:rPr>
          <w:lang w:val="fr-FR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1"/>
        <w:gridCol w:w="3210"/>
        <w:gridCol w:w="3208"/>
      </w:tblGrid>
      <w:tr w:rsidR="003A7BC0" w:rsidRPr="004919AE" w:rsidTr="00814136">
        <w:tc>
          <w:tcPr>
            <w:tcW w:w="1667" w:type="pct"/>
          </w:tcPr>
          <w:p w:rsidR="003A7BC0" w:rsidRPr="004919AE" w:rsidRDefault="00814136" w:rsidP="00F67532">
            <w:pPr>
              <w:rPr>
                <w:lang w:val="en-GB"/>
              </w:rPr>
            </w:pPr>
            <w:r w:rsidRPr="00814136">
              <w:rPr>
                <w:b/>
                <w:sz w:val="22"/>
                <w:szCs w:val="22"/>
                <w:lang w:val="fr-FR"/>
              </w:rPr>
              <w:t>Numéro de cas IRP 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1</w:t>
            </w:r>
          </w:p>
          <w:p w:rsidR="003A7BC0" w:rsidRPr="004919AE" w:rsidRDefault="003A7BC0" w:rsidP="00F67532">
            <w:pPr>
              <w:rPr>
                <w:lang w:val="en-GB"/>
              </w:rPr>
            </w:pPr>
          </w:p>
        </w:tc>
        <w:tc>
          <w:tcPr>
            <w:tcW w:w="3333" w:type="pct"/>
            <w:gridSpan w:val="2"/>
          </w:tcPr>
          <w:p w:rsidR="003A7BC0" w:rsidRPr="004919AE" w:rsidRDefault="00814136" w:rsidP="00F67532">
            <w:pPr>
              <w:rPr>
                <w:lang w:val="en-GB"/>
              </w:rPr>
            </w:pPr>
            <w:r w:rsidRPr="00814136">
              <w:rPr>
                <w:b/>
                <w:sz w:val="22"/>
                <w:szCs w:val="22"/>
                <w:lang w:val="fr-FR"/>
              </w:rPr>
              <w:t>État 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</w:t>
            </w:r>
            <w:r w:rsidRPr="00814136">
              <w:rPr>
                <w:sz w:val="22"/>
                <w:szCs w:val="22"/>
                <w:lang w:val="fr-FR"/>
              </w:rPr>
              <w:t>En cours / en attente</w:t>
            </w:r>
          </w:p>
          <w:p w:rsidR="003A7BC0" w:rsidRPr="004919AE" w:rsidRDefault="003A7BC0" w:rsidP="00F67532">
            <w:pPr>
              <w:rPr>
                <w:lang w:val="en-GB"/>
              </w:rPr>
            </w:pPr>
          </w:p>
        </w:tc>
      </w:tr>
      <w:tr w:rsidR="003A7BC0" w:rsidRPr="00A674BE" w:rsidTr="00814136">
        <w:tc>
          <w:tcPr>
            <w:tcW w:w="1667" w:type="pct"/>
          </w:tcPr>
          <w:p w:rsidR="003A7BC0" w:rsidRPr="004919AE" w:rsidRDefault="00814136" w:rsidP="00F67532">
            <w:pPr>
              <w:rPr>
                <w:lang w:val="en-GB"/>
              </w:rPr>
            </w:pPr>
            <w:r w:rsidRPr="00814136">
              <w:rPr>
                <w:b/>
                <w:sz w:val="22"/>
                <w:szCs w:val="22"/>
                <w:lang w:val="fr-FR"/>
              </w:rPr>
              <w:t>Partie 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</w:t>
            </w:r>
          </w:p>
          <w:p w:rsidR="003A7BC0" w:rsidRPr="004919AE" w:rsidRDefault="00814136" w:rsidP="00F67532">
            <w:pPr>
              <w:rPr>
                <w:lang w:val="en-GB"/>
              </w:rPr>
            </w:pPr>
            <w:r w:rsidRPr="00814136">
              <w:rPr>
                <w:sz w:val="22"/>
                <w:szCs w:val="22"/>
                <w:lang w:val="fr-FR"/>
              </w:rPr>
              <w:t>République arabe syrienne</w:t>
            </w:r>
          </w:p>
          <w:p w:rsidR="003A7BC0" w:rsidRPr="004919AE" w:rsidRDefault="003A7BC0" w:rsidP="00F67532">
            <w:pPr>
              <w:rPr>
                <w:lang w:val="en-GB"/>
              </w:rPr>
            </w:pPr>
          </w:p>
        </w:tc>
        <w:tc>
          <w:tcPr>
            <w:tcW w:w="1667" w:type="pct"/>
          </w:tcPr>
          <w:p w:rsidR="003A7BC0" w:rsidRPr="004919AE" w:rsidRDefault="00814136" w:rsidP="00851849">
            <w:pPr>
              <w:rPr>
                <w:lang w:val="en-GB"/>
              </w:rPr>
            </w:pPr>
            <w:r w:rsidRPr="00814136">
              <w:rPr>
                <w:b/>
                <w:sz w:val="22"/>
                <w:szCs w:val="22"/>
                <w:lang w:val="fr-FR"/>
              </w:rPr>
              <w:t>Année d</w:t>
            </w:r>
            <w:r w:rsidR="00851849">
              <w:rPr>
                <w:b/>
                <w:sz w:val="22"/>
                <w:szCs w:val="22"/>
                <w:lang w:val="fr-FR"/>
              </w:rPr>
              <w:t>’</w:t>
            </w:r>
            <w:r w:rsidRPr="00814136">
              <w:rPr>
                <w:b/>
                <w:sz w:val="22"/>
                <w:szCs w:val="22"/>
                <w:lang w:val="fr-FR"/>
              </w:rPr>
              <w:t>ouverture: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2009</w:t>
            </w:r>
          </w:p>
        </w:tc>
        <w:tc>
          <w:tcPr>
            <w:tcW w:w="1667" w:type="pct"/>
          </w:tcPr>
          <w:p w:rsidR="003A7BC0" w:rsidRPr="00A674BE" w:rsidRDefault="00814136" w:rsidP="00851849">
            <w:pPr>
              <w:rPr>
                <w:lang w:val="fr-FR"/>
              </w:rPr>
            </w:pPr>
            <w:r w:rsidRPr="00814136">
              <w:rPr>
                <w:b/>
                <w:sz w:val="22"/>
                <w:szCs w:val="22"/>
                <w:lang w:val="fr-FR"/>
              </w:rPr>
              <w:t>Année de cl</w:t>
            </w:r>
            <w:r w:rsidR="00851849">
              <w:rPr>
                <w:b/>
                <w:sz w:val="22"/>
                <w:szCs w:val="22"/>
                <w:lang w:val="fr-FR"/>
              </w:rPr>
              <w:t>ô</w:t>
            </w:r>
            <w:r w:rsidRPr="00814136">
              <w:rPr>
                <w:b/>
                <w:sz w:val="22"/>
                <w:szCs w:val="22"/>
                <w:lang w:val="fr-FR"/>
              </w:rPr>
              <w:t>ture</w:t>
            </w:r>
            <w:r w:rsidR="00851849">
              <w:rPr>
                <w:b/>
                <w:sz w:val="22"/>
                <w:szCs w:val="22"/>
                <w:lang w:val="fr-FR"/>
              </w:rPr>
              <w:t> :</w:t>
            </w:r>
            <w:r w:rsidR="003A7BC0" w:rsidRPr="00A674BE">
              <w:rPr>
                <w:sz w:val="22"/>
                <w:szCs w:val="22"/>
                <w:lang w:val="fr-FR"/>
              </w:rPr>
              <w:t xml:space="preserve"> </w:t>
            </w:r>
            <w:r w:rsidRPr="00814136">
              <w:rPr>
                <w:sz w:val="22"/>
                <w:szCs w:val="22"/>
                <w:lang w:val="fr-FR"/>
              </w:rPr>
              <w:t>s.o.</w:t>
            </w:r>
          </w:p>
        </w:tc>
      </w:tr>
      <w:tr w:rsidR="003A7BC0" w:rsidRPr="00A674BE" w:rsidTr="00814136">
        <w:tc>
          <w:tcPr>
            <w:tcW w:w="5000" w:type="pct"/>
            <w:gridSpan w:val="3"/>
          </w:tcPr>
          <w:p w:rsidR="003A7BC0" w:rsidRPr="00BD6E98" w:rsidRDefault="00BD6E98" w:rsidP="00F67532">
            <w:pPr>
              <w:rPr>
                <w:lang w:val="fr-FR"/>
              </w:rPr>
            </w:pPr>
            <w:r w:rsidRPr="00BD6E98">
              <w:rPr>
                <w:b/>
                <w:sz w:val="22"/>
                <w:szCs w:val="22"/>
                <w:lang w:val="fr-FR"/>
              </w:rPr>
              <w:t>Problème</w:t>
            </w:r>
            <w:r w:rsidR="00851849">
              <w:rPr>
                <w:b/>
                <w:sz w:val="22"/>
                <w:szCs w:val="22"/>
                <w:lang w:val="fr-FR"/>
              </w:rPr>
              <w:t> </w:t>
            </w:r>
            <w:r w:rsidRPr="00BD6E98">
              <w:rPr>
                <w:b/>
                <w:sz w:val="22"/>
                <w:szCs w:val="22"/>
                <w:lang w:val="fr-FR"/>
              </w:rPr>
              <w:t xml:space="preserve">: </w:t>
            </w:r>
            <w:r w:rsidRPr="00851849">
              <w:rPr>
                <w:sz w:val="22"/>
                <w:szCs w:val="22"/>
                <w:lang w:val="fr-FR"/>
              </w:rPr>
              <w:t>Chasse illégale du Vanneau sociable (</w:t>
            </w:r>
            <w:r w:rsidRPr="00851849">
              <w:rPr>
                <w:i/>
                <w:sz w:val="22"/>
                <w:szCs w:val="22"/>
                <w:lang w:val="fr-FR"/>
              </w:rPr>
              <w:t>Vanellus gregarius</w:t>
            </w:r>
            <w:r w:rsidRPr="00851849">
              <w:rPr>
                <w:sz w:val="22"/>
                <w:szCs w:val="22"/>
                <w:lang w:val="fr-FR"/>
              </w:rPr>
              <w:t xml:space="preserve">), espèce </w:t>
            </w:r>
            <w:r w:rsidR="00A6067A">
              <w:rPr>
                <w:sz w:val="22"/>
                <w:szCs w:val="22"/>
                <w:lang w:val="fr-FR"/>
              </w:rPr>
              <w:t>en danger critique d’extinction</w:t>
            </w:r>
          </w:p>
          <w:p w:rsidR="003A7BC0" w:rsidRPr="00BD6E98" w:rsidRDefault="003A7BC0" w:rsidP="00F67532">
            <w:pPr>
              <w:rPr>
                <w:lang w:val="fr-FR"/>
              </w:rPr>
            </w:pPr>
          </w:p>
        </w:tc>
      </w:tr>
      <w:tr w:rsidR="003A7BC0" w:rsidRPr="00A674BE" w:rsidTr="00814136">
        <w:tc>
          <w:tcPr>
            <w:tcW w:w="5000" w:type="pct"/>
            <w:gridSpan w:val="3"/>
          </w:tcPr>
          <w:p w:rsidR="00BD6E98" w:rsidRPr="00BD6E98" w:rsidRDefault="00BD6E98" w:rsidP="00BD6E98">
            <w:pPr>
              <w:rPr>
                <w:b/>
                <w:lang w:val="fr-FR"/>
              </w:rPr>
            </w:pPr>
            <w:r w:rsidRPr="00BD6E98">
              <w:rPr>
                <w:b/>
                <w:sz w:val="22"/>
                <w:szCs w:val="22"/>
                <w:lang w:val="fr-FR"/>
              </w:rPr>
              <w:t>Correspondance officielle</w:t>
            </w:r>
          </w:p>
          <w:p w:rsidR="00BD6E98" w:rsidRPr="00BD6E98" w:rsidRDefault="00BD6E98" w:rsidP="00BD6E98">
            <w:pPr>
              <w:rPr>
                <w:lang w:val="fr-FR"/>
              </w:rPr>
            </w:pPr>
            <w:r w:rsidRPr="00BD6E98">
              <w:rPr>
                <w:sz w:val="22"/>
                <w:szCs w:val="22"/>
                <w:lang w:val="fr-FR"/>
              </w:rPr>
              <w:t>1</w:t>
            </w:r>
            <w:r w:rsidRPr="00BD6E98">
              <w:rPr>
                <w:sz w:val="22"/>
                <w:szCs w:val="22"/>
                <w:vertAlign w:val="superscript"/>
                <w:lang w:val="fr-FR"/>
              </w:rPr>
              <w:t>er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sz w:val="22"/>
                <w:szCs w:val="22"/>
                <w:lang w:val="fr-FR"/>
              </w:rPr>
              <w:t>octobre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sz w:val="22"/>
                <w:szCs w:val="22"/>
                <w:lang w:val="fr-FR"/>
              </w:rPr>
              <w:t>2009 – lettre du Secrétaire exécutif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AEWA, M. Bert Lenten, au nom du Comité permanent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AEWA, adressée 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sz w:val="22"/>
                <w:szCs w:val="22"/>
                <w:lang w:val="fr-FR"/>
              </w:rPr>
              <w:t xml:space="preserve"> </w:t>
            </w:r>
            <w:r w:rsidR="00A6067A">
              <w:rPr>
                <w:sz w:val="22"/>
                <w:szCs w:val="22"/>
                <w:lang w:val="fr-FR"/>
              </w:rPr>
              <w:t xml:space="preserve">M. </w:t>
            </w:r>
            <w:r w:rsidRPr="00BD6E98">
              <w:rPr>
                <w:sz w:val="22"/>
                <w:szCs w:val="22"/>
                <w:lang w:val="fr-FR"/>
              </w:rPr>
              <w:t>Kawkab Dayeh, Ministre d</w:t>
            </w:r>
            <w:r w:rsidR="00851849">
              <w:rPr>
                <w:sz w:val="22"/>
                <w:szCs w:val="22"/>
                <w:lang w:val="fr-FR"/>
              </w:rPr>
              <w:t>’É</w:t>
            </w:r>
            <w:r w:rsidRPr="00BD6E98">
              <w:rPr>
                <w:sz w:val="22"/>
                <w:szCs w:val="22"/>
                <w:lang w:val="fr-FR"/>
              </w:rPr>
              <w:t>tat des Affaires environnementales (</w:t>
            </w:r>
            <w:r w:rsidRPr="00BD6E98">
              <w:rPr>
                <w:i/>
                <w:sz w:val="22"/>
                <w:szCs w:val="22"/>
                <w:lang w:val="fr-FR"/>
              </w:rPr>
              <w:t>présentant l</w:t>
            </w:r>
            <w:r w:rsidR="00851849">
              <w:rPr>
                <w:i/>
                <w:sz w:val="22"/>
                <w:szCs w:val="22"/>
                <w:lang w:val="fr-FR"/>
              </w:rPr>
              <w:t>e problème</w:t>
            </w:r>
            <w:r w:rsidRPr="00BD6E98">
              <w:rPr>
                <w:i/>
                <w:sz w:val="22"/>
                <w:szCs w:val="22"/>
                <w:lang w:val="fr-FR"/>
              </w:rPr>
              <w:t>, demandant des informations officielles, faisant part de la décision du Comité permanent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AC31F4">
              <w:rPr>
                <w:i/>
                <w:sz w:val="22"/>
                <w:szCs w:val="22"/>
                <w:lang w:val="fr-FR"/>
              </w:rPr>
              <w:t>engager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i/>
                <w:sz w:val="22"/>
                <w:szCs w:val="22"/>
                <w:lang w:val="fr-FR"/>
              </w:rPr>
              <w:t>un</w:t>
            </w:r>
            <w:r w:rsidR="00851849">
              <w:rPr>
                <w:i/>
                <w:sz w:val="22"/>
                <w:szCs w:val="22"/>
                <w:lang w:val="fr-FR"/>
              </w:rPr>
              <w:t xml:space="preserve">e </w:t>
            </w:r>
            <w:r w:rsidR="00AC31F4">
              <w:rPr>
                <w:i/>
                <w:sz w:val="22"/>
                <w:szCs w:val="22"/>
                <w:lang w:val="fr-FR"/>
              </w:rPr>
              <w:t>procédure</w:t>
            </w:r>
            <w:r w:rsidRPr="00BD6E98">
              <w:rPr>
                <w:i/>
                <w:sz w:val="22"/>
                <w:szCs w:val="22"/>
                <w:lang w:val="fr-FR"/>
              </w:rPr>
              <w:t>, proposant une mission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BD6E98">
              <w:rPr>
                <w:i/>
                <w:sz w:val="22"/>
                <w:szCs w:val="22"/>
                <w:lang w:val="fr-FR"/>
              </w:rPr>
              <w:t>évaluation sur place</w:t>
            </w:r>
            <w:r w:rsidRPr="00BD6E98">
              <w:rPr>
                <w:sz w:val="22"/>
                <w:szCs w:val="22"/>
                <w:lang w:val="fr-FR"/>
              </w:rPr>
              <w:t xml:space="preserve">) ; </w:t>
            </w:r>
          </w:p>
          <w:p w:rsidR="00BD6E98" w:rsidRPr="00BD6E98" w:rsidRDefault="00BD6E98" w:rsidP="00BD6E98">
            <w:pPr>
              <w:rPr>
                <w:lang w:val="fr-FR"/>
              </w:rPr>
            </w:pPr>
          </w:p>
          <w:p w:rsidR="00BD6E98" w:rsidRPr="00BD6E98" w:rsidRDefault="00BD6E98" w:rsidP="00BD6E98">
            <w:pPr>
              <w:rPr>
                <w:lang w:val="fr-FR"/>
              </w:rPr>
            </w:pPr>
            <w:r w:rsidRPr="00BD6E98">
              <w:rPr>
                <w:sz w:val="22"/>
                <w:szCs w:val="22"/>
                <w:lang w:val="fr-FR"/>
              </w:rPr>
              <w:t>15 décembre 2009 – lettre de</w:t>
            </w:r>
            <w:r w:rsidR="00A6067A">
              <w:rPr>
                <w:sz w:val="22"/>
                <w:szCs w:val="22"/>
                <w:lang w:val="fr-FR"/>
              </w:rPr>
              <w:t xml:space="preserve"> M.</w:t>
            </w:r>
            <w:r w:rsidRPr="00BD6E98">
              <w:rPr>
                <w:sz w:val="22"/>
                <w:szCs w:val="22"/>
                <w:lang w:val="fr-FR"/>
              </w:rPr>
              <w:t xml:space="preserve"> Kawkab Dayeh, Ministre d</w:t>
            </w:r>
            <w:r w:rsidR="00851849">
              <w:rPr>
                <w:sz w:val="22"/>
                <w:szCs w:val="22"/>
                <w:lang w:val="fr-FR"/>
              </w:rPr>
              <w:t>’État</w:t>
            </w:r>
            <w:r w:rsidRPr="00BD6E98">
              <w:rPr>
                <w:sz w:val="22"/>
                <w:szCs w:val="22"/>
                <w:lang w:val="fr-FR"/>
              </w:rPr>
              <w:t xml:space="preserve"> des Affaires environnementales, au Secrétaire exécutif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AEWA, M. Bert Lenten (</w:t>
            </w:r>
            <w:r w:rsidRPr="00BD6E98">
              <w:rPr>
                <w:i/>
                <w:sz w:val="22"/>
                <w:szCs w:val="22"/>
                <w:lang w:val="fr-FR"/>
              </w:rPr>
              <w:t>se réjouissant de la mission proposée</w:t>
            </w:r>
            <w:r w:rsidRPr="00BD6E98">
              <w:rPr>
                <w:sz w:val="22"/>
                <w:szCs w:val="22"/>
                <w:lang w:val="fr-FR"/>
              </w:rPr>
              <w:t>) ;</w:t>
            </w:r>
          </w:p>
          <w:p w:rsidR="00BD6E98" w:rsidRPr="00BD6E98" w:rsidRDefault="00BD6E98" w:rsidP="00BD6E98">
            <w:pPr>
              <w:rPr>
                <w:lang w:val="fr-FR"/>
              </w:rPr>
            </w:pPr>
          </w:p>
          <w:p w:rsidR="00BD6E98" w:rsidRPr="00BD6E98" w:rsidRDefault="00BD6E98" w:rsidP="00BD6E98">
            <w:pPr>
              <w:rPr>
                <w:lang w:val="fr-FR"/>
              </w:rPr>
            </w:pPr>
            <w:r w:rsidRPr="00BD6E98">
              <w:rPr>
                <w:sz w:val="22"/>
                <w:szCs w:val="22"/>
                <w:lang w:val="fr-FR"/>
              </w:rPr>
              <w:t>28 décembre 2009 – lettre du Secrétaire exécutif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AEWA, M. Bert Lenten, à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adresse de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sz w:val="22"/>
                <w:szCs w:val="22"/>
                <w:lang w:val="fr-FR"/>
              </w:rPr>
              <w:t xml:space="preserve"> </w:t>
            </w:r>
            <w:r w:rsidR="00A6067A">
              <w:rPr>
                <w:sz w:val="22"/>
                <w:szCs w:val="22"/>
                <w:lang w:val="fr-FR"/>
              </w:rPr>
              <w:t>M. Kawkab</w:t>
            </w:r>
            <w:r w:rsidRPr="00BD6E98">
              <w:rPr>
                <w:sz w:val="22"/>
                <w:szCs w:val="22"/>
                <w:lang w:val="fr-FR"/>
              </w:rPr>
              <w:t xml:space="preserve"> Dayeh, Ministre d</w:t>
            </w:r>
            <w:r w:rsidR="00851849">
              <w:rPr>
                <w:sz w:val="22"/>
                <w:szCs w:val="22"/>
                <w:lang w:val="fr-FR"/>
              </w:rPr>
              <w:t>’État</w:t>
            </w:r>
            <w:r w:rsidRPr="00BD6E98">
              <w:rPr>
                <w:sz w:val="22"/>
                <w:szCs w:val="22"/>
                <w:lang w:val="fr-FR"/>
              </w:rPr>
              <w:t xml:space="preserve"> des Affaires environnementales (</w:t>
            </w:r>
            <w:r w:rsidRPr="00851849">
              <w:rPr>
                <w:i/>
                <w:sz w:val="22"/>
                <w:szCs w:val="22"/>
                <w:lang w:val="fr-FR"/>
              </w:rPr>
              <w:t xml:space="preserve">confirmant la mission et </w:t>
            </w:r>
            <w:r w:rsidR="00851849">
              <w:rPr>
                <w:i/>
                <w:sz w:val="22"/>
                <w:szCs w:val="22"/>
                <w:lang w:val="fr-FR"/>
              </w:rPr>
              <w:t>communiquant les termes de références</w:t>
            </w:r>
            <w:r w:rsidRPr="00851849">
              <w:rPr>
                <w:i/>
                <w:sz w:val="22"/>
                <w:szCs w:val="22"/>
                <w:lang w:val="fr-FR"/>
              </w:rPr>
              <w:t xml:space="preserve"> de la mission</w:t>
            </w:r>
            <w:r w:rsidRPr="00BD6E98">
              <w:rPr>
                <w:sz w:val="22"/>
                <w:szCs w:val="22"/>
                <w:lang w:val="fr-FR"/>
              </w:rPr>
              <w:t>) ;</w:t>
            </w:r>
          </w:p>
          <w:p w:rsidR="00BD6E98" w:rsidRPr="00BD6E98" w:rsidRDefault="00BD6E98" w:rsidP="00BD6E98">
            <w:pPr>
              <w:rPr>
                <w:lang w:val="fr-FR"/>
              </w:rPr>
            </w:pPr>
          </w:p>
          <w:p w:rsidR="00BD6E98" w:rsidRPr="00BD6E98" w:rsidRDefault="00BD6E98" w:rsidP="00BD6E98">
            <w:pPr>
              <w:rPr>
                <w:lang w:val="fr-FR"/>
              </w:rPr>
            </w:pPr>
            <w:r w:rsidRPr="00BD6E98">
              <w:rPr>
                <w:sz w:val="22"/>
                <w:szCs w:val="22"/>
                <w:lang w:val="fr-FR"/>
              </w:rPr>
              <w:t>14 avril 2010 – lettre du Secrétaire exécutif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AEWA, M. Bert Lenten, 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sz w:val="22"/>
                <w:szCs w:val="22"/>
                <w:lang w:val="fr-FR"/>
              </w:rPr>
              <w:t xml:space="preserve"> </w:t>
            </w:r>
            <w:r w:rsidR="00A6067A">
              <w:rPr>
                <w:sz w:val="22"/>
                <w:szCs w:val="22"/>
                <w:lang w:val="fr-FR"/>
              </w:rPr>
              <w:t>M. Kawkab</w:t>
            </w:r>
            <w:r w:rsidRPr="00BD6E98">
              <w:rPr>
                <w:sz w:val="22"/>
                <w:szCs w:val="22"/>
                <w:lang w:val="fr-FR"/>
              </w:rPr>
              <w:t xml:space="preserve"> Dayeh, Ministre d</w:t>
            </w:r>
            <w:r w:rsidR="00851849">
              <w:rPr>
                <w:sz w:val="22"/>
                <w:szCs w:val="22"/>
                <w:lang w:val="fr-FR"/>
              </w:rPr>
              <w:t>’État</w:t>
            </w:r>
            <w:r w:rsidRPr="00BD6E98">
              <w:rPr>
                <w:sz w:val="22"/>
                <w:szCs w:val="22"/>
                <w:lang w:val="fr-FR"/>
              </w:rPr>
              <w:t xml:space="preserve"> des Affaires environnementales (</w:t>
            </w:r>
            <w:r w:rsidRPr="00BD6E98">
              <w:rPr>
                <w:i/>
                <w:sz w:val="22"/>
                <w:szCs w:val="22"/>
                <w:lang w:val="fr-FR"/>
              </w:rPr>
              <w:t>soumettant l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BD6E98">
              <w:rPr>
                <w:i/>
                <w:sz w:val="22"/>
                <w:szCs w:val="22"/>
                <w:lang w:val="fr-FR"/>
              </w:rPr>
              <w:t>avant-projet du rapport de mission et l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BD6E98">
              <w:rPr>
                <w:i/>
                <w:sz w:val="22"/>
                <w:szCs w:val="22"/>
                <w:lang w:val="fr-FR"/>
              </w:rPr>
              <w:t>invitant à faire part de ses observations</w:t>
            </w:r>
            <w:r w:rsidRPr="00BD6E98">
              <w:rPr>
                <w:sz w:val="22"/>
                <w:szCs w:val="22"/>
                <w:lang w:val="fr-FR"/>
              </w:rPr>
              <w:t>) ;</w:t>
            </w:r>
          </w:p>
          <w:p w:rsidR="00BD6E98" w:rsidRPr="00BD6E98" w:rsidRDefault="00BD6E98" w:rsidP="00BD6E98">
            <w:pPr>
              <w:rPr>
                <w:lang w:val="fr-FR"/>
              </w:rPr>
            </w:pPr>
          </w:p>
          <w:p w:rsidR="00BD6E98" w:rsidRPr="00BD6E98" w:rsidRDefault="00BD6E98" w:rsidP="00BD6E98">
            <w:pPr>
              <w:rPr>
                <w:lang w:val="fr-FR"/>
              </w:rPr>
            </w:pPr>
            <w:r w:rsidRPr="00BD6E98">
              <w:rPr>
                <w:sz w:val="22"/>
                <w:szCs w:val="22"/>
                <w:lang w:val="fr-FR"/>
              </w:rPr>
              <w:t>3 août 2010 – lettre du Président du Comité permanent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AEWA, M. Øystein Størkersen, adressée 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sz w:val="22"/>
                <w:szCs w:val="22"/>
                <w:lang w:val="fr-FR"/>
              </w:rPr>
              <w:t xml:space="preserve"> </w:t>
            </w:r>
            <w:r w:rsidR="00A6067A">
              <w:rPr>
                <w:sz w:val="22"/>
                <w:szCs w:val="22"/>
                <w:lang w:val="fr-FR"/>
              </w:rPr>
              <w:t>M. Kawkab</w:t>
            </w:r>
            <w:r w:rsidRPr="00BD6E98">
              <w:rPr>
                <w:sz w:val="22"/>
                <w:szCs w:val="22"/>
                <w:lang w:val="fr-FR"/>
              </w:rPr>
              <w:t xml:space="preserve"> Dayeh, Ministre d</w:t>
            </w:r>
            <w:r w:rsidR="00851849">
              <w:rPr>
                <w:sz w:val="22"/>
                <w:szCs w:val="22"/>
                <w:lang w:val="fr-FR"/>
              </w:rPr>
              <w:t>’État</w:t>
            </w:r>
            <w:r w:rsidRPr="00BD6E98">
              <w:rPr>
                <w:sz w:val="22"/>
                <w:szCs w:val="22"/>
                <w:lang w:val="fr-FR"/>
              </w:rPr>
              <w:t xml:space="preserve"> des Affaires environnementales (</w:t>
            </w:r>
            <w:r w:rsidR="00851849">
              <w:rPr>
                <w:i/>
                <w:sz w:val="22"/>
                <w:szCs w:val="22"/>
                <w:lang w:val="fr-FR"/>
              </w:rPr>
              <w:t>faisant suivre</w:t>
            </w:r>
            <w:r w:rsidRPr="00BD6E98">
              <w:rPr>
                <w:i/>
                <w:sz w:val="22"/>
                <w:szCs w:val="22"/>
                <w:lang w:val="fr-FR"/>
              </w:rPr>
              <w:t xml:space="preserve"> le rapport de mission et ses recommandations, demandant des rapports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BD6E98">
              <w:rPr>
                <w:i/>
                <w:sz w:val="22"/>
                <w:szCs w:val="22"/>
                <w:lang w:val="fr-FR"/>
              </w:rPr>
              <w:t>avancement deux fois par an</w:t>
            </w:r>
            <w:r w:rsidRPr="00BD6E98">
              <w:rPr>
                <w:sz w:val="22"/>
                <w:szCs w:val="22"/>
                <w:lang w:val="fr-FR"/>
              </w:rPr>
              <w:t>);</w:t>
            </w:r>
          </w:p>
          <w:p w:rsidR="00BD6E98" w:rsidRPr="00BD6E98" w:rsidRDefault="00BD6E98" w:rsidP="00BD6E98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 </w:t>
            </w:r>
          </w:p>
          <w:p w:rsidR="003A7BC0" w:rsidRPr="00BD6E98" w:rsidRDefault="00BD6E98" w:rsidP="00BD6E98">
            <w:pPr>
              <w:rPr>
                <w:lang w:val="fr-FR"/>
              </w:rPr>
            </w:pPr>
            <w:r w:rsidRPr="00BD6E98">
              <w:rPr>
                <w:sz w:val="22"/>
                <w:szCs w:val="22"/>
                <w:lang w:val="fr-FR"/>
              </w:rPr>
              <w:t>22 février 2012 – lettre du Président du Comité permanent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BD6E98">
              <w:rPr>
                <w:sz w:val="22"/>
                <w:szCs w:val="22"/>
                <w:lang w:val="fr-FR"/>
              </w:rPr>
              <w:t>AEWA, M. Øystein Størkersen, 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sz w:val="22"/>
                <w:szCs w:val="22"/>
                <w:lang w:val="fr-FR"/>
              </w:rPr>
              <w:t xml:space="preserve"> </w:t>
            </w:r>
            <w:r w:rsidR="00A6067A">
              <w:rPr>
                <w:sz w:val="22"/>
                <w:szCs w:val="22"/>
                <w:lang w:val="fr-FR"/>
              </w:rPr>
              <w:t>M. Kawkab</w:t>
            </w:r>
            <w:r w:rsidRPr="00BD6E98">
              <w:rPr>
                <w:sz w:val="22"/>
                <w:szCs w:val="22"/>
                <w:lang w:val="fr-FR"/>
              </w:rPr>
              <w:t xml:space="preserve"> Dayeh, Ministre d</w:t>
            </w:r>
            <w:r w:rsidR="00851849">
              <w:rPr>
                <w:sz w:val="22"/>
                <w:szCs w:val="22"/>
                <w:lang w:val="fr-FR"/>
              </w:rPr>
              <w:t>’État</w:t>
            </w:r>
            <w:r w:rsidRPr="00BD6E98">
              <w:rPr>
                <w:sz w:val="22"/>
                <w:szCs w:val="22"/>
                <w:lang w:val="fr-FR"/>
              </w:rPr>
              <w:t xml:space="preserve"> des Affaires environnementales (</w:t>
            </w:r>
            <w:r w:rsidRPr="00BD6E98">
              <w:rPr>
                <w:i/>
                <w:sz w:val="22"/>
                <w:szCs w:val="22"/>
                <w:lang w:val="fr-FR"/>
              </w:rPr>
              <w:t>rappelant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BD6E98">
              <w:rPr>
                <w:i/>
                <w:sz w:val="22"/>
                <w:szCs w:val="22"/>
                <w:lang w:val="fr-FR"/>
              </w:rPr>
              <w:t>les rapports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BD6E98">
              <w:rPr>
                <w:i/>
                <w:sz w:val="22"/>
                <w:szCs w:val="22"/>
                <w:lang w:val="fr-FR"/>
              </w:rPr>
              <w:t>avancement en attente</w:t>
            </w:r>
            <w:r w:rsidRPr="00BD6E98">
              <w:rPr>
                <w:sz w:val="22"/>
                <w:szCs w:val="22"/>
                <w:lang w:val="fr-FR"/>
              </w:rPr>
              <w:t>)</w:t>
            </w:r>
            <w:r>
              <w:rPr>
                <w:sz w:val="22"/>
                <w:szCs w:val="22"/>
                <w:lang w:val="fr-FR"/>
              </w:rPr>
              <w:t> </w:t>
            </w:r>
            <w:r w:rsidRPr="00BD6E98">
              <w:rPr>
                <w:sz w:val="22"/>
                <w:szCs w:val="22"/>
                <w:lang w:val="fr-FR"/>
              </w:rPr>
              <w:t>;</w:t>
            </w:r>
          </w:p>
          <w:p w:rsidR="003A7BC0" w:rsidRPr="00BD6E98" w:rsidRDefault="003A7BC0" w:rsidP="003015DE">
            <w:pPr>
              <w:rPr>
                <w:lang w:val="fr-FR"/>
              </w:rPr>
            </w:pPr>
          </w:p>
        </w:tc>
      </w:tr>
      <w:tr w:rsidR="003A7BC0" w:rsidRPr="00A674BE" w:rsidTr="00814136">
        <w:tc>
          <w:tcPr>
            <w:tcW w:w="5000" w:type="pct"/>
            <w:gridSpan w:val="3"/>
          </w:tcPr>
          <w:p w:rsidR="003A7BC0" w:rsidRPr="00A674BE" w:rsidRDefault="001C6A7B" w:rsidP="00851849">
            <w:pPr>
              <w:rPr>
                <w:lang w:val="fr-FR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Mission(s) d</w:t>
            </w:r>
            <w:r w:rsidR="00851849">
              <w:rPr>
                <w:b/>
                <w:bCs/>
                <w:snapToGrid w:val="0"/>
                <w:sz w:val="22"/>
                <w:szCs w:val="22"/>
                <w:lang w:val="fr-FR"/>
              </w:rPr>
              <w:t>’</w:t>
            </w: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évaluation sur place :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23 février – 1</w:t>
            </w:r>
            <w:r>
              <w:rPr>
                <w:snapToGrid w:val="0"/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mars 2010, soutien financier apporté par le </w:t>
            </w:r>
            <w:r w:rsidR="00851849">
              <w:rPr>
                <w:snapToGrid w:val="0"/>
                <w:sz w:val="22"/>
                <w:szCs w:val="22"/>
                <w:lang w:val="fr-FR"/>
              </w:rPr>
              <w:t>g</w:t>
            </w:r>
            <w:r>
              <w:rPr>
                <w:snapToGrid w:val="0"/>
                <w:sz w:val="22"/>
                <w:szCs w:val="22"/>
                <w:lang w:val="fr-FR"/>
              </w:rPr>
              <w:t>ouvernement de l</w:t>
            </w:r>
            <w:r w:rsidR="00851849">
              <w:rPr>
                <w:snapToGrid w:val="0"/>
                <w:sz w:val="22"/>
                <w:szCs w:val="22"/>
                <w:lang w:val="fr-FR"/>
              </w:rPr>
              <w:t>’</w:t>
            </w:r>
            <w:r>
              <w:rPr>
                <w:snapToGrid w:val="0"/>
                <w:sz w:val="22"/>
                <w:szCs w:val="22"/>
                <w:lang w:val="fr-FR"/>
              </w:rPr>
              <w:t>Allemagne</w:t>
            </w:r>
          </w:p>
        </w:tc>
      </w:tr>
      <w:tr w:rsidR="003A7BC0" w:rsidRPr="00A674BE" w:rsidTr="00814136">
        <w:tc>
          <w:tcPr>
            <w:tcW w:w="5000" w:type="pct"/>
            <w:gridSpan w:val="3"/>
          </w:tcPr>
          <w:p w:rsidR="003A7BC0" w:rsidRPr="00A674BE" w:rsidRDefault="00BD6E98" w:rsidP="00F67532">
            <w:pPr>
              <w:rPr>
                <w:lang w:val="fr-FR"/>
              </w:rPr>
            </w:pPr>
            <w:r w:rsidRPr="00A674BE">
              <w:rPr>
                <w:b/>
                <w:sz w:val="22"/>
                <w:szCs w:val="22"/>
                <w:lang w:val="fr-FR"/>
              </w:rPr>
              <w:t xml:space="preserve">Rapport(s) de mission : </w:t>
            </w:r>
            <w:r w:rsidRPr="00A674BE">
              <w:rPr>
                <w:sz w:val="22"/>
                <w:szCs w:val="22"/>
                <w:lang w:val="fr-FR"/>
              </w:rPr>
              <w:t>24 mai 2010</w:t>
            </w:r>
            <w:r w:rsidRPr="00A674BE">
              <w:rPr>
                <w:b/>
                <w:sz w:val="22"/>
                <w:szCs w:val="22"/>
                <w:lang w:val="fr-FR"/>
              </w:rPr>
              <w:t xml:space="preserve"> </w:t>
            </w:r>
            <w:r w:rsidR="003A7BC0" w:rsidRPr="00A674BE">
              <w:rPr>
                <w:sz w:val="22"/>
                <w:szCs w:val="22"/>
                <w:lang w:val="fr-FR"/>
              </w:rPr>
              <w:t xml:space="preserve">- </w:t>
            </w:r>
            <w:hyperlink r:id="rId12" w:history="1">
              <w:r w:rsidR="00A81E87" w:rsidRPr="00A674BE">
                <w:rPr>
                  <w:rStyle w:val="Hyperlink"/>
                  <w:lang w:val="fr-FR"/>
                </w:rPr>
                <w:t>http://www.unep-aewa.org/sites/default/files/basic_page_documents/final_aewa_syria_irp_report.pdf</w:t>
              </w:r>
            </w:hyperlink>
            <w:r w:rsidR="00A81E87" w:rsidRPr="00A674BE">
              <w:rPr>
                <w:lang w:val="fr-FR"/>
              </w:rPr>
              <w:t xml:space="preserve"> </w:t>
            </w:r>
          </w:p>
          <w:p w:rsidR="003A7BC0" w:rsidRPr="00A674BE" w:rsidRDefault="003A7BC0" w:rsidP="00F67532">
            <w:pPr>
              <w:rPr>
                <w:lang w:val="fr-FR"/>
              </w:rPr>
            </w:pPr>
          </w:p>
        </w:tc>
      </w:tr>
      <w:tr w:rsidR="003A7BC0" w:rsidRPr="00A674BE" w:rsidTr="00814136">
        <w:tc>
          <w:tcPr>
            <w:tcW w:w="5000" w:type="pct"/>
            <w:gridSpan w:val="3"/>
          </w:tcPr>
          <w:p w:rsidR="003A7BC0" w:rsidRPr="00A674BE" w:rsidRDefault="001C6A7B" w:rsidP="00F67532">
            <w:pPr>
              <w:rPr>
                <w:lang w:val="fr-FR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Rapport(s) de la Partie :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Quatre rapports d</w:t>
            </w:r>
            <w:r w:rsidR="00851849">
              <w:rPr>
                <w:snapToGrid w:val="0"/>
                <w:sz w:val="22"/>
                <w:szCs w:val="22"/>
                <w:lang w:val="fr-FR"/>
              </w:rPr>
              <w:t>’</w:t>
            </w:r>
            <w:r>
              <w:rPr>
                <w:snapToGrid w:val="0"/>
                <w:sz w:val="22"/>
                <w:szCs w:val="22"/>
                <w:lang w:val="fr-FR"/>
              </w:rPr>
              <w:t>avancement en attente </w:t>
            </w:r>
          </w:p>
          <w:p w:rsidR="003A7BC0" w:rsidRPr="00A674BE" w:rsidRDefault="003A7BC0" w:rsidP="00F67532">
            <w:pPr>
              <w:rPr>
                <w:lang w:val="fr-FR"/>
              </w:rPr>
            </w:pPr>
          </w:p>
        </w:tc>
      </w:tr>
    </w:tbl>
    <w:p w:rsidR="003A7BC0" w:rsidRPr="00A674BE" w:rsidRDefault="003A7BC0">
      <w:pPr>
        <w:rPr>
          <w:lang w:val="fr-FR"/>
        </w:rPr>
      </w:pPr>
    </w:p>
    <w:p w:rsidR="001C6A7B" w:rsidRDefault="001C6A7B" w:rsidP="001C6A7B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Raison de l</w:t>
      </w:r>
      <w:r w:rsidR="00851849">
        <w:rPr>
          <w:b/>
          <w:bCs/>
          <w:sz w:val="22"/>
          <w:szCs w:val="22"/>
          <w:lang w:val="fr-FR"/>
        </w:rPr>
        <w:t>’</w:t>
      </w:r>
      <w:r>
        <w:rPr>
          <w:b/>
          <w:bCs/>
          <w:sz w:val="22"/>
          <w:szCs w:val="22"/>
          <w:lang w:val="fr-FR"/>
        </w:rPr>
        <w:t xml:space="preserve">ouverture de ce cas </w:t>
      </w:r>
    </w:p>
    <w:p w:rsidR="001C6A7B" w:rsidRDefault="001C6A7B" w:rsidP="001C6A7B">
      <w:pPr>
        <w:jc w:val="both"/>
        <w:rPr>
          <w:sz w:val="22"/>
          <w:szCs w:val="22"/>
          <w:lang w:val="fr-FR"/>
        </w:rPr>
      </w:pPr>
    </w:p>
    <w:p w:rsidR="001C6A7B" w:rsidRDefault="001C6A7B" w:rsidP="001C6A7B">
      <w:pPr>
        <w:jc w:val="both"/>
        <w:rPr>
          <w:lang w:val="fr-FR"/>
        </w:rPr>
      </w:pPr>
      <w:r>
        <w:rPr>
          <w:sz w:val="22"/>
          <w:szCs w:val="22"/>
          <w:lang w:val="fr-FR"/>
        </w:rPr>
        <w:t>Fin août 2009, le Secrétariat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 a reçu une fiche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information sur un cas possible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 xml:space="preserve">IRP du Secrétariat de BirdLife International pour le Moyen-Orient. Le problème en question était le risque élevé </w:t>
      </w:r>
      <w:r w:rsidR="00B00BBA">
        <w:rPr>
          <w:sz w:val="22"/>
          <w:szCs w:val="22"/>
          <w:lang w:val="fr-FR"/>
        </w:rPr>
        <w:t xml:space="preserve">en Syrie </w:t>
      </w:r>
      <w:r>
        <w:rPr>
          <w:sz w:val="22"/>
          <w:szCs w:val="22"/>
          <w:lang w:val="fr-FR"/>
        </w:rPr>
        <w:t>de la chasse illégale du Vanneau sociable (</w:t>
      </w:r>
      <w:r>
        <w:rPr>
          <w:i/>
          <w:iCs/>
          <w:sz w:val="22"/>
          <w:szCs w:val="22"/>
          <w:lang w:val="fr-FR"/>
        </w:rPr>
        <w:t>Vanellus gregarius</w:t>
      </w:r>
      <w:r>
        <w:rPr>
          <w:sz w:val="22"/>
          <w:szCs w:val="22"/>
          <w:lang w:val="fr-FR"/>
        </w:rPr>
        <w:t xml:space="preserve">), espèce </w:t>
      </w:r>
      <w:r w:rsidR="00A6067A">
        <w:rPr>
          <w:sz w:val="22"/>
          <w:szCs w:val="22"/>
          <w:lang w:val="fr-FR"/>
        </w:rPr>
        <w:t>en danger critique d’extinction</w:t>
      </w:r>
      <w:r>
        <w:rPr>
          <w:sz w:val="22"/>
          <w:szCs w:val="22"/>
          <w:lang w:val="fr-FR"/>
        </w:rPr>
        <w:t>.</w:t>
      </w:r>
      <w:r w:rsidR="002B2B8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Depuis la découverte, en 2007, de larges concentrations de </w:t>
      </w:r>
      <w:r w:rsidR="00B00BBA">
        <w:rPr>
          <w:sz w:val="22"/>
          <w:szCs w:val="22"/>
          <w:lang w:val="fr-FR"/>
        </w:rPr>
        <w:t>v</w:t>
      </w:r>
      <w:r>
        <w:rPr>
          <w:sz w:val="22"/>
          <w:szCs w:val="22"/>
          <w:lang w:val="fr-FR"/>
        </w:rPr>
        <w:t>anneaux sociables transitant pendant leur migration au nord de la Syrie, plusieurs incidents de chasse ont été signalés</w:t>
      </w:r>
      <w:r w:rsidR="00A6067A">
        <w:rPr>
          <w:sz w:val="22"/>
          <w:szCs w:val="22"/>
          <w:lang w:val="fr-FR"/>
        </w:rPr>
        <w:t>, dont on ignore l’impact exact</w:t>
      </w:r>
      <w:r>
        <w:rPr>
          <w:sz w:val="22"/>
          <w:szCs w:val="22"/>
          <w:lang w:val="fr-FR"/>
        </w:rPr>
        <w:t>. Les rapports ont fait état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 xml:space="preserve">au moins 150 </w:t>
      </w:r>
      <w:r w:rsidR="00B00BBA">
        <w:rPr>
          <w:sz w:val="22"/>
          <w:szCs w:val="22"/>
          <w:lang w:val="fr-FR"/>
        </w:rPr>
        <w:t>v</w:t>
      </w:r>
      <w:r>
        <w:rPr>
          <w:sz w:val="22"/>
          <w:szCs w:val="22"/>
          <w:lang w:val="fr-FR"/>
        </w:rPr>
        <w:t>anneaux sociables qui, sur un seul site, auraient été victimes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 xml:space="preserve">une chasse intensive au printemps 2009. </w:t>
      </w:r>
    </w:p>
    <w:p w:rsidR="00B00BBA" w:rsidRDefault="00B00BBA" w:rsidP="001C6A7B">
      <w:pPr>
        <w:jc w:val="both"/>
        <w:rPr>
          <w:b/>
          <w:bCs/>
          <w:sz w:val="22"/>
          <w:szCs w:val="22"/>
          <w:lang w:val="fr-FR"/>
        </w:rPr>
      </w:pPr>
    </w:p>
    <w:p w:rsidR="00B00BBA" w:rsidRDefault="00B00BBA" w:rsidP="001C6A7B">
      <w:pPr>
        <w:jc w:val="both"/>
        <w:rPr>
          <w:b/>
          <w:bCs/>
          <w:sz w:val="22"/>
          <w:szCs w:val="22"/>
          <w:lang w:val="fr-FR"/>
        </w:rPr>
      </w:pPr>
    </w:p>
    <w:p w:rsidR="001C6A7B" w:rsidRDefault="001C6A7B" w:rsidP="001C6A7B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lastRenderedPageBreak/>
        <w:t>Consultations</w:t>
      </w:r>
    </w:p>
    <w:p w:rsidR="001C6A7B" w:rsidRDefault="001C6A7B" w:rsidP="001C6A7B">
      <w:pPr>
        <w:jc w:val="both"/>
        <w:rPr>
          <w:b/>
          <w:bCs/>
          <w:sz w:val="22"/>
          <w:szCs w:val="22"/>
          <w:lang w:val="fr-FR"/>
        </w:rPr>
      </w:pPr>
    </w:p>
    <w:p w:rsidR="001C6A7B" w:rsidRDefault="001C6A7B" w:rsidP="001C6A7B">
      <w:pPr>
        <w:jc w:val="both"/>
        <w:rPr>
          <w:snapToGrid w:val="0"/>
          <w:sz w:val="22"/>
          <w:szCs w:val="22"/>
          <w:lang w:val="fr-FR"/>
        </w:rPr>
      </w:pPr>
      <w:r>
        <w:rPr>
          <w:snapToGrid w:val="0"/>
          <w:sz w:val="22"/>
          <w:szCs w:val="22"/>
          <w:lang w:val="fr-FR"/>
        </w:rPr>
        <w:t xml:space="preserve">Le Secrétariat a </w:t>
      </w:r>
      <w:r w:rsidR="002B2B8E">
        <w:rPr>
          <w:snapToGrid w:val="0"/>
          <w:sz w:val="22"/>
          <w:szCs w:val="22"/>
          <w:lang w:val="fr-FR"/>
        </w:rPr>
        <w:t>télécharg</w:t>
      </w:r>
      <w:r>
        <w:rPr>
          <w:snapToGrid w:val="0"/>
          <w:sz w:val="22"/>
          <w:szCs w:val="22"/>
          <w:lang w:val="fr-FR"/>
        </w:rPr>
        <w:t>é la fiche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information sur l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espace de travail du Comité technique (TC) et demandé à ce dernier des conseils afin de les transmettre au Comité permanent (StC). Le TC a recommandé d</w:t>
      </w:r>
      <w:r w:rsidR="00851849">
        <w:rPr>
          <w:snapToGrid w:val="0"/>
          <w:sz w:val="22"/>
          <w:szCs w:val="22"/>
          <w:lang w:val="fr-FR"/>
        </w:rPr>
        <w:t>’</w:t>
      </w:r>
      <w:r w:rsidR="00151639">
        <w:rPr>
          <w:snapToGrid w:val="0"/>
          <w:sz w:val="22"/>
          <w:szCs w:val="22"/>
          <w:lang w:val="fr-FR"/>
        </w:rPr>
        <w:t>engager une procédure</w:t>
      </w:r>
      <w:r>
        <w:rPr>
          <w:snapToGrid w:val="0"/>
          <w:sz w:val="22"/>
          <w:szCs w:val="22"/>
          <w:lang w:val="fr-FR"/>
        </w:rPr>
        <w:t xml:space="preserve"> IRP. Suivant ce conseil et sur la base de sa propre évaluation des informations fournies, le StC a décidé d</w:t>
      </w:r>
      <w:r w:rsidR="00851849">
        <w:rPr>
          <w:snapToGrid w:val="0"/>
          <w:sz w:val="22"/>
          <w:szCs w:val="22"/>
          <w:lang w:val="fr-FR"/>
        </w:rPr>
        <w:t>’</w:t>
      </w:r>
      <w:r w:rsidR="00AC31F4">
        <w:rPr>
          <w:snapToGrid w:val="0"/>
          <w:sz w:val="22"/>
          <w:szCs w:val="22"/>
          <w:lang w:val="fr-FR"/>
        </w:rPr>
        <w:t>engager</w:t>
      </w:r>
      <w:r>
        <w:rPr>
          <w:snapToGrid w:val="0"/>
          <w:sz w:val="22"/>
          <w:szCs w:val="22"/>
          <w:lang w:val="fr-FR"/>
        </w:rPr>
        <w:t xml:space="preserve"> un</w:t>
      </w:r>
      <w:r w:rsidR="00CA1FA9">
        <w:rPr>
          <w:snapToGrid w:val="0"/>
          <w:sz w:val="22"/>
          <w:szCs w:val="22"/>
          <w:lang w:val="fr-FR"/>
        </w:rPr>
        <w:t xml:space="preserve">e procédure </w:t>
      </w:r>
      <w:r>
        <w:rPr>
          <w:snapToGrid w:val="0"/>
          <w:sz w:val="22"/>
          <w:szCs w:val="22"/>
          <w:lang w:val="fr-FR"/>
        </w:rPr>
        <w:t>fin septembre 2009</w:t>
      </w:r>
    </w:p>
    <w:p w:rsidR="001C6A7B" w:rsidRDefault="001C6A7B" w:rsidP="001C6A7B">
      <w:pPr>
        <w:jc w:val="both"/>
        <w:rPr>
          <w:snapToGrid w:val="0"/>
          <w:sz w:val="22"/>
          <w:szCs w:val="22"/>
          <w:lang w:val="fr-FR"/>
        </w:rPr>
      </w:pPr>
    </w:p>
    <w:p w:rsidR="003A7BC0" w:rsidRPr="00EA0472" w:rsidRDefault="003A7BC0" w:rsidP="001C6A7B">
      <w:pPr>
        <w:jc w:val="both"/>
        <w:rPr>
          <w:b/>
          <w:sz w:val="22"/>
          <w:szCs w:val="22"/>
          <w:lang w:val="fr-FR"/>
        </w:rPr>
      </w:pPr>
      <w:r w:rsidRPr="00EA0472">
        <w:rPr>
          <w:b/>
          <w:sz w:val="22"/>
          <w:szCs w:val="22"/>
          <w:lang w:val="fr-FR"/>
        </w:rPr>
        <w:t>Actions</w:t>
      </w:r>
      <w:r w:rsidR="008E615F" w:rsidRPr="00EA0472">
        <w:rPr>
          <w:b/>
          <w:sz w:val="22"/>
          <w:szCs w:val="22"/>
          <w:lang w:val="fr-FR"/>
        </w:rPr>
        <w:t xml:space="preserve"> (2009-2012</w:t>
      </w:r>
      <w:r w:rsidR="004B35CB" w:rsidRPr="00EA0472">
        <w:rPr>
          <w:b/>
          <w:sz w:val="22"/>
          <w:szCs w:val="22"/>
          <w:lang w:val="fr-FR"/>
        </w:rPr>
        <w:t xml:space="preserve"> </w:t>
      </w:r>
      <w:r w:rsidR="001C6A7B" w:rsidRPr="00EA0472">
        <w:rPr>
          <w:b/>
          <w:sz w:val="22"/>
          <w:szCs w:val="22"/>
          <w:lang w:val="fr-FR"/>
        </w:rPr>
        <w:t>jusqu</w:t>
      </w:r>
      <w:r w:rsidR="00851849" w:rsidRPr="00EA0472">
        <w:rPr>
          <w:b/>
          <w:sz w:val="22"/>
          <w:szCs w:val="22"/>
          <w:lang w:val="fr-FR"/>
        </w:rPr>
        <w:t>’</w:t>
      </w:r>
      <w:r w:rsidR="001C6A7B" w:rsidRPr="00EA0472">
        <w:rPr>
          <w:b/>
          <w:sz w:val="22"/>
          <w:szCs w:val="22"/>
          <w:lang w:val="fr-FR"/>
        </w:rPr>
        <w:t>à la</w:t>
      </w:r>
      <w:r w:rsidR="004B35CB" w:rsidRPr="00EA0472">
        <w:rPr>
          <w:b/>
          <w:sz w:val="22"/>
          <w:szCs w:val="22"/>
          <w:lang w:val="fr-FR"/>
        </w:rPr>
        <w:t xml:space="preserve"> MOP5</w:t>
      </w:r>
      <w:r w:rsidR="008E615F" w:rsidRPr="00EA0472">
        <w:rPr>
          <w:b/>
          <w:sz w:val="22"/>
          <w:szCs w:val="22"/>
          <w:lang w:val="fr-FR"/>
        </w:rPr>
        <w:t>)</w:t>
      </w:r>
    </w:p>
    <w:p w:rsidR="003A7BC0" w:rsidRPr="00EA0472" w:rsidRDefault="003A7BC0" w:rsidP="00BE76D2">
      <w:pPr>
        <w:jc w:val="both"/>
        <w:rPr>
          <w:sz w:val="22"/>
          <w:szCs w:val="22"/>
          <w:lang w:val="fr-FR"/>
        </w:rPr>
      </w:pPr>
    </w:p>
    <w:p w:rsidR="00E6222A" w:rsidRDefault="00E6222A" w:rsidP="00E6222A">
      <w:pPr>
        <w:jc w:val="both"/>
        <w:rPr>
          <w:lang w:val="fr-FR"/>
        </w:rPr>
      </w:pPr>
      <w:r>
        <w:rPr>
          <w:sz w:val="22"/>
          <w:szCs w:val="22"/>
          <w:lang w:val="fr-FR"/>
        </w:rPr>
        <w:t>Le 1</w:t>
      </w:r>
      <w:r>
        <w:rPr>
          <w:sz w:val="22"/>
          <w:szCs w:val="22"/>
          <w:vertAlign w:val="superscript"/>
          <w:lang w:val="fr-FR"/>
        </w:rPr>
        <w:t>er</w:t>
      </w:r>
      <w:r>
        <w:rPr>
          <w:sz w:val="22"/>
          <w:szCs w:val="22"/>
          <w:lang w:val="fr-FR"/>
        </w:rPr>
        <w:t xml:space="preserve"> octobre 2009, le Secrétaire exécutif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AEWA, M. Bert Lenten</w:t>
      </w:r>
      <w:r w:rsidR="00B00BBA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a envoyé au nom du StC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 une lettre à</w:t>
      </w:r>
      <w:r w:rsidR="00A6067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  <w:r w:rsidR="00A6067A">
        <w:rPr>
          <w:sz w:val="22"/>
          <w:szCs w:val="22"/>
          <w:lang w:val="fr-FR"/>
        </w:rPr>
        <w:t>M. Kawkab</w:t>
      </w:r>
      <w:r>
        <w:rPr>
          <w:sz w:val="22"/>
          <w:szCs w:val="22"/>
          <w:lang w:val="fr-FR"/>
        </w:rPr>
        <w:t xml:space="preserve"> Dayeh, Ministre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État syrien des Affaires environnementales, présentant la question</w:t>
      </w:r>
      <w:r w:rsidR="00A6067A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faisant part de la décision du StC d</w:t>
      </w:r>
      <w:r w:rsidR="00851849">
        <w:rPr>
          <w:sz w:val="22"/>
          <w:szCs w:val="22"/>
          <w:lang w:val="fr-FR"/>
        </w:rPr>
        <w:t>’</w:t>
      </w:r>
      <w:r w:rsidR="00151639">
        <w:rPr>
          <w:sz w:val="22"/>
          <w:szCs w:val="22"/>
          <w:lang w:val="fr-FR"/>
        </w:rPr>
        <w:t>engager une procédure</w:t>
      </w:r>
      <w:r>
        <w:rPr>
          <w:sz w:val="22"/>
          <w:szCs w:val="22"/>
          <w:lang w:val="fr-FR"/>
        </w:rPr>
        <w:t xml:space="preserve"> et proposant une mission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évaluation sur place. Le Ministre a répondu le 15 décembre 2009 en acceptant la mission. En consultation avec le TC, le Secrétariat a rédigé le</w:t>
      </w:r>
      <w:r w:rsidR="00B00BBA">
        <w:rPr>
          <w:sz w:val="22"/>
          <w:szCs w:val="22"/>
          <w:lang w:val="fr-FR"/>
        </w:rPr>
        <w:t>s termes de référence de</w:t>
      </w:r>
      <w:r>
        <w:rPr>
          <w:sz w:val="22"/>
          <w:szCs w:val="22"/>
          <w:lang w:val="fr-FR"/>
        </w:rPr>
        <w:t xml:space="preserve"> la mission. Ce</w:t>
      </w:r>
      <w:r w:rsidR="00B00BBA">
        <w:rPr>
          <w:sz w:val="22"/>
          <w:szCs w:val="22"/>
          <w:lang w:val="fr-FR"/>
        </w:rPr>
        <w:t xml:space="preserve">ux-ci ont </w:t>
      </w:r>
      <w:r>
        <w:rPr>
          <w:sz w:val="22"/>
          <w:szCs w:val="22"/>
          <w:lang w:val="fr-FR"/>
        </w:rPr>
        <w:t>été finalisé</w:t>
      </w:r>
      <w:r w:rsidR="00B00BBA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et </w:t>
      </w:r>
      <w:r w:rsidR="00B00BBA">
        <w:rPr>
          <w:sz w:val="22"/>
          <w:szCs w:val="22"/>
          <w:lang w:val="fr-FR"/>
        </w:rPr>
        <w:t>ont</w:t>
      </w:r>
      <w:r>
        <w:rPr>
          <w:sz w:val="22"/>
          <w:szCs w:val="22"/>
          <w:lang w:val="fr-FR"/>
        </w:rPr>
        <w:t xml:space="preserve"> fait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objet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un accord entre le Secrétariat et le Ministère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État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Environnement. Le 28 décembre 2009, le Secrétaire exécutif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 xml:space="preserve">AEWA a confirmé la mission, les dates et </w:t>
      </w:r>
      <w:r w:rsidR="00B00BBA">
        <w:rPr>
          <w:sz w:val="22"/>
          <w:szCs w:val="22"/>
          <w:lang w:val="fr-FR"/>
        </w:rPr>
        <w:t>les termes de références convenus</w:t>
      </w:r>
      <w:r>
        <w:rPr>
          <w:sz w:val="22"/>
          <w:szCs w:val="22"/>
          <w:lang w:val="fr-FR"/>
        </w:rPr>
        <w:t xml:space="preserve"> au </w:t>
      </w:r>
      <w:r w:rsidR="00B00BBA">
        <w:rPr>
          <w:sz w:val="22"/>
          <w:szCs w:val="22"/>
          <w:lang w:val="fr-FR"/>
        </w:rPr>
        <w:t>Ministre</w:t>
      </w:r>
      <w:r>
        <w:rPr>
          <w:sz w:val="22"/>
          <w:szCs w:val="22"/>
          <w:lang w:val="fr-FR"/>
        </w:rPr>
        <w:t>.</w:t>
      </w:r>
      <w:r w:rsidR="002B2B8E">
        <w:rPr>
          <w:sz w:val="22"/>
          <w:szCs w:val="22"/>
          <w:lang w:val="fr-FR"/>
        </w:rPr>
        <w:t xml:space="preserve"> </w:t>
      </w:r>
    </w:p>
    <w:p w:rsidR="00E6222A" w:rsidRDefault="00A6067A" w:rsidP="00E6222A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E6222A" w:rsidRDefault="00E6222A" w:rsidP="00E6222A">
      <w:pPr>
        <w:jc w:val="both"/>
        <w:rPr>
          <w:lang w:val="fr-FR"/>
        </w:rPr>
      </w:pPr>
      <w:r>
        <w:rPr>
          <w:sz w:val="22"/>
          <w:szCs w:val="22"/>
          <w:lang w:val="fr-FR"/>
        </w:rPr>
        <w:t>La mission sur place a eu lieu du 23 février au 1</w:t>
      </w:r>
      <w:r>
        <w:rPr>
          <w:sz w:val="22"/>
          <w:szCs w:val="22"/>
          <w:vertAlign w:val="superscript"/>
          <w:lang w:val="fr-FR"/>
        </w:rPr>
        <w:t>er</w:t>
      </w:r>
      <w:r>
        <w:rPr>
          <w:sz w:val="22"/>
          <w:szCs w:val="22"/>
          <w:lang w:val="fr-FR"/>
        </w:rPr>
        <w:t xml:space="preserve"> mars 2010, avec </w:t>
      </w:r>
      <w:r w:rsidR="00A6067A">
        <w:rPr>
          <w:sz w:val="22"/>
          <w:szCs w:val="22"/>
          <w:lang w:val="fr-FR"/>
        </w:rPr>
        <w:t>le</w:t>
      </w:r>
      <w:r>
        <w:rPr>
          <w:sz w:val="22"/>
          <w:szCs w:val="22"/>
          <w:lang w:val="fr-FR"/>
        </w:rPr>
        <w:t xml:space="preserve"> soutien financier du gouvernement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Allemagne. Les membres de la mission internationale étaient M. Sergey Dereliev (</w:t>
      </w:r>
      <w:r w:rsidR="00B00BBA">
        <w:rPr>
          <w:sz w:val="22"/>
          <w:szCs w:val="22"/>
          <w:lang w:val="fr-FR"/>
        </w:rPr>
        <w:t>Secrétariat</w:t>
      </w:r>
      <w:r>
        <w:rPr>
          <w:sz w:val="22"/>
          <w:szCs w:val="22"/>
          <w:lang w:val="fr-FR"/>
        </w:rPr>
        <w:t xml:space="preserve"> PNUE/</w:t>
      </w:r>
      <w:r w:rsidR="002B2B8E">
        <w:rPr>
          <w:sz w:val="22"/>
          <w:szCs w:val="22"/>
          <w:lang w:val="fr-FR"/>
        </w:rPr>
        <w:t>AEWA)</w:t>
      </w:r>
      <w:r>
        <w:rPr>
          <w:sz w:val="22"/>
          <w:szCs w:val="22"/>
          <w:lang w:val="fr-FR"/>
        </w:rPr>
        <w:t>, M. Sharif Jbour (Secrétariat de BirdLife International pour le Moyen-Orient), M. Tim Jones (consultant au Secrétariat PNUE/AEWA) et M. Robert Sheldon (Société royale pour la Protection des Oiseaux/BirdLife Royaume-Uni). Un rapport de mission détaillé</w:t>
      </w:r>
      <w:r w:rsidR="00A6067A">
        <w:rPr>
          <w:sz w:val="22"/>
          <w:szCs w:val="22"/>
          <w:lang w:val="fr-FR"/>
        </w:rPr>
        <w:t>, assorti de</w:t>
      </w:r>
      <w:r>
        <w:rPr>
          <w:sz w:val="22"/>
          <w:szCs w:val="22"/>
          <w:lang w:val="fr-FR"/>
        </w:rPr>
        <w:t xml:space="preserve"> recommandations</w:t>
      </w:r>
      <w:r w:rsidR="00A6067A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est disponible sur le site Web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 à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adresse ci-dessus.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 xml:space="preserve">avant-projet </w:t>
      </w:r>
      <w:r w:rsidR="00A6067A">
        <w:rPr>
          <w:sz w:val="22"/>
          <w:szCs w:val="22"/>
          <w:lang w:val="fr-FR"/>
        </w:rPr>
        <w:t>de</w:t>
      </w:r>
      <w:r>
        <w:rPr>
          <w:sz w:val="22"/>
          <w:szCs w:val="22"/>
          <w:lang w:val="fr-FR"/>
        </w:rPr>
        <w:t xml:space="preserve"> rapport de mission a été envoyé au </w:t>
      </w:r>
      <w:r w:rsidR="00B00BBA">
        <w:rPr>
          <w:sz w:val="22"/>
          <w:szCs w:val="22"/>
          <w:lang w:val="fr-FR"/>
        </w:rPr>
        <w:t>Ministre</w:t>
      </w:r>
      <w:r>
        <w:rPr>
          <w:sz w:val="22"/>
          <w:szCs w:val="22"/>
          <w:lang w:val="fr-FR"/>
        </w:rPr>
        <w:t xml:space="preserve"> le 14 avril 2010 par le Secrétaire exécutif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AEWA, invitant son destinataire à faire part de ses commentaires. Le rapport a été finalisé le 24 mai 2010.</w:t>
      </w:r>
    </w:p>
    <w:p w:rsidR="00E6222A" w:rsidRDefault="00E6222A" w:rsidP="00E6222A">
      <w:pPr>
        <w:jc w:val="both"/>
        <w:rPr>
          <w:sz w:val="22"/>
          <w:szCs w:val="22"/>
          <w:lang w:val="fr-FR"/>
        </w:rPr>
      </w:pPr>
    </w:p>
    <w:p w:rsidR="00E6222A" w:rsidRDefault="00E6222A" w:rsidP="00E6222A">
      <w:pPr>
        <w:jc w:val="both"/>
        <w:rPr>
          <w:lang w:val="fr-FR"/>
        </w:rPr>
      </w:pPr>
      <w:r>
        <w:rPr>
          <w:sz w:val="22"/>
          <w:szCs w:val="22"/>
          <w:lang w:val="fr-FR"/>
        </w:rPr>
        <w:t>À sa 6</w:t>
      </w:r>
      <w:r>
        <w:rPr>
          <w:sz w:val="22"/>
          <w:szCs w:val="22"/>
          <w:vertAlign w:val="superscript"/>
          <w:lang w:val="fr-FR"/>
        </w:rPr>
        <w:t>ème</w:t>
      </w:r>
      <w:r>
        <w:rPr>
          <w:sz w:val="22"/>
          <w:szCs w:val="22"/>
          <w:lang w:val="fr-FR"/>
        </w:rPr>
        <w:t xml:space="preserve"> réunion (16-17 juin 2010), le StC a examiné le rapport de mission et approuvé les recommandations formulées pour qu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 xml:space="preserve">elles soient communiquées au </w:t>
      </w:r>
      <w:r w:rsidR="00B00BBA">
        <w:rPr>
          <w:sz w:val="22"/>
          <w:szCs w:val="22"/>
          <w:lang w:val="fr-FR"/>
        </w:rPr>
        <w:t>g</w:t>
      </w:r>
      <w:r>
        <w:rPr>
          <w:sz w:val="22"/>
          <w:szCs w:val="22"/>
          <w:lang w:val="fr-FR"/>
        </w:rPr>
        <w:t>ouvernement de la Syrie. Le 3 août 2010, le Président du Comité permanent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AEWA, M. Øystein Størkersen, a envoyé une lettre au Ministre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État des Affaires environnementales, faisant suivre le rapport de mission et ses recommandations ainsi qu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une demande de présentation de rapports sur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avancement de la mise en œuvre des recommandations, ceci deux fois par an après chaque période de migration (mai et décembre).</w:t>
      </w:r>
    </w:p>
    <w:p w:rsidR="00E6222A" w:rsidRDefault="00E6222A" w:rsidP="00E6222A">
      <w:pPr>
        <w:jc w:val="both"/>
        <w:rPr>
          <w:sz w:val="22"/>
          <w:szCs w:val="22"/>
          <w:lang w:val="fr-FR"/>
        </w:rPr>
      </w:pPr>
    </w:p>
    <w:p w:rsidR="00E6222A" w:rsidRDefault="00E6222A" w:rsidP="00E6222A">
      <w:pPr>
        <w:jc w:val="both"/>
        <w:rPr>
          <w:lang w:val="fr-FR"/>
        </w:rPr>
      </w:pPr>
      <w:r>
        <w:rPr>
          <w:sz w:val="22"/>
          <w:szCs w:val="22"/>
          <w:lang w:val="fr-FR"/>
        </w:rPr>
        <w:t>Des informations non officielles ont fait état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activités entreprises en Syrie pour mettre en œuvre les recommandations. Il s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est toutefois avéré difficile pour le Secrétariat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obtenir des rapports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avancement à soumettre au StC. À sa 7</w:t>
      </w:r>
      <w:r>
        <w:rPr>
          <w:sz w:val="22"/>
          <w:szCs w:val="22"/>
          <w:vertAlign w:val="superscript"/>
          <w:lang w:val="fr-FR"/>
        </w:rPr>
        <w:t>ème</w:t>
      </w:r>
      <w:r>
        <w:rPr>
          <w:sz w:val="22"/>
          <w:szCs w:val="22"/>
          <w:lang w:val="fr-FR"/>
        </w:rPr>
        <w:t xml:space="preserve"> réunion (26-27 novembre 2011), le StC a décidé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envoyer un rappel au Ministre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État des Affaires environnementales et de demander qu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un rapport consolidé couvrant les deux dernières années soit soumis avant la MOP5.</w:t>
      </w:r>
    </w:p>
    <w:p w:rsidR="00E6222A" w:rsidRDefault="00E6222A" w:rsidP="00E6222A">
      <w:pPr>
        <w:jc w:val="both"/>
        <w:rPr>
          <w:sz w:val="22"/>
          <w:szCs w:val="22"/>
          <w:lang w:val="fr-FR"/>
        </w:rPr>
      </w:pPr>
    </w:p>
    <w:p w:rsidR="003A7BC0" w:rsidRPr="00A674BE" w:rsidRDefault="00E6222A" w:rsidP="00E6222A">
      <w:pPr>
        <w:jc w:val="both"/>
        <w:rPr>
          <w:sz w:val="22"/>
          <w:szCs w:val="22"/>
          <w:lang w:val="fr-FR"/>
        </w:rPr>
      </w:pPr>
      <w:r>
        <w:rPr>
          <w:snapToGrid w:val="0"/>
          <w:sz w:val="22"/>
          <w:szCs w:val="22"/>
          <w:lang w:val="fr-FR"/>
        </w:rPr>
        <w:t>Le 22 février 2012, le Président du StC a envoyé une lettre au Ministre, l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invitant à soumettre un rapport consolidé avant le 13 avril 2012</w:t>
      </w:r>
      <w:r w:rsidR="003A7BC0" w:rsidRPr="00A674BE">
        <w:rPr>
          <w:sz w:val="22"/>
          <w:szCs w:val="22"/>
          <w:lang w:val="fr-FR"/>
        </w:rPr>
        <w:t>.</w:t>
      </w:r>
    </w:p>
    <w:p w:rsidR="008E615F" w:rsidRPr="00A674BE" w:rsidRDefault="008E615F" w:rsidP="00F42365">
      <w:pPr>
        <w:jc w:val="both"/>
        <w:rPr>
          <w:sz w:val="22"/>
          <w:szCs w:val="22"/>
          <w:lang w:val="fr-FR"/>
        </w:rPr>
      </w:pPr>
    </w:p>
    <w:p w:rsidR="008E615F" w:rsidRPr="00A674BE" w:rsidRDefault="008E615F" w:rsidP="008E615F">
      <w:pPr>
        <w:jc w:val="both"/>
        <w:rPr>
          <w:b/>
          <w:sz w:val="22"/>
          <w:szCs w:val="22"/>
          <w:lang w:val="fr-FR"/>
        </w:rPr>
      </w:pPr>
      <w:r w:rsidRPr="00A674BE">
        <w:rPr>
          <w:b/>
          <w:sz w:val="22"/>
          <w:szCs w:val="22"/>
          <w:lang w:val="fr-FR"/>
        </w:rPr>
        <w:t>Actions (2012-2015)</w:t>
      </w:r>
    </w:p>
    <w:p w:rsidR="008E615F" w:rsidRPr="00A674BE" w:rsidRDefault="008E615F" w:rsidP="008E615F">
      <w:pPr>
        <w:jc w:val="both"/>
        <w:rPr>
          <w:b/>
          <w:sz w:val="22"/>
          <w:szCs w:val="22"/>
          <w:lang w:val="fr-FR"/>
        </w:rPr>
      </w:pPr>
    </w:p>
    <w:p w:rsidR="008E615F" w:rsidRPr="00F14E7C" w:rsidRDefault="008E615F" w:rsidP="008E615F">
      <w:pPr>
        <w:jc w:val="both"/>
        <w:rPr>
          <w:sz w:val="22"/>
          <w:szCs w:val="22"/>
          <w:lang w:val="fr-FR"/>
        </w:rPr>
      </w:pPr>
      <w:r w:rsidRPr="00F14E7C">
        <w:rPr>
          <w:sz w:val="22"/>
          <w:szCs w:val="22"/>
          <w:lang w:val="fr-FR"/>
        </w:rPr>
        <w:t>Du</w:t>
      </w:r>
      <w:r w:rsidR="00F14E7C">
        <w:rPr>
          <w:sz w:val="22"/>
          <w:szCs w:val="22"/>
          <w:lang w:val="fr-FR"/>
        </w:rPr>
        <w:t xml:space="preserve"> fait de la situation politique extrêmement complexe en Syrie, le Comité permanent a décidé de mettre ce cas d</w:t>
      </w:r>
      <w:r w:rsidR="00851849">
        <w:rPr>
          <w:sz w:val="22"/>
          <w:szCs w:val="22"/>
          <w:lang w:val="fr-FR"/>
        </w:rPr>
        <w:t>’</w:t>
      </w:r>
      <w:r w:rsidR="00F14E7C">
        <w:rPr>
          <w:sz w:val="22"/>
          <w:szCs w:val="22"/>
          <w:lang w:val="fr-FR"/>
        </w:rPr>
        <w:t>IRP en attente et aucune action n</w:t>
      </w:r>
      <w:r w:rsidR="00851849">
        <w:rPr>
          <w:sz w:val="22"/>
          <w:szCs w:val="22"/>
          <w:lang w:val="fr-FR"/>
        </w:rPr>
        <w:t>’</w:t>
      </w:r>
      <w:r w:rsidR="00F14E7C">
        <w:rPr>
          <w:sz w:val="22"/>
          <w:szCs w:val="22"/>
          <w:lang w:val="fr-FR"/>
        </w:rPr>
        <w:t xml:space="preserve">a </w:t>
      </w:r>
      <w:r w:rsidR="00645753">
        <w:rPr>
          <w:sz w:val="22"/>
          <w:szCs w:val="22"/>
          <w:lang w:val="fr-FR"/>
        </w:rPr>
        <w:t>été</w:t>
      </w:r>
      <w:r w:rsidR="00F14E7C">
        <w:rPr>
          <w:sz w:val="22"/>
          <w:szCs w:val="22"/>
          <w:lang w:val="fr-FR"/>
        </w:rPr>
        <w:t xml:space="preserve"> </w:t>
      </w:r>
      <w:r w:rsidR="00645753">
        <w:rPr>
          <w:sz w:val="22"/>
          <w:szCs w:val="22"/>
          <w:lang w:val="fr-FR"/>
        </w:rPr>
        <w:t xml:space="preserve">entreprise </w:t>
      </w:r>
      <w:r w:rsidR="00F14E7C">
        <w:rPr>
          <w:sz w:val="22"/>
          <w:szCs w:val="22"/>
          <w:lang w:val="fr-FR"/>
        </w:rPr>
        <w:t xml:space="preserve">depuis la </w:t>
      </w:r>
      <w:r w:rsidRPr="00F14E7C">
        <w:rPr>
          <w:sz w:val="22"/>
          <w:szCs w:val="22"/>
          <w:lang w:val="fr-FR"/>
        </w:rPr>
        <w:t xml:space="preserve">MOP5. </w:t>
      </w:r>
    </w:p>
    <w:p w:rsidR="008E615F" w:rsidRPr="00A674BE" w:rsidRDefault="008E615F" w:rsidP="00F42365">
      <w:pPr>
        <w:jc w:val="both"/>
        <w:rPr>
          <w:sz w:val="22"/>
          <w:szCs w:val="22"/>
          <w:lang w:val="fr-FR"/>
        </w:rPr>
      </w:pPr>
    </w:p>
    <w:p w:rsidR="003A7BC0" w:rsidRPr="00A674BE" w:rsidRDefault="003A7BC0" w:rsidP="00071098">
      <w:pPr>
        <w:pageBreakBefore/>
        <w:jc w:val="both"/>
        <w:rPr>
          <w:sz w:val="22"/>
          <w:szCs w:val="22"/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1"/>
        <w:gridCol w:w="3210"/>
        <w:gridCol w:w="3208"/>
      </w:tblGrid>
      <w:tr w:rsidR="003A7BC0" w:rsidRPr="00A674BE" w:rsidTr="00F14E7C">
        <w:trPr>
          <w:trHeight w:val="731"/>
        </w:trPr>
        <w:tc>
          <w:tcPr>
            <w:tcW w:w="1667" w:type="pct"/>
          </w:tcPr>
          <w:p w:rsidR="00F14E7C" w:rsidRPr="00F14E7C" w:rsidRDefault="00F14E7C" w:rsidP="00F14E7C">
            <w:pPr>
              <w:rPr>
                <w:lang w:val="fr-FR"/>
              </w:rPr>
            </w:pPr>
            <w:r w:rsidRPr="00F14E7C">
              <w:rPr>
                <w:b/>
                <w:bCs/>
                <w:sz w:val="22"/>
                <w:szCs w:val="22"/>
                <w:lang w:val="fr-FR"/>
              </w:rPr>
              <w:t>Numéro de cas IRP :</w:t>
            </w:r>
            <w:r w:rsidRPr="00F14E7C">
              <w:rPr>
                <w:sz w:val="22"/>
                <w:szCs w:val="22"/>
                <w:lang w:val="fr-FR"/>
              </w:rPr>
              <w:t xml:space="preserve"> 2</w:t>
            </w:r>
          </w:p>
          <w:p w:rsidR="003A7BC0" w:rsidRPr="00F14E7C" w:rsidRDefault="00F14E7C" w:rsidP="00F14E7C">
            <w:pPr>
              <w:rPr>
                <w:lang w:val="fr-FR"/>
              </w:rPr>
            </w:pPr>
            <w:r w:rsidRPr="00F14E7C">
              <w:rPr>
                <w:lang w:val="fr-FR"/>
              </w:rPr>
              <w:t xml:space="preserve"> </w:t>
            </w:r>
          </w:p>
        </w:tc>
        <w:tc>
          <w:tcPr>
            <w:tcW w:w="3333" w:type="pct"/>
            <w:gridSpan w:val="2"/>
          </w:tcPr>
          <w:p w:rsidR="00F14E7C" w:rsidRPr="00F14E7C" w:rsidRDefault="00F14E7C" w:rsidP="00F14E7C">
            <w:pPr>
              <w:rPr>
                <w:lang w:val="fr-FR"/>
              </w:rPr>
            </w:pPr>
            <w:r w:rsidRPr="00F14E7C">
              <w:rPr>
                <w:b/>
                <w:bCs/>
                <w:sz w:val="22"/>
                <w:szCs w:val="22"/>
                <w:lang w:val="fr-FR"/>
              </w:rPr>
              <w:t>État :</w:t>
            </w:r>
            <w:r w:rsidRPr="00F14E7C">
              <w:rPr>
                <w:sz w:val="22"/>
                <w:szCs w:val="22"/>
                <w:lang w:val="fr-FR"/>
              </w:rPr>
              <w:t xml:space="preserve"> En cours </w:t>
            </w:r>
          </w:p>
          <w:p w:rsidR="003A7BC0" w:rsidRPr="00F14E7C" w:rsidRDefault="00F14E7C" w:rsidP="00F14E7C">
            <w:pPr>
              <w:rPr>
                <w:lang w:val="fr-FR"/>
              </w:rPr>
            </w:pPr>
            <w:r w:rsidRPr="00F14E7C">
              <w:rPr>
                <w:snapToGrid w:val="0"/>
                <w:sz w:val="22"/>
                <w:szCs w:val="22"/>
                <w:lang w:val="fr-FR"/>
              </w:rPr>
              <w:t>(le Comité permanent doit décider</w:t>
            </w:r>
            <w:r w:rsidR="002B2B8E">
              <w:rPr>
                <w:snapToGrid w:val="0"/>
                <w:sz w:val="22"/>
                <w:szCs w:val="22"/>
                <w:lang w:val="fr-FR"/>
              </w:rPr>
              <w:t xml:space="preserve"> </w:t>
            </w:r>
            <w:r w:rsidRPr="00F14E7C">
              <w:rPr>
                <w:snapToGrid w:val="0"/>
                <w:sz w:val="22"/>
                <w:szCs w:val="22"/>
                <w:lang w:val="fr-FR"/>
              </w:rPr>
              <w:t>des prochaines mesures)</w:t>
            </w:r>
          </w:p>
        </w:tc>
      </w:tr>
      <w:tr w:rsidR="003A7BC0" w:rsidRPr="00A674BE" w:rsidTr="004919AE">
        <w:tc>
          <w:tcPr>
            <w:tcW w:w="1667" w:type="pct"/>
          </w:tcPr>
          <w:p w:rsidR="003A7BC0" w:rsidRPr="00F14E7C" w:rsidRDefault="003A7BC0" w:rsidP="00020DD7">
            <w:pPr>
              <w:rPr>
                <w:lang w:val="fr-FR"/>
              </w:rPr>
            </w:pPr>
            <w:r w:rsidRPr="00F14E7C">
              <w:rPr>
                <w:b/>
                <w:sz w:val="22"/>
                <w:szCs w:val="22"/>
                <w:lang w:val="fr-FR"/>
              </w:rPr>
              <w:t>Part</w:t>
            </w:r>
            <w:r w:rsidR="00F14E7C" w:rsidRPr="00F14E7C">
              <w:rPr>
                <w:b/>
                <w:sz w:val="22"/>
                <w:szCs w:val="22"/>
                <w:lang w:val="fr-FR"/>
              </w:rPr>
              <w:t>ie</w:t>
            </w:r>
            <w:r w:rsidRPr="00F14E7C">
              <w:rPr>
                <w:b/>
                <w:sz w:val="22"/>
                <w:szCs w:val="22"/>
                <w:lang w:val="fr-FR"/>
              </w:rPr>
              <w:t>:</w:t>
            </w:r>
            <w:r w:rsidRPr="00F14E7C">
              <w:rPr>
                <w:sz w:val="22"/>
                <w:szCs w:val="22"/>
                <w:lang w:val="fr-FR"/>
              </w:rPr>
              <w:t xml:space="preserve"> </w:t>
            </w:r>
          </w:p>
          <w:p w:rsidR="003A7BC0" w:rsidRPr="00F14E7C" w:rsidRDefault="003A7BC0" w:rsidP="00020DD7">
            <w:pPr>
              <w:rPr>
                <w:lang w:val="fr-FR"/>
              </w:rPr>
            </w:pPr>
            <w:r w:rsidRPr="00F14E7C">
              <w:rPr>
                <w:sz w:val="22"/>
                <w:szCs w:val="22"/>
                <w:lang w:val="fr-FR"/>
              </w:rPr>
              <w:t>Mont</w:t>
            </w:r>
            <w:r w:rsidR="00F14E7C" w:rsidRPr="00F14E7C">
              <w:rPr>
                <w:sz w:val="22"/>
                <w:szCs w:val="22"/>
                <w:lang w:val="fr-FR"/>
              </w:rPr>
              <w:t>é</w:t>
            </w:r>
            <w:r w:rsidRPr="00F14E7C">
              <w:rPr>
                <w:sz w:val="22"/>
                <w:szCs w:val="22"/>
                <w:lang w:val="fr-FR"/>
              </w:rPr>
              <w:t>n</w:t>
            </w:r>
            <w:r w:rsidR="00F14E7C" w:rsidRPr="00F14E7C">
              <w:rPr>
                <w:sz w:val="22"/>
                <w:szCs w:val="22"/>
                <w:lang w:val="fr-FR"/>
              </w:rPr>
              <w:t>é</w:t>
            </w:r>
            <w:r w:rsidRPr="00F14E7C">
              <w:rPr>
                <w:sz w:val="22"/>
                <w:szCs w:val="22"/>
                <w:lang w:val="fr-FR"/>
              </w:rPr>
              <w:t>gro</w:t>
            </w:r>
          </w:p>
          <w:p w:rsidR="003A7BC0" w:rsidRPr="00F14E7C" w:rsidRDefault="003A7BC0" w:rsidP="00020DD7">
            <w:pPr>
              <w:rPr>
                <w:lang w:val="fr-FR"/>
              </w:rPr>
            </w:pPr>
          </w:p>
        </w:tc>
        <w:tc>
          <w:tcPr>
            <w:tcW w:w="1667" w:type="pct"/>
          </w:tcPr>
          <w:p w:rsidR="003A7BC0" w:rsidRPr="00F14E7C" w:rsidRDefault="00F14E7C" w:rsidP="00020DD7">
            <w:pPr>
              <w:rPr>
                <w:lang w:val="fr-FR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Année d</w:t>
            </w:r>
            <w:r w:rsidR="00851849">
              <w:rPr>
                <w:b/>
                <w:bCs/>
                <w:snapToGrid w:val="0"/>
                <w:sz w:val="22"/>
                <w:szCs w:val="22"/>
                <w:lang w:val="fr-FR"/>
              </w:rPr>
              <w:t>’</w:t>
            </w: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ouverture :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2012</w:t>
            </w:r>
          </w:p>
        </w:tc>
        <w:tc>
          <w:tcPr>
            <w:tcW w:w="1667" w:type="pct"/>
          </w:tcPr>
          <w:p w:rsidR="003A7BC0" w:rsidRPr="00F14E7C" w:rsidRDefault="00F14E7C" w:rsidP="00F14E7C">
            <w:pPr>
              <w:rPr>
                <w:lang w:val="fr-FR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Année de clôture :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s.o.</w:t>
            </w:r>
          </w:p>
        </w:tc>
      </w:tr>
      <w:tr w:rsidR="003A7BC0" w:rsidRPr="00A674BE" w:rsidTr="004919AE">
        <w:tc>
          <w:tcPr>
            <w:tcW w:w="5000" w:type="pct"/>
            <w:gridSpan w:val="3"/>
          </w:tcPr>
          <w:p w:rsidR="00F14E7C" w:rsidRDefault="00F14E7C" w:rsidP="00F14E7C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Problème :</w:t>
            </w:r>
            <w:r>
              <w:rPr>
                <w:sz w:val="22"/>
                <w:szCs w:val="22"/>
                <w:lang w:val="fr-FR"/>
              </w:rPr>
              <w:t xml:space="preserve"> Drainage des salines d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Ulcinj à des fins de développement touristique</w:t>
            </w:r>
          </w:p>
          <w:p w:rsidR="003A7BC0" w:rsidRPr="00F14E7C" w:rsidRDefault="003A7BC0" w:rsidP="00020DD7">
            <w:pPr>
              <w:rPr>
                <w:lang w:val="fr-FR"/>
              </w:rPr>
            </w:pPr>
          </w:p>
        </w:tc>
      </w:tr>
      <w:tr w:rsidR="003A7BC0" w:rsidRPr="00A674BE" w:rsidTr="004919AE">
        <w:tc>
          <w:tcPr>
            <w:tcW w:w="5000" w:type="pct"/>
            <w:gridSpan w:val="3"/>
          </w:tcPr>
          <w:p w:rsidR="00ED3E93" w:rsidRDefault="00ED3E93" w:rsidP="00ED3E93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Correspondance officielle</w:t>
            </w:r>
          </w:p>
          <w:p w:rsidR="00ED3E93" w:rsidRDefault="00ED3E93" w:rsidP="00ED3E93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 janvier 2012 – lettre du Secrétaire exécutif par intérim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AEWA, M. Marco Barbieri,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Administrateur responsable de la CMS, M. Bert Lenten, 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A6067A">
              <w:rPr>
                <w:sz w:val="22"/>
                <w:szCs w:val="22"/>
                <w:lang w:val="fr-FR"/>
              </w:rPr>
              <w:t>M. Predrag</w:t>
            </w:r>
            <w:r>
              <w:rPr>
                <w:sz w:val="22"/>
                <w:szCs w:val="22"/>
                <w:lang w:val="fr-FR"/>
              </w:rPr>
              <w:t xml:space="preserve"> Sekulic, Ministre du </w:t>
            </w:r>
            <w:r w:rsidR="00B00119"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  <w:lang w:val="fr-FR"/>
              </w:rPr>
              <w:t xml:space="preserve">éveloppement durable et du </w:t>
            </w:r>
            <w:r w:rsidR="00B00119">
              <w:rPr>
                <w:sz w:val="22"/>
                <w:szCs w:val="22"/>
                <w:lang w:val="fr-FR"/>
              </w:rPr>
              <w:t>T</w:t>
            </w:r>
            <w:r>
              <w:rPr>
                <w:sz w:val="22"/>
                <w:szCs w:val="22"/>
                <w:lang w:val="fr-FR"/>
              </w:rPr>
              <w:t>ourisme (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exprimant leur inquiétude, demandant des informations officielles sur la question, présentant </w:t>
            </w:r>
            <w:r w:rsidR="00B00119">
              <w:rPr>
                <w:i/>
                <w:iCs/>
                <w:sz w:val="22"/>
                <w:szCs w:val="22"/>
                <w:lang w:val="fr-FR"/>
              </w:rPr>
              <w:t>la possibilité</w:t>
            </w:r>
            <w:r w:rsidR="002B2B8E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fr-FR"/>
              </w:rPr>
              <w:t>d</w:t>
            </w:r>
            <w:r w:rsidR="00851849">
              <w:rPr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i/>
                <w:iCs/>
                <w:sz w:val="22"/>
                <w:szCs w:val="22"/>
                <w:lang w:val="fr-FR"/>
              </w:rPr>
              <w:t>un cas IRP et d</w:t>
            </w:r>
            <w:r w:rsidR="00851849">
              <w:rPr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i/>
                <w:iCs/>
                <w:sz w:val="22"/>
                <w:szCs w:val="22"/>
                <w:lang w:val="fr-FR"/>
              </w:rPr>
              <w:t>une mission d</w:t>
            </w:r>
            <w:r w:rsidR="00851849">
              <w:rPr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i/>
                <w:iCs/>
                <w:sz w:val="22"/>
                <w:szCs w:val="22"/>
                <w:lang w:val="fr-FR"/>
              </w:rPr>
              <w:t>évaluation sur place</w:t>
            </w:r>
            <w:r>
              <w:rPr>
                <w:sz w:val="22"/>
                <w:szCs w:val="22"/>
                <w:lang w:val="fr-FR"/>
              </w:rPr>
              <w:t xml:space="preserve">) ; </w:t>
            </w:r>
          </w:p>
          <w:p w:rsidR="00ED3E93" w:rsidRDefault="00ED3E93" w:rsidP="00ED3E93">
            <w:pPr>
              <w:rPr>
                <w:lang w:val="fr-FR"/>
              </w:rPr>
            </w:pPr>
          </w:p>
          <w:p w:rsidR="003A7BC0" w:rsidRPr="00F14E7C" w:rsidRDefault="00ED3E93" w:rsidP="00ED3E93">
            <w:pPr>
              <w:rPr>
                <w:lang w:val="fr-FR"/>
              </w:rPr>
            </w:pPr>
            <w:r>
              <w:rPr>
                <w:snapToGrid w:val="0"/>
                <w:sz w:val="22"/>
                <w:szCs w:val="22"/>
                <w:lang w:val="fr-FR"/>
              </w:rPr>
              <w:t>20 février 2012 – lettre de</w:t>
            </w:r>
            <w:r w:rsidR="00A6067A">
              <w:rPr>
                <w:snapToGrid w:val="0"/>
                <w:sz w:val="22"/>
                <w:szCs w:val="22"/>
                <w:lang w:val="fr-FR"/>
              </w:rPr>
              <w:t xml:space="preserve"> 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</w:t>
            </w:r>
            <w:r w:rsidR="00A6067A">
              <w:rPr>
                <w:snapToGrid w:val="0"/>
                <w:sz w:val="22"/>
                <w:szCs w:val="22"/>
                <w:lang w:val="fr-FR"/>
              </w:rPr>
              <w:t>M. Predrag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Sekulic, Ministre du </w:t>
            </w:r>
            <w:r w:rsidR="00B00119">
              <w:rPr>
                <w:snapToGrid w:val="0"/>
                <w:sz w:val="22"/>
                <w:szCs w:val="22"/>
                <w:lang w:val="fr-FR"/>
              </w:rPr>
              <w:t>D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éveloppement durable et du </w:t>
            </w:r>
            <w:r w:rsidR="00B00119">
              <w:rPr>
                <w:snapToGrid w:val="0"/>
                <w:sz w:val="22"/>
                <w:szCs w:val="22"/>
                <w:lang w:val="fr-FR"/>
              </w:rPr>
              <w:t>T</w:t>
            </w:r>
            <w:r>
              <w:rPr>
                <w:snapToGrid w:val="0"/>
                <w:sz w:val="22"/>
                <w:szCs w:val="22"/>
                <w:lang w:val="fr-FR"/>
              </w:rPr>
              <w:t>ourisme adressée au Secrétaire exécutif par intérim de l</w:t>
            </w:r>
            <w:r w:rsidR="00851849">
              <w:rPr>
                <w:snapToGrid w:val="0"/>
                <w:sz w:val="22"/>
                <w:szCs w:val="22"/>
                <w:lang w:val="fr-FR"/>
              </w:rPr>
              <w:t>’</w:t>
            </w:r>
            <w:r>
              <w:rPr>
                <w:snapToGrid w:val="0"/>
                <w:sz w:val="22"/>
                <w:szCs w:val="22"/>
                <w:lang w:val="fr-FR"/>
              </w:rPr>
              <w:t>AEWA, M. Marco Barbieri, et à</w:t>
            </w:r>
            <w:r w:rsidR="002B2B8E">
              <w:rPr>
                <w:snapToGrid w:val="0"/>
                <w:sz w:val="22"/>
                <w:szCs w:val="22"/>
                <w:lang w:val="fr-FR"/>
              </w:rPr>
              <w:t xml:space="preserve"> </w:t>
            </w:r>
            <w:r>
              <w:rPr>
                <w:snapToGrid w:val="0"/>
                <w:sz w:val="22"/>
                <w:szCs w:val="22"/>
                <w:lang w:val="fr-FR"/>
              </w:rPr>
              <w:t>l</w:t>
            </w:r>
            <w:r w:rsidR="00851849">
              <w:rPr>
                <w:snapToGrid w:val="0"/>
                <w:sz w:val="22"/>
                <w:szCs w:val="22"/>
                <w:lang w:val="fr-FR"/>
              </w:rPr>
              <w:t>’</w:t>
            </w:r>
            <w:r>
              <w:rPr>
                <w:snapToGrid w:val="0"/>
                <w:sz w:val="22"/>
                <w:szCs w:val="22"/>
                <w:lang w:val="fr-FR"/>
              </w:rPr>
              <w:t>Administrateur responsable de la CMS</w:t>
            </w:r>
            <w:r>
              <w:rPr>
                <w:snapToGrid w:val="0"/>
                <w:lang w:val="fr-FR"/>
              </w:rPr>
              <w:t xml:space="preserve"> </w:t>
            </w:r>
            <w:r>
              <w:rPr>
                <w:snapToGrid w:val="0"/>
                <w:sz w:val="22"/>
                <w:szCs w:val="22"/>
                <w:lang w:val="fr-FR"/>
              </w:rPr>
              <w:t>, M. Bert Lenten (</w:t>
            </w:r>
            <w:r>
              <w:rPr>
                <w:i/>
                <w:iCs/>
                <w:snapToGrid w:val="0"/>
                <w:sz w:val="22"/>
                <w:szCs w:val="22"/>
                <w:lang w:val="fr-FR"/>
              </w:rPr>
              <w:t>fournissant des informations et se réjouissant de la mission proposée</w:t>
            </w:r>
            <w:r>
              <w:rPr>
                <w:snapToGrid w:val="0"/>
                <w:sz w:val="22"/>
                <w:szCs w:val="22"/>
                <w:lang w:val="fr-FR"/>
              </w:rPr>
              <w:t>)</w:t>
            </w:r>
            <w:r w:rsidR="003A7BC0" w:rsidRPr="00F14E7C">
              <w:rPr>
                <w:sz w:val="22"/>
                <w:szCs w:val="22"/>
                <w:lang w:val="fr-FR"/>
              </w:rPr>
              <w:t>.</w:t>
            </w:r>
          </w:p>
          <w:p w:rsidR="003A7BC0" w:rsidRPr="00F14E7C" w:rsidRDefault="003A7BC0" w:rsidP="007722EB">
            <w:pPr>
              <w:rPr>
                <w:lang w:val="fr-FR"/>
              </w:rPr>
            </w:pPr>
          </w:p>
        </w:tc>
      </w:tr>
      <w:tr w:rsidR="003A7BC0" w:rsidRPr="004919AE" w:rsidTr="004919AE">
        <w:tc>
          <w:tcPr>
            <w:tcW w:w="5000" w:type="pct"/>
            <w:gridSpan w:val="3"/>
          </w:tcPr>
          <w:p w:rsidR="00ED3E93" w:rsidRDefault="00ED3E93" w:rsidP="00ED3E93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Mission(s) d</w:t>
            </w:r>
            <w:r w:rsidR="00851849">
              <w:rPr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b/>
                <w:bCs/>
                <w:sz w:val="22"/>
                <w:szCs w:val="22"/>
                <w:lang w:val="fr-FR"/>
              </w:rPr>
              <w:t>évaluation sur place :</w:t>
            </w:r>
            <w:r>
              <w:rPr>
                <w:sz w:val="22"/>
                <w:szCs w:val="22"/>
                <w:lang w:val="fr-FR"/>
              </w:rPr>
              <w:t xml:space="preserve"> s.o.</w:t>
            </w:r>
          </w:p>
          <w:p w:rsidR="003A7BC0" w:rsidRPr="00F14E7C" w:rsidRDefault="00ED3E93" w:rsidP="00ED3E93">
            <w:pPr>
              <w:rPr>
                <w:lang w:val="fr-FR"/>
              </w:rPr>
            </w:pPr>
            <w:r w:rsidRPr="00F14E7C">
              <w:rPr>
                <w:lang w:val="fr-FR"/>
              </w:rPr>
              <w:t xml:space="preserve"> </w:t>
            </w:r>
          </w:p>
        </w:tc>
      </w:tr>
      <w:tr w:rsidR="003A7BC0" w:rsidRPr="00A674BE" w:rsidTr="004919AE">
        <w:tc>
          <w:tcPr>
            <w:tcW w:w="5000" w:type="pct"/>
            <w:gridSpan w:val="3"/>
          </w:tcPr>
          <w:p w:rsidR="003A7BC0" w:rsidRPr="00F14E7C" w:rsidRDefault="00ED3E93" w:rsidP="00020DD7">
            <w:pPr>
              <w:rPr>
                <w:lang w:val="fr-FR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Rapport(s) de mission :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s.o.</w:t>
            </w:r>
            <w:r w:rsidRPr="00F14E7C">
              <w:rPr>
                <w:sz w:val="22"/>
                <w:szCs w:val="22"/>
                <w:lang w:val="fr-FR"/>
              </w:rPr>
              <w:t xml:space="preserve"> </w:t>
            </w:r>
          </w:p>
          <w:p w:rsidR="003A7BC0" w:rsidRPr="00F14E7C" w:rsidRDefault="003A7BC0" w:rsidP="00020DD7">
            <w:pPr>
              <w:rPr>
                <w:lang w:val="fr-FR"/>
              </w:rPr>
            </w:pPr>
          </w:p>
        </w:tc>
      </w:tr>
      <w:tr w:rsidR="003A7BC0" w:rsidRPr="00A674BE" w:rsidTr="004919AE">
        <w:tc>
          <w:tcPr>
            <w:tcW w:w="5000" w:type="pct"/>
            <w:gridSpan w:val="3"/>
          </w:tcPr>
          <w:p w:rsidR="003A7BC0" w:rsidRPr="00F14E7C" w:rsidRDefault="00ED3E93" w:rsidP="00020DD7">
            <w:pPr>
              <w:rPr>
                <w:lang w:val="fr-FR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fr-FR"/>
              </w:rPr>
              <w:t>Rapport(s) de la Partie :</w:t>
            </w:r>
            <w:r>
              <w:rPr>
                <w:snapToGrid w:val="0"/>
                <w:sz w:val="22"/>
                <w:szCs w:val="22"/>
                <w:lang w:val="fr-FR"/>
              </w:rPr>
              <w:t xml:space="preserve"> s.o.</w:t>
            </w:r>
          </w:p>
          <w:p w:rsidR="003A7BC0" w:rsidRPr="00F14E7C" w:rsidRDefault="003A7BC0" w:rsidP="00020DD7">
            <w:pPr>
              <w:rPr>
                <w:lang w:val="fr-FR"/>
              </w:rPr>
            </w:pPr>
          </w:p>
        </w:tc>
      </w:tr>
    </w:tbl>
    <w:p w:rsidR="003A7BC0" w:rsidRPr="00A674BE" w:rsidRDefault="003A7BC0" w:rsidP="00BE76D2">
      <w:pPr>
        <w:jc w:val="both"/>
        <w:rPr>
          <w:sz w:val="22"/>
          <w:szCs w:val="22"/>
          <w:lang w:val="fr-FR"/>
        </w:rPr>
      </w:pPr>
    </w:p>
    <w:p w:rsidR="003A7BC0" w:rsidRPr="00A674BE" w:rsidRDefault="003A7BC0" w:rsidP="00BE76D2">
      <w:pPr>
        <w:jc w:val="both"/>
        <w:rPr>
          <w:sz w:val="22"/>
          <w:szCs w:val="22"/>
          <w:lang w:val="fr-FR"/>
        </w:rPr>
      </w:pPr>
    </w:p>
    <w:p w:rsidR="00ED3E93" w:rsidRDefault="00ED3E93" w:rsidP="00ED3E93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Raison de l</w:t>
      </w:r>
      <w:r w:rsidR="00851849">
        <w:rPr>
          <w:b/>
          <w:bCs/>
          <w:sz w:val="22"/>
          <w:szCs w:val="22"/>
          <w:lang w:val="fr-FR"/>
        </w:rPr>
        <w:t>’</w:t>
      </w:r>
      <w:r>
        <w:rPr>
          <w:b/>
          <w:bCs/>
          <w:sz w:val="22"/>
          <w:szCs w:val="22"/>
          <w:lang w:val="fr-FR"/>
        </w:rPr>
        <w:t xml:space="preserve">ouverture de ce cas </w:t>
      </w:r>
    </w:p>
    <w:p w:rsidR="00ED3E93" w:rsidRPr="00A674BE" w:rsidRDefault="00ED3E93" w:rsidP="007722EB">
      <w:pPr>
        <w:jc w:val="both"/>
        <w:rPr>
          <w:sz w:val="22"/>
          <w:szCs w:val="22"/>
          <w:lang w:val="fr-FR"/>
        </w:rPr>
      </w:pPr>
    </w:p>
    <w:p w:rsidR="003A7BC0" w:rsidRPr="00EA0472" w:rsidRDefault="00A31287" w:rsidP="007722EB">
      <w:pPr>
        <w:jc w:val="both"/>
        <w:rPr>
          <w:sz w:val="22"/>
          <w:szCs w:val="22"/>
          <w:lang w:val="fr-FR"/>
        </w:rPr>
      </w:pPr>
      <w:r>
        <w:rPr>
          <w:snapToGrid w:val="0"/>
          <w:sz w:val="22"/>
          <w:szCs w:val="22"/>
          <w:lang w:val="fr-FR"/>
        </w:rPr>
        <w:t>Fin décembre 2011, les Secrétariats PNUE/AEWA et PNUE/CMS ont reçu des informations provenant de diverses sources sur des projets de drainage des salines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Ulcinj</w:t>
      </w:r>
      <w:r w:rsidR="00A6067A">
        <w:rPr>
          <w:snapToGrid w:val="0"/>
          <w:sz w:val="22"/>
          <w:szCs w:val="22"/>
          <w:lang w:val="fr-FR"/>
        </w:rPr>
        <w:t>,</w:t>
      </w:r>
      <w:r>
        <w:rPr>
          <w:snapToGrid w:val="0"/>
          <w:sz w:val="22"/>
          <w:szCs w:val="22"/>
          <w:lang w:val="fr-FR"/>
        </w:rPr>
        <w:t xml:space="preserve"> au Monténégro</w:t>
      </w:r>
      <w:r w:rsidR="00A6067A">
        <w:rPr>
          <w:snapToGrid w:val="0"/>
          <w:sz w:val="22"/>
          <w:szCs w:val="22"/>
          <w:lang w:val="fr-FR"/>
        </w:rPr>
        <w:t>,</w:t>
      </w:r>
      <w:r>
        <w:rPr>
          <w:snapToGrid w:val="0"/>
          <w:sz w:val="22"/>
          <w:szCs w:val="22"/>
          <w:lang w:val="fr-FR"/>
        </w:rPr>
        <w:t xml:space="preserve"> à des fins de développement touristique. Les salines constituent la zone humide la plus importante pour les oiseaux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eau migrateurs au Monténégro ainsi qu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 xml:space="preserve">un des </w:t>
      </w:r>
      <w:r w:rsidR="00A6067A">
        <w:rPr>
          <w:snapToGrid w:val="0"/>
          <w:sz w:val="22"/>
          <w:szCs w:val="22"/>
          <w:lang w:val="fr-FR"/>
        </w:rPr>
        <w:t xml:space="preserve">principaux </w:t>
      </w:r>
      <w:r>
        <w:rPr>
          <w:snapToGrid w:val="0"/>
          <w:sz w:val="22"/>
          <w:szCs w:val="22"/>
          <w:lang w:val="fr-FR"/>
        </w:rPr>
        <w:t>sites le long de la côte orientale de la mer Adriatique. Ce site, qui n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a pas de désignation statutaire, a toutefois été</w:t>
      </w:r>
      <w:r w:rsidR="002B2B8E"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 xml:space="preserve">reconnu pour ses valeurs et identifié comme </w:t>
      </w:r>
      <w:r>
        <w:rPr>
          <w:snapToGrid w:val="0"/>
          <w:lang w:val="fr-FR"/>
        </w:rPr>
        <w:t xml:space="preserve">Zone </w:t>
      </w:r>
      <w:r>
        <w:rPr>
          <w:snapToGrid w:val="0"/>
          <w:sz w:val="22"/>
          <w:szCs w:val="22"/>
          <w:lang w:val="fr-FR"/>
        </w:rPr>
        <w:t xml:space="preserve">importante pour les Oiseaux (IBA), site Ramsar potentiel, site </w:t>
      </w:r>
      <w:r w:rsidR="00B00119">
        <w:rPr>
          <w:snapToGrid w:val="0"/>
          <w:sz w:val="22"/>
          <w:szCs w:val="22"/>
          <w:lang w:val="fr-FR"/>
        </w:rPr>
        <w:t>É</w:t>
      </w:r>
      <w:r>
        <w:rPr>
          <w:snapToGrid w:val="0"/>
          <w:sz w:val="22"/>
          <w:szCs w:val="22"/>
          <w:lang w:val="fr-FR"/>
        </w:rPr>
        <w:t>meraude et site Natura 2000 ainsi que site critique faisant partie du Réseau de Sites Critiques de l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AEWA. Environ 55 espèces reproductrices ont été enregistrées ainsi que des concentrations élevées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oiseaux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eau en hiver et au cours de leur migration. Il s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agit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un site important</w:t>
      </w:r>
      <w:r w:rsidR="002B2B8E"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>pour le Pélican frisé (</w:t>
      </w:r>
      <w:r>
        <w:rPr>
          <w:i/>
          <w:iCs/>
          <w:snapToGrid w:val="0"/>
          <w:sz w:val="22"/>
          <w:szCs w:val="22"/>
          <w:lang w:val="fr-FR"/>
        </w:rPr>
        <w:t>Pelecanus crispus</w:t>
      </w:r>
      <w:r>
        <w:rPr>
          <w:snapToGrid w:val="0"/>
          <w:sz w:val="22"/>
          <w:szCs w:val="22"/>
          <w:lang w:val="fr-FR"/>
        </w:rPr>
        <w:t>), menacé au niveau mondial, et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autres espèces figurant dans la colonne A</w:t>
      </w:r>
      <w:r w:rsidR="00B00119">
        <w:rPr>
          <w:snapToGrid w:val="0"/>
          <w:sz w:val="22"/>
          <w:szCs w:val="22"/>
          <w:lang w:val="fr-FR"/>
        </w:rPr>
        <w:t xml:space="preserve">, </w:t>
      </w:r>
      <w:r>
        <w:rPr>
          <w:snapToGrid w:val="0"/>
          <w:sz w:val="22"/>
          <w:szCs w:val="22"/>
          <w:lang w:val="fr-FR"/>
        </w:rPr>
        <w:t>telles que la Glaréole à collier (</w:t>
      </w:r>
      <w:r>
        <w:rPr>
          <w:i/>
          <w:iCs/>
          <w:snapToGrid w:val="0"/>
          <w:sz w:val="22"/>
          <w:szCs w:val="22"/>
          <w:lang w:val="fr-FR"/>
        </w:rPr>
        <w:t>Glareola pratincola</w:t>
      </w:r>
      <w:r>
        <w:rPr>
          <w:snapToGrid w:val="0"/>
          <w:sz w:val="22"/>
          <w:szCs w:val="22"/>
          <w:lang w:val="fr-FR"/>
        </w:rPr>
        <w:t>), le Pluvier à collier interrompu (</w:t>
      </w:r>
      <w:r>
        <w:rPr>
          <w:i/>
          <w:iCs/>
          <w:snapToGrid w:val="0"/>
          <w:sz w:val="22"/>
          <w:szCs w:val="22"/>
          <w:lang w:val="fr-FR"/>
        </w:rPr>
        <w:t>Charadrius alexandrinus</w:t>
      </w:r>
      <w:r>
        <w:rPr>
          <w:snapToGrid w:val="0"/>
          <w:sz w:val="22"/>
          <w:szCs w:val="22"/>
          <w:lang w:val="fr-FR"/>
        </w:rPr>
        <w:t>) et la Sterne naine (</w:t>
      </w:r>
      <w:r>
        <w:rPr>
          <w:i/>
          <w:iCs/>
          <w:snapToGrid w:val="0"/>
          <w:sz w:val="22"/>
          <w:szCs w:val="22"/>
          <w:lang w:val="fr-FR"/>
        </w:rPr>
        <w:t>Sterna albifrons</w:t>
      </w:r>
      <w:r>
        <w:rPr>
          <w:snapToGrid w:val="0"/>
          <w:sz w:val="22"/>
          <w:szCs w:val="22"/>
          <w:lang w:val="fr-FR"/>
        </w:rPr>
        <w:t>)</w:t>
      </w:r>
      <w:r w:rsidR="003A7BC0" w:rsidRPr="00EA0472">
        <w:rPr>
          <w:sz w:val="22"/>
          <w:szCs w:val="22"/>
          <w:lang w:val="fr-FR"/>
        </w:rPr>
        <w:t xml:space="preserve">. </w:t>
      </w:r>
    </w:p>
    <w:p w:rsidR="003A7BC0" w:rsidRPr="00EA0472" w:rsidRDefault="003A7BC0" w:rsidP="007722EB">
      <w:pPr>
        <w:jc w:val="both"/>
        <w:rPr>
          <w:sz w:val="22"/>
          <w:szCs w:val="22"/>
          <w:lang w:val="fr-FR"/>
        </w:rPr>
      </w:pPr>
    </w:p>
    <w:p w:rsidR="002545D2" w:rsidRDefault="002545D2" w:rsidP="002545D2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Consultations</w:t>
      </w:r>
    </w:p>
    <w:p w:rsidR="002545D2" w:rsidRDefault="002545D2" w:rsidP="002545D2">
      <w:pPr>
        <w:jc w:val="both"/>
        <w:rPr>
          <w:sz w:val="22"/>
          <w:szCs w:val="22"/>
          <w:lang w:val="fr-FR"/>
        </w:rPr>
      </w:pPr>
    </w:p>
    <w:p w:rsidR="002545D2" w:rsidRDefault="002545D2" w:rsidP="002545D2">
      <w:pPr>
        <w:jc w:val="both"/>
        <w:rPr>
          <w:lang w:val="fr-FR"/>
        </w:rPr>
      </w:pPr>
      <w:r>
        <w:rPr>
          <w:sz w:val="22"/>
          <w:szCs w:val="22"/>
          <w:lang w:val="fr-FR"/>
        </w:rPr>
        <w:t>En consultation avec les Présidents des Comités permanent et technique, le Secrétariat a préparé une lettre conjointe avec le Secrétariat PNUE/CMS (en consultation également avec les Présidents du Comité permanent et du Conseil scientifique de la CMS). Sur la base de la réponse reçue à cette lettre, le Comité permanent a examiné la question et décidé d</w:t>
      </w:r>
      <w:r w:rsidR="00851849">
        <w:rPr>
          <w:sz w:val="22"/>
          <w:szCs w:val="22"/>
          <w:lang w:val="fr-FR"/>
        </w:rPr>
        <w:t>’</w:t>
      </w:r>
      <w:r w:rsidR="00151639">
        <w:rPr>
          <w:sz w:val="22"/>
          <w:szCs w:val="22"/>
          <w:lang w:val="fr-FR"/>
        </w:rPr>
        <w:t>engager une procédure,</w:t>
      </w:r>
      <w:r>
        <w:rPr>
          <w:sz w:val="22"/>
          <w:szCs w:val="22"/>
          <w:lang w:val="fr-FR"/>
        </w:rPr>
        <w:t xml:space="preserve"> et de dépêcher une mission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évaluation sur place.</w:t>
      </w:r>
      <w:r w:rsidR="002B2B8E">
        <w:rPr>
          <w:sz w:val="22"/>
          <w:szCs w:val="22"/>
          <w:lang w:val="fr-FR"/>
        </w:rPr>
        <w:t xml:space="preserve"> </w:t>
      </w:r>
    </w:p>
    <w:p w:rsidR="002545D2" w:rsidRDefault="002545D2" w:rsidP="002545D2">
      <w:pPr>
        <w:jc w:val="both"/>
        <w:rPr>
          <w:sz w:val="22"/>
          <w:szCs w:val="22"/>
          <w:lang w:val="fr-FR"/>
        </w:rPr>
      </w:pPr>
    </w:p>
    <w:p w:rsidR="002545D2" w:rsidRDefault="002545D2" w:rsidP="002545D2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Actions (</w:t>
      </w:r>
      <w:r w:rsidRPr="00EA0472">
        <w:rPr>
          <w:b/>
          <w:sz w:val="22"/>
          <w:szCs w:val="22"/>
          <w:lang w:val="fr-FR"/>
        </w:rPr>
        <w:t>2012 jusqu</w:t>
      </w:r>
      <w:r w:rsidR="00851849" w:rsidRPr="00EA0472">
        <w:rPr>
          <w:b/>
          <w:sz w:val="22"/>
          <w:szCs w:val="22"/>
          <w:lang w:val="fr-FR"/>
        </w:rPr>
        <w:t>’</w:t>
      </w:r>
      <w:r w:rsidRPr="00EA0472">
        <w:rPr>
          <w:b/>
          <w:sz w:val="22"/>
          <w:szCs w:val="22"/>
          <w:lang w:val="fr-FR"/>
        </w:rPr>
        <w:t>à la MOP5)</w:t>
      </w:r>
    </w:p>
    <w:p w:rsidR="002545D2" w:rsidRDefault="002545D2" w:rsidP="002545D2">
      <w:pPr>
        <w:jc w:val="both"/>
        <w:rPr>
          <w:sz w:val="22"/>
          <w:szCs w:val="22"/>
          <w:lang w:val="fr-FR"/>
        </w:rPr>
      </w:pPr>
    </w:p>
    <w:p w:rsidR="00D849D5" w:rsidRPr="00EA0472" w:rsidRDefault="002545D2" w:rsidP="002545D2">
      <w:pPr>
        <w:jc w:val="both"/>
        <w:rPr>
          <w:sz w:val="22"/>
          <w:szCs w:val="22"/>
          <w:lang w:val="fr-FR"/>
        </w:rPr>
      </w:pPr>
      <w:r>
        <w:rPr>
          <w:snapToGrid w:val="0"/>
          <w:sz w:val="22"/>
          <w:szCs w:val="22"/>
          <w:lang w:val="fr-FR"/>
        </w:rPr>
        <w:t>Le 12 janvier 2012, le Secrétaire exécutif par intérim de l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AEWA, M. Marco Barbieri, et l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Administrateur responsable de</w:t>
      </w:r>
      <w:r w:rsidR="002B2B8E"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>la CMS, M. Bert Lenten, ont envoyé une lettre à</w:t>
      </w:r>
      <w:r w:rsidR="00A6067A"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 xml:space="preserve"> </w:t>
      </w:r>
      <w:r w:rsidR="00A6067A">
        <w:rPr>
          <w:snapToGrid w:val="0"/>
          <w:sz w:val="22"/>
          <w:szCs w:val="22"/>
          <w:lang w:val="fr-FR"/>
        </w:rPr>
        <w:t>M. Predrag</w:t>
      </w:r>
      <w:r>
        <w:rPr>
          <w:snapToGrid w:val="0"/>
          <w:sz w:val="22"/>
          <w:szCs w:val="22"/>
          <w:lang w:val="fr-FR"/>
        </w:rPr>
        <w:t xml:space="preserve"> Sekulic, Ministre du </w:t>
      </w:r>
      <w:r w:rsidR="00151639">
        <w:rPr>
          <w:snapToGrid w:val="0"/>
          <w:sz w:val="22"/>
          <w:szCs w:val="22"/>
          <w:lang w:val="fr-FR"/>
        </w:rPr>
        <w:t>D</w:t>
      </w:r>
      <w:r>
        <w:rPr>
          <w:snapToGrid w:val="0"/>
          <w:sz w:val="22"/>
          <w:szCs w:val="22"/>
          <w:lang w:val="fr-FR"/>
        </w:rPr>
        <w:t xml:space="preserve">éveloppement durable et du </w:t>
      </w:r>
      <w:r w:rsidR="00151639">
        <w:rPr>
          <w:snapToGrid w:val="0"/>
          <w:sz w:val="22"/>
          <w:szCs w:val="22"/>
          <w:lang w:val="fr-FR"/>
        </w:rPr>
        <w:t>T</w:t>
      </w:r>
      <w:r>
        <w:rPr>
          <w:snapToGrid w:val="0"/>
          <w:sz w:val="22"/>
          <w:szCs w:val="22"/>
          <w:lang w:val="fr-FR"/>
        </w:rPr>
        <w:t>ourisme, exprimant leur inquiétude, demandant de plus amples renseignements et présentant l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IRP. Simultanément, des lettres séparées ont également été envoyées par les Secrétariats des Conventions de Ramsar et de Berne. Le Ministre a répondu à la lettre conjointe de l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AEWA-CMS le 20 février 2012, fournissant quelques informations supplémentaires et se réjouissant d</w:t>
      </w:r>
      <w:r w:rsidR="00851849">
        <w:rPr>
          <w:snapToGrid w:val="0"/>
          <w:sz w:val="22"/>
          <w:szCs w:val="22"/>
          <w:lang w:val="fr-FR"/>
        </w:rPr>
        <w:t>’</w:t>
      </w:r>
      <w:r>
        <w:rPr>
          <w:snapToGrid w:val="0"/>
          <w:sz w:val="22"/>
          <w:szCs w:val="22"/>
          <w:lang w:val="fr-FR"/>
        </w:rPr>
        <w:t>une mission IRP</w:t>
      </w:r>
      <w:r w:rsidR="003A7BC0" w:rsidRPr="00EA0472">
        <w:rPr>
          <w:sz w:val="22"/>
          <w:szCs w:val="22"/>
          <w:lang w:val="fr-FR"/>
        </w:rPr>
        <w:t xml:space="preserve">. </w:t>
      </w:r>
    </w:p>
    <w:p w:rsidR="00BA2395" w:rsidRPr="00EA0472" w:rsidRDefault="00BA2395" w:rsidP="007722EB">
      <w:pPr>
        <w:jc w:val="both"/>
        <w:rPr>
          <w:sz w:val="22"/>
          <w:szCs w:val="22"/>
          <w:lang w:val="fr-FR"/>
        </w:rPr>
      </w:pPr>
    </w:p>
    <w:p w:rsidR="00D849D5" w:rsidRPr="00A674BE" w:rsidRDefault="00D849D5" w:rsidP="007722EB">
      <w:pPr>
        <w:jc w:val="both"/>
        <w:rPr>
          <w:b/>
          <w:sz w:val="22"/>
          <w:szCs w:val="22"/>
          <w:lang w:val="fr-FR"/>
        </w:rPr>
      </w:pPr>
      <w:r w:rsidRPr="00A674BE">
        <w:rPr>
          <w:b/>
          <w:sz w:val="22"/>
          <w:szCs w:val="22"/>
          <w:lang w:val="fr-FR"/>
        </w:rPr>
        <w:t>Actions (2012-2015)</w:t>
      </w:r>
    </w:p>
    <w:p w:rsidR="002545D2" w:rsidRPr="00A674BE" w:rsidRDefault="002545D2" w:rsidP="007722EB">
      <w:pPr>
        <w:jc w:val="both"/>
        <w:rPr>
          <w:sz w:val="22"/>
          <w:szCs w:val="22"/>
          <w:lang w:val="fr-FR"/>
        </w:rPr>
      </w:pPr>
    </w:p>
    <w:p w:rsidR="00D849D5" w:rsidRPr="00A674BE" w:rsidRDefault="002545D2" w:rsidP="007722EB">
      <w:pPr>
        <w:jc w:val="both"/>
        <w:rPr>
          <w:sz w:val="22"/>
          <w:szCs w:val="22"/>
          <w:lang w:val="fr-FR"/>
        </w:rPr>
      </w:pPr>
      <w:r w:rsidRPr="002545D2">
        <w:rPr>
          <w:sz w:val="22"/>
          <w:szCs w:val="22"/>
          <w:lang w:val="fr-FR"/>
        </w:rPr>
        <w:t>Tandis que le Secrétariat s</w:t>
      </w:r>
      <w:r w:rsidR="00851849">
        <w:rPr>
          <w:sz w:val="22"/>
          <w:szCs w:val="22"/>
          <w:lang w:val="fr-FR"/>
        </w:rPr>
        <w:t>’</w:t>
      </w:r>
      <w:r w:rsidRPr="002545D2">
        <w:rPr>
          <w:sz w:val="22"/>
          <w:szCs w:val="22"/>
          <w:lang w:val="fr-FR"/>
        </w:rPr>
        <w:t>entretenait avec la CMS et les conventions de Ramsar et de Berne en vue d</w:t>
      </w:r>
      <w:r w:rsidR="00851849">
        <w:rPr>
          <w:sz w:val="22"/>
          <w:szCs w:val="22"/>
          <w:lang w:val="fr-FR"/>
        </w:rPr>
        <w:t>’</w:t>
      </w:r>
      <w:r w:rsidRPr="002545D2">
        <w:rPr>
          <w:sz w:val="22"/>
          <w:szCs w:val="22"/>
          <w:lang w:val="fr-FR"/>
        </w:rPr>
        <w:t>une éventuelle mission commune, des informations parvenaient de la part d</w:t>
      </w:r>
      <w:r w:rsidR="00851849">
        <w:rPr>
          <w:sz w:val="22"/>
          <w:szCs w:val="22"/>
          <w:lang w:val="fr-FR"/>
        </w:rPr>
        <w:t>’</w:t>
      </w:r>
      <w:r w:rsidRPr="002545D2">
        <w:rPr>
          <w:sz w:val="22"/>
          <w:szCs w:val="22"/>
          <w:lang w:val="fr-FR"/>
        </w:rPr>
        <w:t>autres parties prenantes faisant allusion au fait que le cas était peut-être résolu, du moins dans une certaine mesur</w:t>
      </w:r>
      <w:r w:rsidR="00151639">
        <w:rPr>
          <w:sz w:val="22"/>
          <w:szCs w:val="22"/>
          <w:lang w:val="fr-FR"/>
        </w:rPr>
        <w:t>e</w:t>
      </w:r>
      <w:r w:rsidRPr="002545D2">
        <w:rPr>
          <w:sz w:val="22"/>
          <w:szCs w:val="22"/>
          <w:lang w:val="fr-FR"/>
        </w:rPr>
        <w:t>.</w:t>
      </w:r>
      <w:r w:rsidR="00D849D5" w:rsidRPr="00A674BE">
        <w:rPr>
          <w:sz w:val="22"/>
          <w:szCs w:val="22"/>
          <w:lang w:val="fr-FR"/>
        </w:rPr>
        <w:t xml:space="preserve"> </w:t>
      </w:r>
      <w:r w:rsidRPr="002F6F90">
        <w:rPr>
          <w:sz w:val="22"/>
          <w:szCs w:val="22"/>
          <w:lang w:val="fr-FR"/>
        </w:rPr>
        <w:t xml:space="preserve">En avril 2013, le Secrétariat a demandé à </w:t>
      </w:r>
      <w:r w:rsidR="00BD00F3">
        <w:rPr>
          <w:sz w:val="22"/>
          <w:szCs w:val="22"/>
          <w:lang w:val="fr-FR"/>
        </w:rPr>
        <w:t xml:space="preserve">Mme </w:t>
      </w:r>
      <w:r w:rsidRPr="002F6F90">
        <w:rPr>
          <w:sz w:val="22"/>
          <w:szCs w:val="22"/>
          <w:lang w:val="fr-FR"/>
        </w:rPr>
        <w:t xml:space="preserve">Ivana Vojinovic, </w:t>
      </w:r>
      <w:r w:rsidR="002F6F90" w:rsidRPr="002F6F90">
        <w:rPr>
          <w:sz w:val="22"/>
          <w:szCs w:val="22"/>
          <w:lang w:val="fr-FR"/>
        </w:rPr>
        <w:t>M</w:t>
      </w:r>
      <w:r w:rsidRPr="002F6F90">
        <w:rPr>
          <w:sz w:val="22"/>
          <w:szCs w:val="22"/>
          <w:lang w:val="fr-FR"/>
        </w:rPr>
        <w:t>inistre adjoint</w:t>
      </w:r>
      <w:r w:rsidR="00BD00F3">
        <w:rPr>
          <w:sz w:val="22"/>
          <w:szCs w:val="22"/>
          <w:lang w:val="fr-FR"/>
        </w:rPr>
        <w:t>e</w:t>
      </w:r>
      <w:r w:rsidRPr="002F6F90">
        <w:rPr>
          <w:sz w:val="22"/>
          <w:szCs w:val="22"/>
          <w:lang w:val="fr-FR"/>
        </w:rPr>
        <w:t xml:space="preserve"> du </w:t>
      </w:r>
      <w:r w:rsidR="002F6F90" w:rsidRPr="002F6F90">
        <w:rPr>
          <w:sz w:val="22"/>
          <w:szCs w:val="22"/>
          <w:lang w:val="fr-FR"/>
        </w:rPr>
        <w:t>D</w:t>
      </w:r>
      <w:r w:rsidRPr="002F6F90">
        <w:rPr>
          <w:sz w:val="22"/>
          <w:szCs w:val="22"/>
          <w:lang w:val="fr-FR"/>
        </w:rPr>
        <w:t xml:space="preserve">éveloppement durable et du </w:t>
      </w:r>
      <w:r w:rsidR="002F6F90" w:rsidRPr="002F6F90">
        <w:rPr>
          <w:sz w:val="22"/>
          <w:szCs w:val="22"/>
          <w:lang w:val="fr-FR"/>
        </w:rPr>
        <w:t>Tourisme, de lui faire parvenir une mise à jour, suivi en juillet 2013 d</w:t>
      </w:r>
      <w:r w:rsidR="00851849">
        <w:rPr>
          <w:sz w:val="22"/>
          <w:szCs w:val="22"/>
          <w:lang w:val="fr-FR"/>
        </w:rPr>
        <w:t>’</w:t>
      </w:r>
      <w:r w:rsidR="002F6F90" w:rsidRPr="002F6F90">
        <w:rPr>
          <w:sz w:val="22"/>
          <w:szCs w:val="22"/>
          <w:lang w:val="fr-FR"/>
        </w:rPr>
        <w:t xml:space="preserve">une </w:t>
      </w:r>
      <w:r w:rsidR="00151639">
        <w:rPr>
          <w:sz w:val="22"/>
          <w:szCs w:val="22"/>
          <w:lang w:val="fr-FR"/>
        </w:rPr>
        <w:t xml:space="preserve">nouvelle </w:t>
      </w:r>
      <w:r w:rsidR="002F6F90" w:rsidRPr="002F6F90">
        <w:rPr>
          <w:sz w:val="22"/>
          <w:szCs w:val="22"/>
          <w:lang w:val="fr-FR"/>
        </w:rPr>
        <w:t>lettre redemandant la mise à jour, toujours en attente</w:t>
      </w:r>
      <w:r w:rsidRPr="002F6F90">
        <w:rPr>
          <w:sz w:val="22"/>
          <w:szCs w:val="22"/>
          <w:lang w:val="fr-FR"/>
        </w:rPr>
        <w:t>.</w:t>
      </w:r>
      <w:r w:rsidR="00D849D5" w:rsidRPr="00A674BE">
        <w:rPr>
          <w:sz w:val="22"/>
          <w:szCs w:val="22"/>
          <w:lang w:val="fr-FR"/>
        </w:rPr>
        <w:t xml:space="preserve"> </w:t>
      </w:r>
    </w:p>
    <w:p w:rsidR="002E0522" w:rsidRPr="00A674BE" w:rsidRDefault="002E0522" w:rsidP="007722EB">
      <w:pPr>
        <w:jc w:val="both"/>
        <w:rPr>
          <w:sz w:val="22"/>
          <w:szCs w:val="22"/>
          <w:lang w:val="fr-FR"/>
        </w:rPr>
      </w:pPr>
    </w:p>
    <w:p w:rsidR="002E0522" w:rsidRPr="00A674BE" w:rsidRDefault="002F6F90" w:rsidP="007722EB">
      <w:pPr>
        <w:jc w:val="both"/>
        <w:rPr>
          <w:sz w:val="22"/>
          <w:szCs w:val="22"/>
          <w:lang w:val="fr-FR"/>
        </w:rPr>
      </w:pPr>
      <w:r w:rsidRPr="002F6F90">
        <w:rPr>
          <w:sz w:val="22"/>
          <w:szCs w:val="22"/>
          <w:lang w:val="fr-FR"/>
        </w:rPr>
        <w:t>Un nouveau rappel a été envoyé en mai 2014 par le Président du Comité permanent de l</w:t>
      </w:r>
      <w:r w:rsidR="00851849">
        <w:rPr>
          <w:sz w:val="22"/>
          <w:szCs w:val="22"/>
          <w:lang w:val="fr-FR"/>
        </w:rPr>
        <w:t>’</w:t>
      </w:r>
      <w:r w:rsidRPr="002F6F90">
        <w:rPr>
          <w:sz w:val="22"/>
          <w:szCs w:val="22"/>
          <w:lang w:val="fr-FR"/>
        </w:rPr>
        <w:t>AEWA, M. Øystein Størkersen à</w:t>
      </w:r>
      <w:r w:rsidR="00A6067A">
        <w:rPr>
          <w:sz w:val="22"/>
          <w:szCs w:val="22"/>
          <w:lang w:val="fr-FR"/>
        </w:rPr>
        <w:t xml:space="preserve"> </w:t>
      </w:r>
      <w:r w:rsidR="002E0522" w:rsidRPr="00A674BE">
        <w:rPr>
          <w:sz w:val="22"/>
          <w:szCs w:val="22"/>
          <w:lang w:val="fr-FR"/>
        </w:rPr>
        <w:t xml:space="preserve"> </w:t>
      </w:r>
      <w:r w:rsidR="00BD00F3" w:rsidRPr="00A674BE">
        <w:rPr>
          <w:sz w:val="22"/>
          <w:szCs w:val="22"/>
          <w:lang w:val="fr-FR"/>
        </w:rPr>
        <w:t xml:space="preserve">M. </w:t>
      </w:r>
      <w:r w:rsidRPr="002F6F90">
        <w:rPr>
          <w:sz w:val="22"/>
          <w:szCs w:val="22"/>
          <w:lang w:val="fr-FR"/>
        </w:rPr>
        <w:t>Branimir Gvozdenovic exigeant une mise à jour sur ce ca</w:t>
      </w:r>
      <w:r>
        <w:rPr>
          <w:sz w:val="22"/>
          <w:szCs w:val="22"/>
          <w:lang w:val="fr-FR"/>
        </w:rPr>
        <w:t>s</w:t>
      </w:r>
      <w:r w:rsidRPr="002F6F90">
        <w:rPr>
          <w:sz w:val="22"/>
          <w:szCs w:val="22"/>
          <w:lang w:val="fr-FR"/>
        </w:rPr>
        <w:t xml:space="preserve"> avant de pouvoir organiser une mission d</w:t>
      </w:r>
      <w:r w:rsidR="00851849">
        <w:rPr>
          <w:sz w:val="22"/>
          <w:szCs w:val="22"/>
          <w:lang w:val="fr-FR"/>
        </w:rPr>
        <w:t>’</w:t>
      </w:r>
      <w:r w:rsidRPr="002F6F90">
        <w:rPr>
          <w:sz w:val="22"/>
          <w:szCs w:val="22"/>
          <w:lang w:val="fr-FR"/>
        </w:rPr>
        <w:t>évaluation sur le terrain.</w:t>
      </w:r>
      <w:r w:rsidR="002E0522" w:rsidRPr="00A674BE">
        <w:rPr>
          <w:sz w:val="22"/>
          <w:szCs w:val="22"/>
          <w:lang w:val="fr-FR"/>
        </w:rPr>
        <w:t xml:space="preserve"> </w:t>
      </w:r>
      <w:r w:rsidRPr="009816D1">
        <w:rPr>
          <w:sz w:val="22"/>
          <w:szCs w:val="22"/>
          <w:lang w:val="fr-FR"/>
        </w:rPr>
        <w:t>Cette demande a été réitérée en août 2014, adressée à Mme Daliborka Pejovic, Secrétaire d</w:t>
      </w:r>
      <w:r w:rsidR="00851849">
        <w:rPr>
          <w:sz w:val="22"/>
          <w:szCs w:val="22"/>
          <w:lang w:val="fr-FR"/>
        </w:rPr>
        <w:t>’</w:t>
      </w:r>
      <w:r w:rsidRPr="009816D1">
        <w:rPr>
          <w:sz w:val="22"/>
          <w:szCs w:val="22"/>
          <w:lang w:val="fr-FR"/>
        </w:rPr>
        <w:t>État du Ministre du Développement durable et du Tourisme.</w:t>
      </w:r>
      <w:r w:rsidR="002E0522" w:rsidRPr="00A674BE">
        <w:rPr>
          <w:sz w:val="22"/>
          <w:szCs w:val="22"/>
          <w:lang w:val="fr-FR"/>
        </w:rPr>
        <w:t xml:space="preserve"> </w:t>
      </w:r>
    </w:p>
    <w:p w:rsidR="002E0522" w:rsidRPr="00A674BE" w:rsidRDefault="002E0522" w:rsidP="007722EB">
      <w:pPr>
        <w:jc w:val="both"/>
        <w:rPr>
          <w:sz w:val="22"/>
          <w:szCs w:val="22"/>
          <w:lang w:val="fr-FR"/>
        </w:rPr>
      </w:pPr>
    </w:p>
    <w:p w:rsidR="002E0522" w:rsidRPr="00A674BE" w:rsidRDefault="009816D1" w:rsidP="007722EB">
      <w:pPr>
        <w:jc w:val="both"/>
        <w:rPr>
          <w:sz w:val="22"/>
          <w:szCs w:val="22"/>
          <w:lang w:val="fr-FR"/>
        </w:rPr>
      </w:pPr>
      <w:r w:rsidRPr="009816D1">
        <w:rPr>
          <w:sz w:val="22"/>
          <w:szCs w:val="22"/>
          <w:lang w:val="fr-FR"/>
        </w:rPr>
        <w:t>Comme la dernière communication de la part du le gouvernement du Monténégro avec le Secrétariat de l</w:t>
      </w:r>
      <w:r w:rsidR="00851849">
        <w:rPr>
          <w:sz w:val="22"/>
          <w:szCs w:val="22"/>
          <w:lang w:val="fr-FR"/>
        </w:rPr>
        <w:t>’</w:t>
      </w:r>
      <w:r w:rsidRPr="009816D1">
        <w:rPr>
          <w:sz w:val="22"/>
          <w:szCs w:val="22"/>
          <w:lang w:val="fr-FR"/>
        </w:rPr>
        <w:t>AEWA remontait à février 2012, le Secrétariat a demandé un rendez-vous à Podgorica</w:t>
      </w:r>
      <w:r w:rsidR="00BD00F3">
        <w:rPr>
          <w:sz w:val="22"/>
          <w:szCs w:val="22"/>
          <w:lang w:val="fr-FR"/>
        </w:rPr>
        <w:t xml:space="preserve"> </w:t>
      </w:r>
      <w:r w:rsidR="00BD00F3" w:rsidRPr="009816D1">
        <w:rPr>
          <w:sz w:val="22"/>
          <w:szCs w:val="22"/>
          <w:lang w:val="fr-FR"/>
        </w:rPr>
        <w:t>en mars 2015</w:t>
      </w:r>
      <w:r w:rsidRPr="009816D1">
        <w:rPr>
          <w:sz w:val="22"/>
          <w:szCs w:val="22"/>
          <w:lang w:val="fr-FR"/>
        </w:rPr>
        <w:t>, en marge d</w:t>
      </w:r>
      <w:r w:rsidR="00851849">
        <w:rPr>
          <w:sz w:val="22"/>
          <w:szCs w:val="22"/>
          <w:lang w:val="fr-FR"/>
        </w:rPr>
        <w:t>’</w:t>
      </w:r>
      <w:r w:rsidRPr="009816D1">
        <w:rPr>
          <w:sz w:val="22"/>
          <w:szCs w:val="22"/>
          <w:lang w:val="fr-FR"/>
        </w:rPr>
        <w:t>une autre réunion ayant lieu en avril 2015 à laquelle participait un représentant du Secrétariat.</w:t>
      </w:r>
      <w:r w:rsidR="002E0522" w:rsidRPr="00A674BE">
        <w:rPr>
          <w:sz w:val="22"/>
          <w:szCs w:val="22"/>
          <w:lang w:val="fr-FR"/>
        </w:rPr>
        <w:t xml:space="preserve"> </w:t>
      </w:r>
    </w:p>
    <w:p w:rsidR="002E0522" w:rsidRPr="00A674BE" w:rsidRDefault="002E0522" w:rsidP="007722EB">
      <w:pPr>
        <w:jc w:val="both"/>
        <w:rPr>
          <w:sz w:val="22"/>
          <w:szCs w:val="22"/>
          <w:lang w:val="fr-FR"/>
        </w:rPr>
      </w:pPr>
    </w:p>
    <w:p w:rsidR="002E0522" w:rsidRPr="00A674BE" w:rsidRDefault="009816D1" w:rsidP="007722EB">
      <w:pPr>
        <w:jc w:val="both"/>
        <w:rPr>
          <w:sz w:val="22"/>
          <w:szCs w:val="22"/>
          <w:lang w:val="fr-FR"/>
        </w:rPr>
      </w:pPr>
      <w:r w:rsidRPr="00693F70">
        <w:rPr>
          <w:sz w:val="22"/>
          <w:szCs w:val="22"/>
          <w:lang w:val="fr-FR"/>
        </w:rPr>
        <w:t>Une réunion internationale sur la conservation des salines d</w:t>
      </w:r>
      <w:r w:rsidR="00851849">
        <w:rPr>
          <w:sz w:val="22"/>
          <w:szCs w:val="22"/>
          <w:lang w:val="fr-FR"/>
        </w:rPr>
        <w:t>’</w:t>
      </w:r>
      <w:r w:rsidRPr="00693F70">
        <w:rPr>
          <w:sz w:val="22"/>
          <w:szCs w:val="22"/>
          <w:lang w:val="fr-FR"/>
        </w:rPr>
        <w:t xml:space="preserve">Ulcinj a eu lieu les 8 et 9 avril à Podgorica, </w:t>
      </w:r>
      <w:r w:rsidR="00BD00F3">
        <w:rPr>
          <w:sz w:val="22"/>
          <w:szCs w:val="22"/>
          <w:lang w:val="fr-FR"/>
        </w:rPr>
        <w:t xml:space="preserve">réunion </w:t>
      </w:r>
      <w:r w:rsidRPr="00693F70">
        <w:rPr>
          <w:sz w:val="22"/>
          <w:szCs w:val="22"/>
          <w:lang w:val="fr-FR"/>
        </w:rPr>
        <w:t>organisée par le Centre monténégrin pour la protection et l</w:t>
      </w:r>
      <w:r w:rsidR="00851849">
        <w:rPr>
          <w:sz w:val="22"/>
          <w:szCs w:val="22"/>
          <w:lang w:val="fr-FR"/>
        </w:rPr>
        <w:t>’</w:t>
      </w:r>
      <w:r w:rsidRPr="00693F70">
        <w:rPr>
          <w:sz w:val="22"/>
          <w:szCs w:val="22"/>
          <w:lang w:val="fr-FR"/>
        </w:rPr>
        <w:t>étude des oiseaux, et EuroNatur</w:t>
      </w:r>
      <w:r w:rsidR="00693F70" w:rsidRPr="00693F70">
        <w:rPr>
          <w:sz w:val="22"/>
          <w:szCs w:val="22"/>
          <w:lang w:val="fr-FR"/>
        </w:rPr>
        <w:t>,</w:t>
      </w:r>
      <w:r w:rsidRPr="00693F70">
        <w:rPr>
          <w:sz w:val="22"/>
          <w:szCs w:val="22"/>
          <w:lang w:val="fr-FR"/>
        </w:rPr>
        <w:t xml:space="preserve"> en coopération avec la municipalité d</w:t>
      </w:r>
      <w:r w:rsidR="00851849">
        <w:rPr>
          <w:sz w:val="22"/>
          <w:szCs w:val="22"/>
          <w:lang w:val="fr-FR"/>
        </w:rPr>
        <w:t>’</w:t>
      </w:r>
      <w:r w:rsidRPr="00693F70">
        <w:rPr>
          <w:sz w:val="22"/>
          <w:szCs w:val="22"/>
          <w:lang w:val="fr-FR"/>
        </w:rPr>
        <w:t>Ulcinj.</w:t>
      </w:r>
      <w:r w:rsidR="009B32D8" w:rsidRPr="00A674BE">
        <w:rPr>
          <w:sz w:val="22"/>
          <w:szCs w:val="22"/>
          <w:lang w:val="fr-FR"/>
        </w:rPr>
        <w:t xml:space="preserve"> </w:t>
      </w:r>
      <w:r w:rsidR="00693F70" w:rsidRPr="00693F70">
        <w:rPr>
          <w:sz w:val="22"/>
          <w:szCs w:val="22"/>
          <w:lang w:val="fr-FR"/>
        </w:rPr>
        <w:t>Un représentant du Secrétariat y a rencontré les responsables du ministère le 7 avril 2015, et il a été conclu que les résultats de la réunion internationale seraient considérés comme étant le travail de suivi du cas d</w:t>
      </w:r>
      <w:r w:rsidR="00851849">
        <w:rPr>
          <w:sz w:val="22"/>
          <w:szCs w:val="22"/>
          <w:lang w:val="fr-FR"/>
        </w:rPr>
        <w:t>’</w:t>
      </w:r>
      <w:r w:rsidR="00693F70" w:rsidRPr="00693F70">
        <w:rPr>
          <w:sz w:val="22"/>
          <w:szCs w:val="22"/>
          <w:lang w:val="fr-FR"/>
        </w:rPr>
        <w:t>IRP.</w:t>
      </w:r>
      <w:r w:rsidR="009B32D8" w:rsidRPr="00A674BE">
        <w:rPr>
          <w:sz w:val="22"/>
          <w:szCs w:val="22"/>
          <w:lang w:val="fr-FR"/>
        </w:rPr>
        <w:t xml:space="preserve"> </w:t>
      </w:r>
    </w:p>
    <w:p w:rsidR="001177B9" w:rsidRPr="00A674BE" w:rsidRDefault="001177B9" w:rsidP="007722EB">
      <w:pPr>
        <w:jc w:val="both"/>
        <w:rPr>
          <w:sz w:val="22"/>
          <w:szCs w:val="22"/>
          <w:lang w:val="fr-FR"/>
        </w:rPr>
      </w:pPr>
    </w:p>
    <w:p w:rsidR="001177B9" w:rsidRPr="00A674BE" w:rsidRDefault="00693F70" w:rsidP="007722EB">
      <w:pPr>
        <w:jc w:val="both"/>
        <w:rPr>
          <w:sz w:val="22"/>
          <w:szCs w:val="22"/>
          <w:lang w:val="fr-FR"/>
        </w:rPr>
      </w:pPr>
      <w:r w:rsidRPr="00693F70">
        <w:rPr>
          <w:sz w:val="22"/>
          <w:szCs w:val="22"/>
          <w:lang w:val="fr-FR"/>
        </w:rPr>
        <w:t>Les conclusions de la conférence internationale ont abouti à une liste de points d</w:t>
      </w:r>
      <w:r w:rsidR="00851849">
        <w:rPr>
          <w:sz w:val="22"/>
          <w:szCs w:val="22"/>
          <w:lang w:val="fr-FR"/>
        </w:rPr>
        <w:t>’</w:t>
      </w:r>
      <w:r w:rsidRPr="00693F70">
        <w:rPr>
          <w:sz w:val="22"/>
          <w:szCs w:val="22"/>
          <w:lang w:val="fr-FR"/>
        </w:rPr>
        <w:t>action avec des dates butoirs et des responsabilités clairement définies, acceptées par tous les participants et également présentées le 9 avril 2015 dans la ville d</w:t>
      </w:r>
      <w:r w:rsidR="00851849">
        <w:rPr>
          <w:sz w:val="22"/>
          <w:szCs w:val="22"/>
          <w:lang w:val="fr-FR"/>
        </w:rPr>
        <w:t>’</w:t>
      </w:r>
      <w:r w:rsidRPr="00693F70">
        <w:rPr>
          <w:sz w:val="22"/>
          <w:szCs w:val="22"/>
          <w:lang w:val="fr-FR"/>
        </w:rPr>
        <w:t>Ulcinj à une délégation du Parlement européen s</w:t>
      </w:r>
      <w:r w:rsidR="00851849">
        <w:rPr>
          <w:sz w:val="22"/>
          <w:szCs w:val="22"/>
          <w:lang w:val="fr-FR"/>
        </w:rPr>
        <w:t>’</w:t>
      </w:r>
      <w:r w:rsidR="00645753" w:rsidRPr="00693F70">
        <w:rPr>
          <w:sz w:val="22"/>
          <w:szCs w:val="22"/>
          <w:lang w:val="fr-FR"/>
        </w:rPr>
        <w:t>intéressant</w:t>
      </w:r>
      <w:r w:rsidRPr="00693F70">
        <w:rPr>
          <w:sz w:val="22"/>
          <w:szCs w:val="22"/>
          <w:lang w:val="fr-FR"/>
        </w:rPr>
        <w:t xml:space="preserve"> </w:t>
      </w:r>
      <w:r w:rsidR="00645753" w:rsidRPr="00693F70">
        <w:rPr>
          <w:sz w:val="22"/>
          <w:szCs w:val="22"/>
          <w:lang w:val="fr-FR"/>
        </w:rPr>
        <w:t>à</w:t>
      </w:r>
      <w:r w:rsidRPr="00693F70">
        <w:rPr>
          <w:sz w:val="22"/>
          <w:szCs w:val="22"/>
          <w:lang w:val="fr-FR"/>
        </w:rPr>
        <w:t xml:space="preserve"> ce cas.</w:t>
      </w:r>
    </w:p>
    <w:p w:rsidR="003A7BC0" w:rsidRPr="00A674BE" w:rsidRDefault="003A7BC0" w:rsidP="00BE76D2">
      <w:pPr>
        <w:jc w:val="both"/>
        <w:rPr>
          <w:sz w:val="22"/>
          <w:szCs w:val="22"/>
          <w:lang w:val="fr-FR"/>
        </w:rPr>
      </w:pPr>
    </w:p>
    <w:p w:rsidR="001177B9" w:rsidRPr="00A674BE" w:rsidRDefault="00645753" w:rsidP="001177B9">
      <w:pPr>
        <w:jc w:val="both"/>
        <w:rPr>
          <w:b/>
          <w:sz w:val="22"/>
          <w:szCs w:val="22"/>
          <w:lang w:val="fr-FR"/>
        </w:rPr>
      </w:pPr>
      <w:r w:rsidRPr="00645753">
        <w:rPr>
          <w:b/>
          <w:sz w:val="22"/>
          <w:szCs w:val="22"/>
          <w:lang w:val="fr-FR"/>
        </w:rPr>
        <w:t>Suivi</w:t>
      </w:r>
    </w:p>
    <w:p w:rsidR="001177B9" w:rsidRPr="00A674BE" w:rsidRDefault="001177B9" w:rsidP="001177B9">
      <w:pPr>
        <w:jc w:val="both"/>
        <w:rPr>
          <w:sz w:val="22"/>
          <w:szCs w:val="22"/>
          <w:lang w:val="fr-FR"/>
        </w:rPr>
      </w:pPr>
    </w:p>
    <w:p w:rsidR="001177B9" w:rsidRPr="00A674BE" w:rsidRDefault="00645753" w:rsidP="001177B9">
      <w:pPr>
        <w:jc w:val="both"/>
        <w:rPr>
          <w:sz w:val="22"/>
          <w:szCs w:val="22"/>
          <w:lang w:val="fr-FR"/>
        </w:rPr>
      </w:pPr>
      <w:r w:rsidRPr="00645753">
        <w:rPr>
          <w:sz w:val="22"/>
          <w:szCs w:val="22"/>
          <w:lang w:val="fr-FR"/>
        </w:rPr>
        <w:t>Au moment de la rédaction de ce document, le Comité permanent de l</w:t>
      </w:r>
      <w:r w:rsidR="00851849">
        <w:rPr>
          <w:sz w:val="22"/>
          <w:szCs w:val="22"/>
          <w:lang w:val="fr-FR"/>
        </w:rPr>
        <w:t>’</w:t>
      </w:r>
      <w:r w:rsidRPr="00645753">
        <w:rPr>
          <w:sz w:val="22"/>
          <w:szCs w:val="22"/>
          <w:lang w:val="fr-FR"/>
        </w:rPr>
        <w:t xml:space="preserve">AEWA </w:t>
      </w:r>
      <w:r w:rsidRPr="002734CB">
        <w:rPr>
          <w:sz w:val="22"/>
          <w:szCs w:val="22"/>
          <w:lang w:val="fr-FR"/>
        </w:rPr>
        <w:t>doit examiner les</w:t>
      </w:r>
      <w:r w:rsidRPr="00645753">
        <w:rPr>
          <w:sz w:val="22"/>
          <w:szCs w:val="22"/>
          <w:lang w:val="fr-FR"/>
        </w:rPr>
        <w:t xml:space="preserve"> conclusions de la conférence internationale sur la conservation des salines d</w:t>
      </w:r>
      <w:r w:rsidR="00851849">
        <w:rPr>
          <w:sz w:val="22"/>
          <w:szCs w:val="22"/>
          <w:lang w:val="fr-FR"/>
        </w:rPr>
        <w:t>’</w:t>
      </w:r>
      <w:r w:rsidRPr="00645753">
        <w:rPr>
          <w:sz w:val="22"/>
          <w:szCs w:val="22"/>
          <w:lang w:val="fr-FR"/>
        </w:rPr>
        <w:t xml:space="preserve">Ulcinj et décider des </w:t>
      </w:r>
      <w:r w:rsidR="00BB095D" w:rsidRPr="00645753">
        <w:rPr>
          <w:sz w:val="22"/>
          <w:szCs w:val="22"/>
          <w:lang w:val="fr-FR"/>
        </w:rPr>
        <w:t>prochaines</w:t>
      </w:r>
      <w:r w:rsidRPr="00645753">
        <w:rPr>
          <w:sz w:val="22"/>
          <w:szCs w:val="22"/>
          <w:lang w:val="fr-FR"/>
        </w:rPr>
        <w:t xml:space="preserve"> mesures à prendre dans le cadre de la procédure d</w:t>
      </w:r>
      <w:r w:rsidR="00851849">
        <w:rPr>
          <w:sz w:val="22"/>
          <w:szCs w:val="22"/>
          <w:lang w:val="fr-FR"/>
        </w:rPr>
        <w:t>’</w:t>
      </w:r>
      <w:r w:rsidRPr="00645753">
        <w:rPr>
          <w:sz w:val="22"/>
          <w:szCs w:val="22"/>
          <w:lang w:val="fr-FR"/>
        </w:rPr>
        <w:t>IRP.</w:t>
      </w:r>
      <w:r w:rsidR="001177B9" w:rsidRPr="00A674BE">
        <w:rPr>
          <w:sz w:val="22"/>
          <w:szCs w:val="22"/>
          <w:lang w:val="fr-FR"/>
        </w:rPr>
        <w:t xml:space="preserve"> </w:t>
      </w:r>
    </w:p>
    <w:p w:rsidR="001177B9" w:rsidRPr="00A674BE" w:rsidRDefault="001177B9" w:rsidP="00BE76D2">
      <w:pPr>
        <w:jc w:val="both"/>
        <w:rPr>
          <w:sz w:val="22"/>
          <w:szCs w:val="22"/>
          <w:lang w:val="fr-FR"/>
        </w:rPr>
      </w:pPr>
    </w:p>
    <w:p w:rsidR="003A7BC0" w:rsidRPr="00A674BE" w:rsidRDefault="003A7BC0" w:rsidP="00241530">
      <w:pPr>
        <w:pageBreakBefore/>
        <w:jc w:val="both"/>
        <w:rPr>
          <w:sz w:val="22"/>
          <w:szCs w:val="22"/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1"/>
        <w:gridCol w:w="3210"/>
        <w:gridCol w:w="3208"/>
      </w:tblGrid>
      <w:tr w:rsidR="003A7BC0" w:rsidRPr="00A674BE" w:rsidTr="00645753">
        <w:tc>
          <w:tcPr>
            <w:tcW w:w="1667" w:type="pct"/>
          </w:tcPr>
          <w:p w:rsidR="003A7BC0" w:rsidRPr="004919AE" w:rsidRDefault="00645753" w:rsidP="00020DD7">
            <w:pPr>
              <w:rPr>
                <w:lang w:val="en-GB"/>
              </w:rPr>
            </w:pPr>
            <w:r w:rsidRPr="00645753">
              <w:rPr>
                <w:b/>
                <w:sz w:val="22"/>
                <w:szCs w:val="22"/>
                <w:lang w:val="fr-FR"/>
              </w:rPr>
              <w:t>Numéro de cas IRP 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3</w:t>
            </w:r>
          </w:p>
          <w:p w:rsidR="003A7BC0" w:rsidRPr="004919AE" w:rsidRDefault="003A7BC0" w:rsidP="00020DD7">
            <w:pPr>
              <w:rPr>
                <w:lang w:val="en-GB"/>
              </w:rPr>
            </w:pPr>
          </w:p>
        </w:tc>
        <w:tc>
          <w:tcPr>
            <w:tcW w:w="3333" w:type="pct"/>
            <w:gridSpan w:val="2"/>
          </w:tcPr>
          <w:p w:rsidR="003A7BC0" w:rsidRPr="00A674BE" w:rsidRDefault="00645753" w:rsidP="00020DD7">
            <w:pPr>
              <w:rPr>
                <w:lang w:val="fr-FR"/>
              </w:rPr>
            </w:pPr>
            <w:r w:rsidRPr="00645753">
              <w:rPr>
                <w:b/>
                <w:sz w:val="22"/>
                <w:szCs w:val="22"/>
                <w:lang w:val="fr-FR"/>
              </w:rPr>
              <w:t>État :</w:t>
            </w:r>
            <w:r w:rsidR="003A7BC0" w:rsidRPr="00A674BE">
              <w:rPr>
                <w:sz w:val="22"/>
                <w:szCs w:val="22"/>
                <w:lang w:val="fr-FR"/>
              </w:rPr>
              <w:t xml:space="preserve"> </w:t>
            </w:r>
            <w:r w:rsidRPr="00645753">
              <w:rPr>
                <w:sz w:val="22"/>
                <w:szCs w:val="22"/>
                <w:lang w:val="fr-FR"/>
              </w:rPr>
              <w:t>En cours</w:t>
            </w:r>
            <w:r w:rsidR="003A7BC0" w:rsidRPr="00A674BE">
              <w:rPr>
                <w:sz w:val="22"/>
                <w:szCs w:val="22"/>
                <w:lang w:val="fr-FR"/>
              </w:rPr>
              <w:t xml:space="preserve"> </w:t>
            </w:r>
          </w:p>
          <w:p w:rsidR="003A7BC0" w:rsidRPr="00A674BE" w:rsidRDefault="00645753" w:rsidP="00424FB6">
            <w:pPr>
              <w:rPr>
                <w:lang w:val="fr-FR"/>
              </w:rPr>
            </w:pPr>
            <w:r w:rsidRPr="00645753">
              <w:rPr>
                <w:sz w:val="22"/>
                <w:szCs w:val="22"/>
                <w:lang w:val="fr-FR"/>
              </w:rPr>
              <w:t>(nouvelle mise à jour à demander au gouvernement)</w:t>
            </w:r>
          </w:p>
        </w:tc>
      </w:tr>
      <w:tr w:rsidR="003A7BC0" w:rsidRPr="00A674BE" w:rsidTr="00645753">
        <w:tc>
          <w:tcPr>
            <w:tcW w:w="1667" w:type="pct"/>
          </w:tcPr>
          <w:p w:rsidR="003A7BC0" w:rsidRPr="004919AE" w:rsidRDefault="00645753" w:rsidP="00020DD7">
            <w:pPr>
              <w:rPr>
                <w:lang w:val="en-GB"/>
              </w:rPr>
            </w:pPr>
            <w:r w:rsidRPr="00645753">
              <w:rPr>
                <w:b/>
                <w:sz w:val="22"/>
                <w:szCs w:val="22"/>
                <w:lang w:val="fr-FR"/>
              </w:rPr>
              <w:t>Partie 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</w:t>
            </w:r>
          </w:p>
          <w:p w:rsidR="003A7BC0" w:rsidRPr="004919AE" w:rsidRDefault="00645753" w:rsidP="00020DD7">
            <w:pPr>
              <w:rPr>
                <w:lang w:val="en-GB"/>
              </w:rPr>
            </w:pPr>
            <w:r w:rsidRPr="00645753">
              <w:rPr>
                <w:sz w:val="22"/>
                <w:szCs w:val="22"/>
                <w:lang w:val="fr-FR"/>
              </w:rPr>
              <w:t>Bulgarie</w:t>
            </w:r>
          </w:p>
          <w:p w:rsidR="003A7BC0" w:rsidRPr="004919AE" w:rsidRDefault="003A7BC0" w:rsidP="00020DD7">
            <w:pPr>
              <w:rPr>
                <w:lang w:val="en-GB"/>
              </w:rPr>
            </w:pPr>
          </w:p>
        </w:tc>
        <w:tc>
          <w:tcPr>
            <w:tcW w:w="1667" w:type="pct"/>
          </w:tcPr>
          <w:p w:rsidR="003A7BC0" w:rsidRPr="004919AE" w:rsidRDefault="00645753" w:rsidP="00424FB6">
            <w:pPr>
              <w:rPr>
                <w:lang w:val="en-GB"/>
              </w:rPr>
            </w:pPr>
            <w:r w:rsidRPr="00645753">
              <w:rPr>
                <w:b/>
                <w:sz w:val="22"/>
                <w:szCs w:val="22"/>
                <w:lang w:val="fr-FR"/>
              </w:rPr>
              <w:t>Année d</w:t>
            </w:r>
            <w:r w:rsidR="00851849">
              <w:rPr>
                <w:b/>
                <w:sz w:val="22"/>
                <w:szCs w:val="22"/>
                <w:lang w:val="fr-FR"/>
              </w:rPr>
              <w:t>’</w:t>
            </w:r>
            <w:r w:rsidRPr="00645753">
              <w:rPr>
                <w:b/>
                <w:sz w:val="22"/>
                <w:szCs w:val="22"/>
                <w:lang w:val="fr-FR"/>
              </w:rPr>
              <w:t>ouverture: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2012</w:t>
            </w:r>
          </w:p>
        </w:tc>
        <w:tc>
          <w:tcPr>
            <w:tcW w:w="1667" w:type="pct"/>
          </w:tcPr>
          <w:p w:rsidR="003A7BC0" w:rsidRPr="00A674BE" w:rsidRDefault="00645753" w:rsidP="00424FB6">
            <w:pPr>
              <w:rPr>
                <w:lang w:val="fr-FR"/>
              </w:rPr>
            </w:pPr>
            <w:r w:rsidRPr="00645753">
              <w:rPr>
                <w:b/>
                <w:sz w:val="22"/>
                <w:szCs w:val="22"/>
                <w:lang w:val="fr-FR"/>
              </w:rPr>
              <w:t>Année de clôture</w:t>
            </w:r>
            <w:r w:rsidR="00BB095D">
              <w:rPr>
                <w:b/>
                <w:sz w:val="22"/>
                <w:szCs w:val="22"/>
                <w:lang w:val="fr-FR"/>
              </w:rPr>
              <w:t> :</w:t>
            </w:r>
            <w:r w:rsidR="003A7BC0" w:rsidRPr="00A674BE">
              <w:rPr>
                <w:sz w:val="22"/>
                <w:szCs w:val="22"/>
                <w:lang w:val="fr-FR"/>
              </w:rPr>
              <w:t xml:space="preserve"> </w:t>
            </w:r>
            <w:r w:rsidRPr="00645753">
              <w:rPr>
                <w:sz w:val="22"/>
                <w:szCs w:val="22"/>
                <w:lang w:val="fr-FR"/>
              </w:rPr>
              <w:t>s.o.</w:t>
            </w:r>
          </w:p>
        </w:tc>
      </w:tr>
      <w:tr w:rsidR="003A7BC0" w:rsidRPr="00A674BE" w:rsidTr="00645753">
        <w:tc>
          <w:tcPr>
            <w:tcW w:w="5000" w:type="pct"/>
            <w:gridSpan w:val="3"/>
          </w:tcPr>
          <w:p w:rsidR="003A7BC0" w:rsidRPr="00A674BE" w:rsidRDefault="00645753" w:rsidP="00020DD7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Problème</w:t>
            </w:r>
            <w:r w:rsidR="00BB095D">
              <w:rPr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sz w:val="22"/>
                <w:szCs w:val="22"/>
                <w:lang w:val="fr-FR"/>
              </w:rPr>
              <w:t xml:space="preserve"> Projet de ferme éolienne </w:t>
            </w:r>
            <w:r w:rsidR="00BB095D">
              <w:rPr>
                <w:sz w:val="22"/>
                <w:szCs w:val="22"/>
                <w:lang w:val="fr-FR"/>
              </w:rPr>
              <w:t xml:space="preserve">proche du </w:t>
            </w:r>
            <w:r>
              <w:rPr>
                <w:sz w:val="22"/>
                <w:szCs w:val="22"/>
                <w:lang w:val="fr-FR"/>
              </w:rPr>
              <w:t>lac Durankulak, qui menace la Bernache à cou roux (</w:t>
            </w:r>
            <w:r>
              <w:rPr>
                <w:i/>
                <w:iCs/>
                <w:sz w:val="22"/>
                <w:szCs w:val="22"/>
                <w:lang w:val="fr-FR"/>
              </w:rPr>
              <w:t>Branta ruficollis</w:t>
            </w:r>
            <w:r>
              <w:rPr>
                <w:sz w:val="22"/>
                <w:szCs w:val="22"/>
                <w:lang w:val="fr-FR"/>
              </w:rPr>
              <w:t>), espèce globalement menacée</w:t>
            </w:r>
          </w:p>
          <w:p w:rsidR="003A7BC0" w:rsidRPr="00A674BE" w:rsidRDefault="003A7BC0" w:rsidP="00020DD7">
            <w:pPr>
              <w:rPr>
                <w:lang w:val="fr-FR"/>
              </w:rPr>
            </w:pPr>
          </w:p>
        </w:tc>
      </w:tr>
      <w:tr w:rsidR="003A7BC0" w:rsidRPr="00A674BE" w:rsidTr="00645753">
        <w:tc>
          <w:tcPr>
            <w:tcW w:w="5000" w:type="pct"/>
            <w:gridSpan w:val="3"/>
          </w:tcPr>
          <w:p w:rsidR="00645753" w:rsidRDefault="00645753" w:rsidP="00645753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Correspondance officielle</w:t>
            </w:r>
          </w:p>
          <w:p w:rsidR="003A7BC0" w:rsidRPr="00A674BE" w:rsidRDefault="00645753" w:rsidP="00645753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29 mars 2012 – lettre du Président du Comité permanent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AEWA, M. Øystein Størkersen, adressée 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BD00F3">
              <w:rPr>
                <w:sz w:val="22"/>
                <w:szCs w:val="22"/>
                <w:lang w:val="fr-FR"/>
              </w:rPr>
              <w:t xml:space="preserve">Mme </w:t>
            </w:r>
            <w:r>
              <w:rPr>
                <w:sz w:val="22"/>
                <w:szCs w:val="22"/>
                <w:lang w:val="fr-FR"/>
              </w:rPr>
              <w:t>Nona Karadjova, Ministre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BB095D"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BB095D"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au (</w:t>
            </w:r>
            <w:r>
              <w:rPr>
                <w:i/>
                <w:iCs/>
                <w:sz w:val="22"/>
                <w:szCs w:val="22"/>
                <w:lang w:val="fr-FR"/>
              </w:rPr>
              <w:t>exprimant son inquiétude, demandant des informations officielles concernant le problème, faisant part de la décision du StC d</w:t>
            </w:r>
            <w:r w:rsidR="00851849">
              <w:rPr>
                <w:i/>
                <w:iCs/>
                <w:sz w:val="22"/>
                <w:szCs w:val="22"/>
                <w:lang w:val="fr-FR"/>
              </w:rPr>
              <w:t>’</w:t>
            </w:r>
            <w:r w:rsidR="00151639">
              <w:rPr>
                <w:i/>
                <w:iCs/>
                <w:sz w:val="22"/>
                <w:szCs w:val="22"/>
                <w:lang w:val="fr-FR"/>
              </w:rPr>
              <w:t>engager une procédure</w:t>
            </w:r>
            <w:r>
              <w:rPr>
                <w:i/>
                <w:iCs/>
                <w:sz w:val="22"/>
                <w:szCs w:val="22"/>
                <w:lang w:val="fr-FR"/>
              </w:rPr>
              <w:t>, proposant une mission d</w:t>
            </w:r>
            <w:r w:rsidR="00851849">
              <w:rPr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i/>
                <w:iCs/>
                <w:sz w:val="22"/>
                <w:szCs w:val="22"/>
                <w:lang w:val="fr-FR"/>
              </w:rPr>
              <w:t>évaluation sur place</w:t>
            </w:r>
            <w:r>
              <w:rPr>
                <w:sz w:val="22"/>
                <w:szCs w:val="22"/>
                <w:lang w:val="fr-FR"/>
              </w:rPr>
              <w:t>)</w:t>
            </w:r>
          </w:p>
          <w:p w:rsidR="003A7BC0" w:rsidRPr="00A674BE" w:rsidRDefault="003A7BC0" w:rsidP="00341D57">
            <w:pPr>
              <w:rPr>
                <w:lang w:val="fr-FR"/>
              </w:rPr>
            </w:pPr>
          </w:p>
          <w:p w:rsidR="00F05412" w:rsidRPr="00A674BE" w:rsidRDefault="0043418A" w:rsidP="00F05412">
            <w:pPr>
              <w:rPr>
                <w:lang w:val="fr-FR"/>
              </w:rPr>
            </w:pPr>
            <w:r w:rsidRPr="0043418A">
              <w:rPr>
                <w:lang w:val="fr-FR"/>
              </w:rPr>
              <w:t xml:space="preserve">8 mai 2012 – lettre de Mme </w:t>
            </w:r>
            <w:r w:rsidRPr="0043418A">
              <w:rPr>
                <w:sz w:val="22"/>
                <w:szCs w:val="22"/>
                <w:lang w:val="fr-FR"/>
              </w:rPr>
              <w:t xml:space="preserve">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43418A">
              <w:rPr>
                <w:sz w:val="22"/>
                <w:szCs w:val="22"/>
                <w:lang w:val="fr-FR"/>
              </w:rPr>
              <w:t xml:space="preserve"> adjoint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43418A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43418A">
              <w:rPr>
                <w:sz w:val="22"/>
                <w:szCs w:val="22"/>
                <w:lang w:val="fr-FR"/>
              </w:rPr>
              <w:t>Eau adressée au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43418A">
              <w:rPr>
                <w:sz w:val="22"/>
                <w:szCs w:val="22"/>
                <w:lang w:val="fr-FR"/>
              </w:rPr>
              <w:t>AEWA (</w:t>
            </w:r>
            <w:r w:rsidRPr="002734CB">
              <w:rPr>
                <w:i/>
                <w:sz w:val="22"/>
                <w:szCs w:val="22"/>
                <w:lang w:val="fr-FR"/>
              </w:rPr>
              <w:t xml:space="preserve">demandant </w:t>
            </w:r>
            <w:r w:rsidR="002734CB">
              <w:rPr>
                <w:i/>
                <w:sz w:val="22"/>
                <w:szCs w:val="22"/>
                <w:lang w:val="fr-FR"/>
              </w:rPr>
              <w:t xml:space="preserve">des précisions sur quelle ferme </w:t>
            </w:r>
            <w:r w:rsidRPr="0043418A">
              <w:rPr>
                <w:i/>
                <w:sz w:val="22"/>
                <w:szCs w:val="22"/>
                <w:lang w:val="fr-FR"/>
              </w:rPr>
              <w:t xml:space="preserve">éolienne </w:t>
            </w:r>
            <w:r w:rsidR="00BB095D">
              <w:rPr>
                <w:i/>
                <w:sz w:val="22"/>
                <w:szCs w:val="22"/>
                <w:lang w:val="fr-FR"/>
              </w:rPr>
              <w:t>exactement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43418A">
              <w:rPr>
                <w:i/>
                <w:sz w:val="22"/>
                <w:szCs w:val="22"/>
                <w:lang w:val="fr-FR"/>
              </w:rPr>
              <w:t>soulev</w:t>
            </w:r>
            <w:r w:rsidR="00BB095D">
              <w:rPr>
                <w:i/>
                <w:sz w:val="22"/>
                <w:szCs w:val="22"/>
                <w:lang w:val="fr-FR"/>
              </w:rPr>
              <w:t>ait</w:t>
            </w:r>
            <w:r w:rsidRPr="0043418A">
              <w:rPr>
                <w:i/>
                <w:sz w:val="22"/>
                <w:szCs w:val="22"/>
                <w:lang w:val="fr-FR"/>
              </w:rPr>
              <w:t xml:space="preserve"> des inquiétudes et </w:t>
            </w:r>
            <w:r w:rsidR="002734CB">
              <w:rPr>
                <w:i/>
                <w:sz w:val="22"/>
                <w:szCs w:val="22"/>
                <w:lang w:val="fr-FR"/>
              </w:rPr>
              <w:t>sur l</w:t>
            </w:r>
            <w:r w:rsidRPr="0043418A">
              <w:rPr>
                <w:i/>
                <w:sz w:val="22"/>
                <w:szCs w:val="22"/>
                <w:lang w:val="fr-FR"/>
              </w:rPr>
              <w:t xml:space="preserve">es </w:t>
            </w:r>
            <w:r w:rsidRPr="002734CB">
              <w:rPr>
                <w:i/>
                <w:sz w:val="22"/>
                <w:szCs w:val="22"/>
                <w:lang w:val="fr-FR"/>
              </w:rPr>
              <w:t>obligations</w:t>
            </w:r>
            <w:r w:rsidR="002B2B8E" w:rsidRPr="002734CB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2734CB">
              <w:rPr>
                <w:i/>
                <w:sz w:val="22"/>
                <w:szCs w:val="22"/>
                <w:lang w:val="fr-FR"/>
              </w:rPr>
              <w:t>découlant d</w:t>
            </w:r>
            <w:r w:rsidR="00851849" w:rsidRPr="002734CB">
              <w:rPr>
                <w:i/>
                <w:sz w:val="22"/>
                <w:szCs w:val="22"/>
                <w:lang w:val="fr-FR"/>
              </w:rPr>
              <w:t>’</w:t>
            </w:r>
            <w:r w:rsidRPr="002734CB">
              <w:rPr>
                <w:i/>
                <w:sz w:val="22"/>
                <w:szCs w:val="22"/>
                <w:lang w:val="fr-FR"/>
              </w:rPr>
              <w:t>une mission d</w:t>
            </w:r>
            <w:r w:rsidR="00851849" w:rsidRPr="002734CB">
              <w:rPr>
                <w:i/>
                <w:sz w:val="22"/>
                <w:szCs w:val="22"/>
                <w:lang w:val="fr-FR"/>
              </w:rPr>
              <w:t>’</w:t>
            </w:r>
            <w:r w:rsidRPr="002734CB">
              <w:rPr>
                <w:i/>
                <w:sz w:val="22"/>
                <w:szCs w:val="22"/>
                <w:lang w:val="fr-FR"/>
              </w:rPr>
              <w:t xml:space="preserve">évaluation sur </w:t>
            </w:r>
            <w:r w:rsidR="002734CB">
              <w:rPr>
                <w:i/>
                <w:sz w:val="22"/>
                <w:szCs w:val="22"/>
                <w:lang w:val="fr-FR"/>
              </w:rPr>
              <w:t>place</w:t>
            </w:r>
            <w:r w:rsidR="00A6067A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2734CB">
              <w:rPr>
                <w:i/>
                <w:sz w:val="22"/>
                <w:szCs w:val="22"/>
                <w:lang w:val="fr-FR"/>
              </w:rPr>
              <w:t>auxquelles le ministère devra se conformer</w:t>
            </w:r>
            <w:r w:rsidRPr="0043418A">
              <w:rPr>
                <w:sz w:val="22"/>
                <w:szCs w:val="22"/>
                <w:lang w:val="fr-FR"/>
              </w:rPr>
              <w:t>)</w:t>
            </w:r>
          </w:p>
          <w:p w:rsidR="00F05412" w:rsidRPr="00A674BE" w:rsidRDefault="00F05412" w:rsidP="00F05412">
            <w:pPr>
              <w:rPr>
                <w:lang w:val="fr-FR"/>
              </w:rPr>
            </w:pPr>
          </w:p>
          <w:p w:rsidR="00F05412" w:rsidRPr="00A674BE" w:rsidRDefault="0043418A" w:rsidP="00F05412">
            <w:pPr>
              <w:rPr>
                <w:lang w:val="fr-FR"/>
              </w:rPr>
            </w:pPr>
            <w:r w:rsidRPr="0043418A">
              <w:rPr>
                <w:sz w:val="22"/>
                <w:szCs w:val="22"/>
                <w:lang w:val="fr-FR"/>
              </w:rPr>
              <w:t>29 mai 2012 – lettre du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43418A">
              <w:rPr>
                <w:sz w:val="22"/>
                <w:szCs w:val="22"/>
                <w:lang w:val="fr-FR"/>
              </w:rPr>
              <w:t xml:space="preserve">AEWA à Mme 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43418A">
              <w:rPr>
                <w:sz w:val="22"/>
                <w:szCs w:val="22"/>
                <w:lang w:val="fr-FR"/>
              </w:rPr>
              <w:t xml:space="preserve"> </w:t>
            </w:r>
            <w:r w:rsidR="002734CB">
              <w:rPr>
                <w:sz w:val="22"/>
                <w:szCs w:val="22"/>
                <w:lang w:val="fr-FR"/>
              </w:rPr>
              <w:t>adjointe</w:t>
            </w:r>
            <w:r w:rsidRPr="0043418A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43418A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43418A">
              <w:rPr>
                <w:sz w:val="22"/>
                <w:szCs w:val="22"/>
                <w:lang w:val="fr-FR"/>
              </w:rPr>
              <w:t>Eau (</w:t>
            </w:r>
            <w:r w:rsidRPr="0043418A">
              <w:rPr>
                <w:i/>
                <w:sz w:val="22"/>
                <w:szCs w:val="22"/>
                <w:lang w:val="fr-FR"/>
              </w:rPr>
              <w:t>fournissant les explications demandées dans sa lettre du 8 mai 2012</w:t>
            </w:r>
            <w:r w:rsidRPr="0043418A">
              <w:rPr>
                <w:sz w:val="22"/>
                <w:szCs w:val="22"/>
                <w:lang w:val="fr-FR"/>
              </w:rPr>
              <w:t>)</w:t>
            </w:r>
          </w:p>
          <w:p w:rsidR="00F05412" w:rsidRPr="00A674BE" w:rsidRDefault="00F05412" w:rsidP="00341D57">
            <w:pPr>
              <w:rPr>
                <w:lang w:val="fr-FR"/>
              </w:rPr>
            </w:pPr>
          </w:p>
          <w:p w:rsidR="00F05412" w:rsidRPr="00A674BE" w:rsidRDefault="0043418A" w:rsidP="00F05412">
            <w:pPr>
              <w:rPr>
                <w:lang w:val="fr-FR"/>
              </w:rPr>
            </w:pPr>
            <w:r w:rsidRPr="00FF64D5">
              <w:rPr>
                <w:lang w:val="fr-FR"/>
              </w:rPr>
              <w:t xml:space="preserve">10 juillet 2012 - lettre de Mme </w:t>
            </w:r>
            <w:r w:rsidRPr="00FF64D5">
              <w:rPr>
                <w:sz w:val="22"/>
                <w:szCs w:val="22"/>
                <w:lang w:val="fr-FR"/>
              </w:rPr>
              <w:t xml:space="preserve">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FF64D5">
              <w:rPr>
                <w:sz w:val="22"/>
                <w:szCs w:val="22"/>
                <w:lang w:val="fr-FR"/>
              </w:rPr>
              <w:t xml:space="preserve"> </w:t>
            </w:r>
            <w:r w:rsidR="002734CB">
              <w:rPr>
                <w:sz w:val="22"/>
                <w:szCs w:val="22"/>
                <w:lang w:val="fr-FR"/>
              </w:rPr>
              <w:t>adjointe</w:t>
            </w:r>
            <w:r w:rsidRPr="00FF64D5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FF64D5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FF64D5">
              <w:rPr>
                <w:sz w:val="22"/>
                <w:szCs w:val="22"/>
                <w:lang w:val="fr-FR"/>
              </w:rPr>
              <w:t>Eau au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FF64D5">
              <w:rPr>
                <w:sz w:val="22"/>
                <w:szCs w:val="22"/>
                <w:lang w:val="fr-FR"/>
              </w:rPr>
              <w:t>AEWA (</w:t>
            </w:r>
            <w:r w:rsidRPr="00FF64D5">
              <w:rPr>
                <w:i/>
                <w:sz w:val="22"/>
                <w:szCs w:val="22"/>
                <w:lang w:val="fr-FR"/>
              </w:rPr>
              <w:t>fournissant des informations sur l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état de la procédure et la 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>situation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 juridique de la 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>proposition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>investissement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 pour 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>la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 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>construction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une ferme éolienne et 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>demandant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 de plus amples 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>clarifications</w:t>
            </w:r>
            <w:r w:rsidRPr="00FF64D5">
              <w:rPr>
                <w:i/>
                <w:sz w:val="22"/>
                <w:szCs w:val="22"/>
                <w:lang w:val="fr-FR"/>
              </w:rPr>
              <w:t xml:space="preserve"> sur </w:t>
            </w:r>
            <w:r w:rsidR="00CC16FC" w:rsidRPr="00FF64D5">
              <w:rPr>
                <w:i/>
                <w:sz w:val="22"/>
                <w:szCs w:val="22"/>
                <w:lang w:val="fr-FR"/>
              </w:rPr>
              <w:t xml:space="preserve">les </w:t>
            </w:r>
            <w:r w:rsidR="00CC16FC" w:rsidRPr="002734CB">
              <w:rPr>
                <w:i/>
                <w:sz w:val="22"/>
                <w:szCs w:val="22"/>
                <w:lang w:val="fr-FR"/>
              </w:rPr>
              <w:t>obligations incombant au ministère</w:t>
            </w:r>
            <w:r w:rsidR="002734CB">
              <w:rPr>
                <w:i/>
                <w:sz w:val="22"/>
                <w:szCs w:val="22"/>
                <w:lang w:val="fr-FR"/>
              </w:rPr>
              <w:t xml:space="preserve"> à la suite de </w:t>
            </w:r>
            <w:r w:rsidR="00CC16FC" w:rsidRPr="002734CB">
              <w:rPr>
                <w:i/>
                <w:sz w:val="22"/>
                <w:szCs w:val="22"/>
                <w:lang w:val="fr-FR"/>
              </w:rPr>
              <w:t>la mission d</w:t>
            </w:r>
            <w:r w:rsidR="00851849" w:rsidRPr="002734CB">
              <w:rPr>
                <w:i/>
                <w:sz w:val="22"/>
                <w:szCs w:val="22"/>
                <w:lang w:val="fr-FR"/>
              </w:rPr>
              <w:t>’</w:t>
            </w:r>
            <w:r w:rsidR="00CC16FC" w:rsidRPr="002734CB">
              <w:rPr>
                <w:i/>
                <w:sz w:val="22"/>
                <w:szCs w:val="22"/>
                <w:lang w:val="fr-FR"/>
              </w:rPr>
              <w:t xml:space="preserve">évaluation sur </w:t>
            </w:r>
            <w:r w:rsidR="002734CB">
              <w:rPr>
                <w:i/>
                <w:sz w:val="22"/>
                <w:szCs w:val="22"/>
                <w:lang w:val="fr-FR"/>
              </w:rPr>
              <w:t>place</w:t>
            </w:r>
            <w:r w:rsidRPr="00FF64D5">
              <w:rPr>
                <w:sz w:val="22"/>
                <w:szCs w:val="22"/>
                <w:lang w:val="fr-FR"/>
              </w:rPr>
              <w:t>)</w:t>
            </w:r>
          </w:p>
          <w:p w:rsidR="00F05412" w:rsidRPr="00A674BE" w:rsidRDefault="00F05412" w:rsidP="00341D57">
            <w:pPr>
              <w:rPr>
                <w:lang w:val="fr-FR"/>
              </w:rPr>
            </w:pPr>
          </w:p>
          <w:p w:rsidR="00F05412" w:rsidRPr="00A674BE" w:rsidRDefault="00116D98" w:rsidP="00F05412">
            <w:pPr>
              <w:rPr>
                <w:lang w:val="fr-FR"/>
              </w:rPr>
            </w:pPr>
            <w:r w:rsidRPr="00116D98">
              <w:rPr>
                <w:sz w:val="22"/>
                <w:szCs w:val="22"/>
                <w:lang w:val="fr-FR"/>
              </w:rPr>
              <w:t>14 août 2012 – lettre du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116D98">
              <w:rPr>
                <w:sz w:val="22"/>
                <w:szCs w:val="22"/>
                <w:lang w:val="fr-FR"/>
              </w:rPr>
              <w:t xml:space="preserve">AEWA à Mme 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116D98">
              <w:rPr>
                <w:sz w:val="22"/>
                <w:szCs w:val="22"/>
                <w:lang w:val="fr-FR"/>
              </w:rPr>
              <w:t xml:space="preserve"> </w:t>
            </w:r>
            <w:r w:rsidR="002734CB">
              <w:rPr>
                <w:sz w:val="22"/>
                <w:szCs w:val="22"/>
                <w:lang w:val="fr-FR"/>
              </w:rPr>
              <w:t>adjointe</w:t>
            </w:r>
            <w:r w:rsidRPr="00116D98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116D98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116D98">
              <w:rPr>
                <w:sz w:val="22"/>
                <w:szCs w:val="22"/>
                <w:lang w:val="fr-FR"/>
              </w:rPr>
              <w:t>Eau (</w:t>
            </w:r>
            <w:r w:rsidRPr="00116D98">
              <w:rPr>
                <w:i/>
                <w:sz w:val="22"/>
                <w:szCs w:val="22"/>
                <w:lang w:val="fr-FR"/>
              </w:rPr>
              <w:t>fournissant les explications demandées dans sa lettre du 10 juillet 2012</w:t>
            </w:r>
            <w:r w:rsidRPr="00116D98">
              <w:rPr>
                <w:sz w:val="22"/>
                <w:szCs w:val="22"/>
                <w:lang w:val="fr-FR"/>
              </w:rPr>
              <w:t>)</w:t>
            </w:r>
          </w:p>
          <w:p w:rsidR="00F05412" w:rsidRPr="00A674BE" w:rsidRDefault="00F05412" w:rsidP="00F05412">
            <w:pPr>
              <w:rPr>
                <w:lang w:val="fr-FR"/>
              </w:rPr>
            </w:pPr>
          </w:p>
          <w:p w:rsidR="00F05412" w:rsidRPr="00A674BE" w:rsidRDefault="00116D98" w:rsidP="00F05412">
            <w:pPr>
              <w:rPr>
                <w:lang w:val="fr-FR"/>
              </w:rPr>
            </w:pPr>
            <w:r w:rsidRPr="00DB01B9">
              <w:rPr>
                <w:sz w:val="22"/>
                <w:szCs w:val="22"/>
                <w:lang w:val="fr-FR"/>
              </w:rPr>
              <w:t>31 octobre 2012 - lettre du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DB01B9">
              <w:rPr>
                <w:sz w:val="22"/>
                <w:szCs w:val="22"/>
                <w:lang w:val="fr-FR"/>
              </w:rPr>
              <w:t xml:space="preserve">AEWA à Mme 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DB01B9">
              <w:rPr>
                <w:sz w:val="22"/>
                <w:szCs w:val="22"/>
                <w:lang w:val="fr-FR"/>
              </w:rPr>
              <w:t xml:space="preserve"> </w:t>
            </w:r>
            <w:r w:rsidR="002734CB">
              <w:rPr>
                <w:sz w:val="22"/>
                <w:szCs w:val="22"/>
                <w:lang w:val="fr-FR"/>
              </w:rPr>
              <w:t>adjointe</w:t>
            </w:r>
            <w:r w:rsidRPr="00DB01B9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DB01B9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DB01B9">
              <w:rPr>
                <w:sz w:val="22"/>
                <w:szCs w:val="22"/>
                <w:lang w:val="fr-FR"/>
              </w:rPr>
              <w:t>Eau (</w:t>
            </w:r>
            <w:r w:rsidRPr="00DB01B9">
              <w:rPr>
                <w:i/>
                <w:sz w:val="22"/>
                <w:szCs w:val="22"/>
                <w:lang w:val="fr-FR"/>
              </w:rPr>
              <w:t>lui demandant confirmation de l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DB01B9" w:rsidRPr="00DB01B9">
              <w:rPr>
                <w:i/>
                <w:sz w:val="22"/>
                <w:szCs w:val="22"/>
                <w:lang w:val="fr-FR"/>
              </w:rPr>
              <w:t xml:space="preserve">acceptation de </w:t>
            </w:r>
            <w:r w:rsidRPr="00DB01B9">
              <w:rPr>
                <w:i/>
                <w:sz w:val="22"/>
                <w:szCs w:val="22"/>
                <w:lang w:val="fr-FR"/>
              </w:rPr>
              <w:t>la mission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DB01B9" w:rsidRPr="00DB01B9">
              <w:rPr>
                <w:i/>
                <w:sz w:val="22"/>
                <w:szCs w:val="22"/>
                <w:lang w:val="fr-FR"/>
              </w:rPr>
              <w:t>évaluation</w:t>
            </w:r>
            <w:r w:rsidRPr="00DB01B9">
              <w:rPr>
                <w:i/>
                <w:sz w:val="22"/>
                <w:szCs w:val="22"/>
                <w:lang w:val="fr-FR"/>
              </w:rPr>
              <w:t xml:space="preserve">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Pr="00DB01B9">
              <w:rPr>
                <w:i/>
                <w:sz w:val="22"/>
                <w:szCs w:val="22"/>
                <w:lang w:val="fr-FR"/>
              </w:rPr>
              <w:t>IRP</w:t>
            </w:r>
            <w:r w:rsidR="00DB01B9" w:rsidRPr="00DB01B9">
              <w:rPr>
                <w:i/>
                <w:sz w:val="22"/>
                <w:szCs w:val="22"/>
                <w:lang w:val="fr-FR"/>
              </w:rPr>
              <w:t xml:space="preserve"> sur le terrain</w:t>
            </w:r>
            <w:r w:rsidRPr="00DB01B9">
              <w:rPr>
                <w:sz w:val="22"/>
                <w:szCs w:val="22"/>
                <w:lang w:val="fr-FR"/>
              </w:rPr>
              <w:t>)</w:t>
            </w:r>
          </w:p>
          <w:p w:rsidR="00F05412" w:rsidRPr="00A674BE" w:rsidRDefault="00F05412" w:rsidP="00F05412">
            <w:pPr>
              <w:rPr>
                <w:lang w:val="fr-FR"/>
              </w:rPr>
            </w:pPr>
          </w:p>
          <w:p w:rsidR="001E5873" w:rsidRPr="00A674BE" w:rsidRDefault="00DB01B9" w:rsidP="001E5873">
            <w:pPr>
              <w:rPr>
                <w:lang w:val="fr-FR"/>
              </w:rPr>
            </w:pPr>
            <w:r w:rsidRPr="00886F2F">
              <w:rPr>
                <w:lang w:val="fr-FR"/>
              </w:rPr>
              <w:t xml:space="preserve">7 décembre 2012 - lettre de Mme </w:t>
            </w:r>
            <w:r w:rsidRPr="00886F2F">
              <w:rPr>
                <w:sz w:val="22"/>
                <w:szCs w:val="22"/>
                <w:lang w:val="fr-FR"/>
              </w:rPr>
              <w:t xml:space="preserve">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886F2F">
              <w:rPr>
                <w:sz w:val="22"/>
                <w:szCs w:val="22"/>
                <w:lang w:val="fr-FR"/>
              </w:rPr>
              <w:t xml:space="preserve"> </w:t>
            </w:r>
            <w:r w:rsidR="002734CB">
              <w:rPr>
                <w:sz w:val="22"/>
                <w:szCs w:val="22"/>
                <w:lang w:val="fr-FR"/>
              </w:rPr>
              <w:t>adjointe</w:t>
            </w:r>
            <w:r w:rsidRPr="00886F2F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886F2F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886F2F">
              <w:rPr>
                <w:sz w:val="22"/>
                <w:szCs w:val="22"/>
                <w:lang w:val="fr-FR"/>
              </w:rPr>
              <w:t>Eau au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886F2F">
              <w:rPr>
                <w:sz w:val="22"/>
                <w:szCs w:val="22"/>
                <w:lang w:val="fr-FR"/>
              </w:rPr>
              <w:t>AEWA (</w:t>
            </w:r>
            <w:r w:rsidR="00886F2F" w:rsidRPr="00BB095D">
              <w:rPr>
                <w:i/>
                <w:sz w:val="22"/>
                <w:szCs w:val="22"/>
                <w:lang w:val="fr-FR"/>
              </w:rPr>
              <w:t>fournissant</w:t>
            </w:r>
            <w:r w:rsidRPr="00BB095D">
              <w:rPr>
                <w:i/>
                <w:sz w:val="22"/>
                <w:szCs w:val="22"/>
                <w:lang w:val="fr-FR"/>
              </w:rPr>
              <w:t xml:space="preserve"> des</w:t>
            </w:r>
            <w:r w:rsidRPr="00886F2F">
              <w:rPr>
                <w:sz w:val="22"/>
                <w:szCs w:val="22"/>
                <w:lang w:val="fr-FR"/>
              </w:rPr>
              <w:t xml:space="preserve"> 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informations sur les </w:t>
            </w:r>
            <w:r w:rsidR="00886F2F" w:rsidRPr="00886F2F">
              <w:rPr>
                <w:i/>
                <w:sz w:val="22"/>
                <w:szCs w:val="22"/>
                <w:lang w:val="fr-FR"/>
              </w:rPr>
              <w:t>procédures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 </w:t>
            </w:r>
            <w:r w:rsidR="00886F2F" w:rsidRPr="00886F2F">
              <w:rPr>
                <w:i/>
                <w:sz w:val="22"/>
                <w:szCs w:val="22"/>
                <w:lang w:val="fr-FR"/>
              </w:rPr>
              <w:t>juridiques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 </w:t>
            </w:r>
            <w:r w:rsidR="00886F2F" w:rsidRPr="00886F2F">
              <w:rPr>
                <w:i/>
                <w:sz w:val="22"/>
                <w:szCs w:val="22"/>
                <w:lang w:val="fr-FR"/>
              </w:rPr>
              <w:t>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886F2F" w:rsidRPr="00886F2F">
              <w:rPr>
                <w:i/>
                <w:sz w:val="22"/>
                <w:szCs w:val="22"/>
                <w:lang w:val="fr-FR"/>
              </w:rPr>
              <w:t>appel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 en cours contre la permission de construction de la ferme éolienne et déclinant pour le moment </w:t>
            </w:r>
            <w:r w:rsidR="00886F2F" w:rsidRPr="00886F2F">
              <w:rPr>
                <w:i/>
                <w:sz w:val="22"/>
                <w:szCs w:val="22"/>
                <w:lang w:val="fr-FR"/>
              </w:rPr>
              <w:t>la mission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886F2F" w:rsidRPr="00886F2F">
              <w:rPr>
                <w:i/>
                <w:sz w:val="22"/>
                <w:szCs w:val="22"/>
                <w:lang w:val="fr-FR"/>
              </w:rPr>
              <w:t>évaluation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886F2F" w:rsidRPr="00886F2F">
              <w:rPr>
                <w:i/>
                <w:sz w:val="22"/>
                <w:szCs w:val="22"/>
                <w:lang w:val="fr-FR"/>
              </w:rPr>
              <w:t>IRP sur le terrain</w:t>
            </w:r>
            <w:r w:rsidRPr="00886F2F">
              <w:rPr>
                <w:sz w:val="22"/>
                <w:szCs w:val="22"/>
                <w:lang w:val="fr-FR"/>
              </w:rPr>
              <w:t>).</w:t>
            </w:r>
          </w:p>
          <w:p w:rsidR="001E5873" w:rsidRPr="00A674BE" w:rsidRDefault="001E5873" w:rsidP="001E5873">
            <w:pPr>
              <w:rPr>
                <w:lang w:val="fr-FR"/>
              </w:rPr>
            </w:pPr>
          </w:p>
          <w:p w:rsidR="001E5873" w:rsidRPr="00A674BE" w:rsidRDefault="00886F2F" w:rsidP="001E5873">
            <w:pPr>
              <w:rPr>
                <w:lang w:val="fr-FR"/>
              </w:rPr>
            </w:pPr>
            <w:r w:rsidRPr="00886F2F">
              <w:rPr>
                <w:sz w:val="22"/>
                <w:szCs w:val="22"/>
                <w:lang w:val="fr-FR"/>
              </w:rPr>
              <w:t>22 janvier 2013 - lettre du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886F2F">
              <w:rPr>
                <w:sz w:val="22"/>
                <w:szCs w:val="22"/>
                <w:lang w:val="fr-FR"/>
              </w:rPr>
              <w:t xml:space="preserve">AEWA à Mme 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886F2F">
              <w:rPr>
                <w:sz w:val="22"/>
                <w:szCs w:val="22"/>
                <w:lang w:val="fr-FR"/>
              </w:rPr>
              <w:t xml:space="preserve"> </w:t>
            </w:r>
            <w:r w:rsidR="002734CB">
              <w:rPr>
                <w:sz w:val="22"/>
                <w:szCs w:val="22"/>
                <w:lang w:val="fr-FR"/>
              </w:rPr>
              <w:t>adjointe</w:t>
            </w:r>
            <w:r w:rsidRPr="00886F2F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886F2F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886F2F">
              <w:rPr>
                <w:sz w:val="22"/>
                <w:szCs w:val="22"/>
                <w:lang w:val="fr-FR"/>
              </w:rPr>
              <w:t>Eau (</w:t>
            </w:r>
            <w:r w:rsidRPr="00886F2F">
              <w:rPr>
                <w:i/>
                <w:sz w:val="22"/>
                <w:szCs w:val="22"/>
                <w:lang w:val="fr-FR"/>
              </w:rPr>
              <w:t>demandant des explications sur des options relatives à la poursuite d</w:t>
            </w:r>
            <w:r w:rsidR="00BB095D">
              <w:rPr>
                <w:i/>
                <w:sz w:val="22"/>
                <w:szCs w:val="22"/>
                <w:lang w:val="fr-FR"/>
              </w:rPr>
              <w:t>e la procédure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886F2F">
              <w:rPr>
                <w:i/>
                <w:sz w:val="22"/>
                <w:szCs w:val="22"/>
                <w:lang w:val="fr-FR"/>
              </w:rPr>
              <w:t>après une décision prise par un</w:t>
            </w:r>
            <w:r w:rsidR="00E41DD6">
              <w:rPr>
                <w:i/>
                <w:sz w:val="22"/>
                <w:szCs w:val="22"/>
                <w:lang w:val="fr-FR"/>
              </w:rPr>
              <w:t>e commission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 composé</w:t>
            </w:r>
            <w:r w:rsidR="00E41DD6">
              <w:rPr>
                <w:i/>
                <w:sz w:val="22"/>
                <w:szCs w:val="22"/>
                <w:lang w:val="fr-FR"/>
              </w:rPr>
              <w:t>e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 de trois membres </w:t>
            </w:r>
            <w:r w:rsidR="00BB095D">
              <w:rPr>
                <w:i/>
                <w:sz w:val="22"/>
                <w:szCs w:val="22"/>
                <w:lang w:val="fr-FR"/>
              </w:rPr>
              <w:t>de la Cour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 administrati</w:t>
            </w:r>
            <w:r w:rsidR="00BB095D">
              <w:rPr>
                <w:i/>
                <w:sz w:val="22"/>
                <w:szCs w:val="22"/>
                <w:lang w:val="fr-FR"/>
              </w:rPr>
              <w:t>ve</w:t>
            </w:r>
            <w:r w:rsidRPr="00886F2F">
              <w:rPr>
                <w:i/>
                <w:sz w:val="22"/>
                <w:szCs w:val="22"/>
                <w:lang w:val="fr-FR"/>
              </w:rPr>
              <w:t xml:space="preserve"> suprême de Bulgarie</w:t>
            </w:r>
            <w:r w:rsidRPr="00886F2F">
              <w:rPr>
                <w:sz w:val="22"/>
                <w:szCs w:val="22"/>
                <w:lang w:val="fr-FR"/>
              </w:rPr>
              <w:t>)</w:t>
            </w:r>
          </w:p>
          <w:p w:rsidR="001E5873" w:rsidRPr="00A674BE" w:rsidRDefault="001E5873" w:rsidP="001E5873">
            <w:pPr>
              <w:rPr>
                <w:lang w:val="fr-FR"/>
              </w:rPr>
            </w:pPr>
          </w:p>
          <w:p w:rsidR="001E5873" w:rsidRPr="00A674BE" w:rsidRDefault="00886F2F" w:rsidP="001E5873">
            <w:pPr>
              <w:rPr>
                <w:lang w:val="fr-FR"/>
              </w:rPr>
            </w:pPr>
            <w:r w:rsidRPr="00E41DD6">
              <w:rPr>
                <w:lang w:val="fr-FR"/>
              </w:rPr>
              <w:t>1</w:t>
            </w:r>
            <w:r w:rsidRPr="00E41DD6">
              <w:rPr>
                <w:vertAlign w:val="superscript"/>
                <w:lang w:val="fr-FR"/>
              </w:rPr>
              <w:t>er</w:t>
            </w:r>
            <w:r w:rsidRPr="00E41DD6">
              <w:rPr>
                <w:lang w:val="fr-FR"/>
              </w:rPr>
              <w:t xml:space="preserve"> février 2013 - </w:t>
            </w:r>
            <w:r w:rsidR="00E41DD6" w:rsidRPr="00E41DD6">
              <w:rPr>
                <w:lang w:val="fr-FR"/>
              </w:rPr>
              <w:t xml:space="preserve">lettre de Mme </w:t>
            </w:r>
            <w:r w:rsidR="00E41DD6" w:rsidRPr="00E41DD6">
              <w:rPr>
                <w:sz w:val="22"/>
                <w:szCs w:val="22"/>
                <w:lang w:val="fr-FR"/>
              </w:rPr>
              <w:t xml:space="preserve">Evdokia Maneva,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="00E41DD6" w:rsidRPr="00E41DD6">
              <w:rPr>
                <w:sz w:val="22"/>
                <w:szCs w:val="22"/>
                <w:lang w:val="fr-FR"/>
              </w:rPr>
              <w:t xml:space="preserve"> </w:t>
            </w:r>
            <w:r w:rsidR="002734CB">
              <w:rPr>
                <w:sz w:val="22"/>
                <w:szCs w:val="22"/>
                <w:lang w:val="fr-FR"/>
              </w:rPr>
              <w:t>adjointe</w:t>
            </w:r>
            <w:r w:rsidR="00E41DD6" w:rsidRPr="00E41DD6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E41DD6" w:rsidRPr="00E41DD6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E41DD6" w:rsidRPr="00E41DD6">
              <w:rPr>
                <w:sz w:val="22"/>
                <w:szCs w:val="22"/>
                <w:lang w:val="fr-FR"/>
              </w:rPr>
              <w:t>Eau au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E41DD6" w:rsidRPr="00E41DD6">
              <w:rPr>
                <w:sz w:val="22"/>
                <w:szCs w:val="22"/>
                <w:lang w:val="fr-FR"/>
              </w:rPr>
              <w:t xml:space="preserve">AEWA </w:t>
            </w:r>
            <w:r w:rsidRPr="00E41DD6">
              <w:rPr>
                <w:sz w:val="22"/>
                <w:szCs w:val="22"/>
                <w:lang w:val="fr-FR"/>
              </w:rPr>
              <w:t>(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>expliquant que ce n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>est qu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 xml:space="preserve">à la suite de la décision finale prise par une commission composée de 5 membres </w:t>
            </w:r>
            <w:r w:rsidR="00BB095D">
              <w:rPr>
                <w:i/>
                <w:sz w:val="22"/>
                <w:szCs w:val="22"/>
                <w:lang w:val="fr-FR"/>
              </w:rPr>
              <w:t>de la Cour administrative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 xml:space="preserve"> suprême de Bulgarie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>que le minist</w:t>
            </w:r>
            <w:r w:rsidR="0074113A">
              <w:rPr>
                <w:i/>
                <w:sz w:val="22"/>
                <w:szCs w:val="22"/>
                <w:lang w:val="fr-FR"/>
              </w:rPr>
              <w:t>ère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 xml:space="preserve"> pourra</w:t>
            </w:r>
            <w:r w:rsidR="00BD00F3">
              <w:rPr>
                <w:i/>
                <w:sz w:val="22"/>
                <w:szCs w:val="22"/>
                <w:lang w:val="fr-FR"/>
              </w:rPr>
              <w:t>it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 xml:space="preserve"> décider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E41DD6" w:rsidRPr="00E41DD6">
              <w:rPr>
                <w:i/>
                <w:sz w:val="22"/>
                <w:szCs w:val="22"/>
                <w:lang w:val="fr-FR"/>
              </w:rPr>
              <w:t>autres actions</w:t>
            </w:r>
            <w:r w:rsidRPr="00E41DD6">
              <w:rPr>
                <w:sz w:val="22"/>
                <w:szCs w:val="22"/>
                <w:lang w:val="fr-FR"/>
              </w:rPr>
              <w:t>)</w:t>
            </w:r>
          </w:p>
          <w:p w:rsidR="001E5873" w:rsidRPr="00A674BE" w:rsidRDefault="001E5873" w:rsidP="001E5873">
            <w:pPr>
              <w:rPr>
                <w:lang w:val="fr-FR"/>
              </w:rPr>
            </w:pPr>
          </w:p>
          <w:p w:rsidR="00E41DD6" w:rsidRPr="00A674BE" w:rsidRDefault="00E41DD6" w:rsidP="00E41DD6">
            <w:pPr>
              <w:rPr>
                <w:rStyle w:val="tw4winMark"/>
                <w:color w:val="FFFFFF"/>
                <w:sz w:val="2"/>
                <w:lang w:val="fr-FR"/>
              </w:rPr>
            </w:pPr>
            <w:r w:rsidRPr="00E41DD6">
              <w:rPr>
                <w:sz w:val="22"/>
                <w:szCs w:val="22"/>
                <w:lang w:val="fr-FR"/>
              </w:rPr>
              <w:t>19 juillet 2013 - lettre du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E41DD6">
              <w:rPr>
                <w:sz w:val="22"/>
                <w:szCs w:val="22"/>
                <w:lang w:val="fr-FR"/>
              </w:rPr>
              <w:t>AEWA 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bookmarkStart w:id="0" w:name="WfSource"/>
            <w:r w:rsidR="00BD00F3">
              <w:rPr>
                <w:sz w:val="22"/>
                <w:szCs w:val="22"/>
                <w:lang w:val="fr-FR"/>
              </w:rPr>
              <w:t>Mme</w:t>
            </w:r>
            <w:r w:rsidR="002B2B8E">
              <w:rPr>
                <w:sz w:val="22"/>
                <w:szCs w:val="22"/>
                <w:lang w:val="fr-FR"/>
              </w:rPr>
              <w:t xml:space="preserve"> </w:t>
            </w:r>
            <w:r w:rsidR="0074113A" w:rsidRPr="00E41DD6">
              <w:rPr>
                <w:sz w:val="22"/>
                <w:szCs w:val="22"/>
                <w:lang w:val="fr-FR"/>
              </w:rPr>
              <w:t xml:space="preserve">Iskra Mihaylova-Koparova,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="0074113A" w:rsidRPr="00886F2F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74113A" w:rsidRPr="00886F2F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74113A" w:rsidRPr="00886F2F">
              <w:rPr>
                <w:sz w:val="22"/>
                <w:szCs w:val="22"/>
                <w:lang w:val="fr-FR"/>
              </w:rPr>
              <w:t>Eau</w:t>
            </w:r>
            <w:r w:rsidR="0074113A" w:rsidRPr="00E41DD6">
              <w:rPr>
                <w:sz w:val="22"/>
                <w:szCs w:val="22"/>
                <w:lang w:val="fr-FR"/>
              </w:rPr>
              <w:t xml:space="preserve"> (</w:t>
            </w:r>
            <w:r w:rsidR="0074113A" w:rsidRPr="0074113A">
              <w:rPr>
                <w:i/>
                <w:sz w:val="22"/>
                <w:szCs w:val="22"/>
                <w:lang w:val="fr-FR"/>
              </w:rPr>
              <w:t xml:space="preserve">demandant des éclaircissements sur les prochaines mesures que prendra le ministère à la suite de la </w:t>
            </w:r>
            <w:r w:rsidR="0074113A" w:rsidRPr="00E41DD6">
              <w:rPr>
                <w:i/>
                <w:sz w:val="22"/>
                <w:szCs w:val="22"/>
                <w:lang w:val="fr-FR"/>
              </w:rPr>
              <w:t xml:space="preserve">décision prise par une commission composée de 5 membres </w:t>
            </w:r>
            <w:r w:rsidR="00BB095D">
              <w:rPr>
                <w:i/>
                <w:sz w:val="22"/>
                <w:szCs w:val="22"/>
                <w:lang w:val="fr-FR"/>
              </w:rPr>
              <w:t>de la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="00BB095D">
              <w:rPr>
                <w:i/>
                <w:sz w:val="22"/>
                <w:szCs w:val="22"/>
                <w:lang w:val="fr-FR"/>
              </w:rPr>
              <w:t>Cour administrative</w:t>
            </w:r>
            <w:r w:rsidR="0074113A" w:rsidRPr="00E41DD6">
              <w:rPr>
                <w:i/>
                <w:sz w:val="22"/>
                <w:szCs w:val="22"/>
                <w:lang w:val="fr-FR"/>
              </w:rPr>
              <w:t xml:space="preserve"> suprême de Bulgarie </w:t>
            </w:r>
            <w:r w:rsidR="0074113A">
              <w:rPr>
                <w:i/>
                <w:sz w:val="22"/>
                <w:szCs w:val="22"/>
                <w:lang w:val="fr-FR"/>
              </w:rPr>
              <w:t>et réitérant son offre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74113A">
              <w:rPr>
                <w:i/>
                <w:sz w:val="22"/>
                <w:szCs w:val="22"/>
                <w:lang w:val="fr-FR"/>
              </w:rPr>
              <w:t>envoyer une</w:t>
            </w:r>
            <w:r w:rsidR="0074113A" w:rsidRPr="00886F2F">
              <w:rPr>
                <w:i/>
                <w:sz w:val="22"/>
                <w:szCs w:val="22"/>
                <w:lang w:val="fr-FR"/>
              </w:rPr>
              <w:t xml:space="preserve"> mission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74113A" w:rsidRPr="00886F2F">
              <w:rPr>
                <w:i/>
                <w:sz w:val="22"/>
                <w:szCs w:val="22"/>
                <w:lang w:val="fr-FR"/>
              </w:rPr>
              <w:t>évaluation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="0074113A" w:rsidRPr="00886F2F">
              <w:rPr>
                <w:i/>
                <w:sz w:val="22"/>
                <w:szCs w:val="22"/>
                <w:lang w:val="fr-FR"/>
              </w:rPr>
              <w:t>sur le terrain</w:t>
            </w:r>
            <w:r w:rsidR="0074113A" w:rsidRPr="00E41DD6">
              <w:rPr>
                <w:sz w:val="22"/>
                <w:szCs w:val="22"/>
                <w:lang w:val="fr-FR"/>
              </w:rPr>
              <w:t>)</w:t>
            </w:r>
            <w:r w:rsidRPr="00A674BE">
              <w:rPr>
                <w:rStyle w:val="tw4winMark"/>
                <w:color w:val="FFFFFF"/>
                <w:sz w:val="2"/>
                <w:lang w:val="fr-FR"/>
              </w:rPr>
              <w:t>&lt;0}</w:t>
            </w:r>
          </w:p>
          <w:p w:rsidR="00E41DD6" w:rsidRPr="00A674BE" w:rsidRDefault="00E41DD6" w:rsidP="006E35FF">
            <w:pPr>
              <w:rPr>
                <w:rStyle w:val="tw4winMark"/>
                <w:color w:val="FFFFFF"/>
                <w:sz w:val="2"/>
                <w:lang w:val="fr-FR"/>
              </w:rPr>
            </w:pPr>
          </w:p>
          <w:p w:rsidR="006E35FF" w:rsidRPr="00A674BE" w:rsidRDefault="006E35FF" w:rsidP="006E35FF">
            <w:pPr>
              <w:rPr>
                <w:lang w:val="fr-FR"/>
              </w:rPr>
            </w:pPr>
          </w:p>
          <w:p w:rsidR="001E5873" w:rsidRPr="00A674BE" w:rsidRDefault="001E5873" w:rsidP="001E5873">
            <w:pPr>
              <w:rPr>
                <w:lang w:val="fr-FR"/>
              </w:rPr>
            </w:pPr>
          </w:p>
          <w:p w:rsidR="0035689F" w:rsidRPr="00A674BE" w:rsidRDefault="00BB095D" w:rsidP="0035689F">
            <w:pPr>
              <w:rPr>
                <w:lang w:val="fr-FR"/>
              </w:rPr>
            </w:pPr>
            <w:bookmarkStart w:id="1" w:name="WfTarget"/>
            <w:bookmarkEnd w:id="0"/>
            <w:r>
              <w:rPr>
                <w:lang w:val="fr-FR"/>
              </w:rPr>
              <w:t xml:space="preserve">13 </w:t>
            </w:r>
            <w:r w:rsidR="0074113A" w:rsidRPr="0074113A">
              <w:rPr>
                <w:lang w:val="fr-FR"/>
              </w:rPr>
              <w:t>novembre 2013 – lettre de</w:t>
            </w:r>
            <w:bookmarkEnd w:id="1"/>
            <w:r w:rsidR="00A6067A">
              <w:rPr>
                <w:lang w:val="fr-FR"/>
              </w:rPr>
              <w:t xml:space="preserve"> </w:t>
            </w:r>
            <w:r w:rsidR="00BD00F3">
              <w:rPr>
                <w:lang w:val="fr-FR"/>
              </w:rPr>
              <w:t>Mme</w:t>
            </w:r>
            <w:r>
              <w:rPr>
                <w:lang w:val="fr-FR"/>
              </w:rPr>
              <w:t xml:space="preserve"> </w:t>
            </w:r>
            <w:r w:rsidR="0074113A" w:rsidRPr="0074113A">
              <w:rPr>
                <w:sz w:val="22"/>
                <w:szCs w:val="22"/>
                <w:lang w:val="fr-FR"/>
              </w:rPr>
              <w:t xml:space="preserve">Iskra Mihaylova-Koparova,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="0074113A" w:rsidRPr="0074113A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74113A" w:rsidRPr="0074113A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74113A" w:rsidRPr="0074113A">
              <w:rPr>
                <w:sz w:val="22"/>
                <w:szCs w:val="22"/>
                <w:lang w:val="fr-FR"/>
              </w:rPr>
              <w:t>Eau au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74113A" w:rsidRPr="0074113A">
              <w:rPr>
                <w:sz w:val="22"/>
                <w:szCs w:val="22"/>
                <w:lang w:val="fr-FR"/>
              </w:rPr>
              <w:t>AEWA (</w:t>
            </w:r>
            <w:r w:rsidR="0074113A" w:rsidRPr="0074113A">
              <w:rPr>
                <w:i/>
                <w:sz w:val="22"/>
                <w:szCs w:val="22"/>
                <w:lang w:val="fr-FR"/>
              </w:rPr>
              <w:t>fournissant des renseignements sur les actions prises par le ministère pour ce cas et appréciant le soutien de l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74113A" w:rsidRPr="0074113A">
              <w:rPr>
                <w:i/>
                <w:sz w:val="22"/>
                <w:szCs w:val="22"/>
                <w:lang w:val="fr-FR"/>
              </w:rPr>
              <w:t>AEWA</w:t>
            </w:r>
            <w:r w:rsidR="0074113A" w:rsidRPr="0074113A">
              <w:rPr>
                <w:sz w:val="22"/>
                <w:szCs w:val="22"/>
                <w:lang w:val="fr-FR"/>
              </w:rPr>
              <w:t>)</w:t>
            </w:r>
          </w:p>
          <w:p w:rsidR="00521193" w:rsidRPr="00A674BE" w:rsidRDefault="00521193" w:rsidP="0035689F">
            <w:pPr>
              <w:rPr>
                <w:lang w:val="fr-FR"/>
              </w:rPr>
            </w:pPr>
          </w:p>
          <w:p w:rsidR="00521193" w:rsidRPr="00A674BE" w:rsidRDefault="0074113A" w:rsidP="0035689F">
            <w:pPr>
              <w:rPr>
                <w:lang w:val="fr-FR"/>
              </w:rPr>
            </w:pPr>
            <w:r w:rsidRPr="0074113A">
              <w:rPr>
                <w:sz w:val="22"/>
                <w:szCs w:val="22"/>
                <w:lang w:val="fr-FR"/>
              </w:rPr>
              <w:t>6 janvier 2014 - lettre du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74113A">
              <w:rPr>
                <w:sz w:val="22"/>
                <w:szCs w:val="22"/>
                <w:lang w:val="fr-FR"/>
              </w:rPr>
              <w:t>AEWA à Mme Emilia Kraeva, chef du département de la coopération internationale du ministère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74113A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74113A">
              <w:rPr>
                <w:sz w:val="22"/>
                <w:szCs w:val="22"/>
                <w:lang w:val="fr-FR"/>
              </w:rPr>
              <w:t>Eau (</w:t>
            </w:r>
            <w:r w:rsidRPr="0074113A">
              <w:rPr>
                <w:i/>
                <w:sz w:val="22"/>
                <w:szCs w:val="22"/>
                <w:lang w:val="fr-FR"/>
              </w:rPr>
              <w:t>demandant des</w:t>
            </w:r>
            <w:r w:rsidRPr="0074113A">
              <w:rPr>
                <w:sz w:val="22"/>
                <w:szCs w:val="22"/>
                <w:lang w:val="fr-FR"/>
              </w:rPr>
              <w:t xml:space="preserve"> </w:t>
            </w:r>
            <w:r w:rsidRPr="0074113A">
              <w:rPr>
                <w:i/>
                <w:sz w:val="22"/>
                <w:szCs w:val="22"/>
                <w:lang w:val="fr-FR"/>
              </w:rPr>
              <w:t>suggestions sur la façon dont le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74113A">
              <w:rPr>
                <w:i/>
                <w:sz w:val="22"/>
                <w:szCs w:val="22"/>
                <w:lang w:val="fr-FR"/>
              </w:rPr>
              <w:t>Secrétariat peut aider à faire avancer le processus et demandant un rendez-vous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Pr="0074113A">
              <w:rPr>
                <w:i/>
                <w:sz w:val="22"/>
                <w:szCs w:val="22"/>
                <w:lang w:val="fr-FR"/>
              </w:rPr>
              <w:t xml:space="preserve">pour une </w:t>
            </w:r>
            <w:r w:rsidR="007E5D92">
              <w:rPr>
                <w:i/>
                <w:sz w:val="22"/>
                <w:szCs w:val="22"/>
                <w:lang w:val="fr-FR"/>
              </w:rPr>
              <w:t>entrevue</w:t>
            </w:r>
            <w:r w:rsidRPr="0074113A">
              <w:rPr>
                <w:sz w:val="22"/>
                <w:szCs w:val="22"/>
                <w:lang w:val="fr-FR"/>
              </w:rPr>
              <w:t>)</w:t>
            </w:r>
          </w:p>
          <w:p w:rsidR="001E5873" w:rsidRPr="00A674BE" w:rsidRDefault="001E5873" w:rsidP="001E5873">
            <w:pPr>
              <w:rPr>
                <w:lang w:val="fr-FR"/>
              </w:rPr>
            </w:pPr>
          </w:p>
          <w:p w:rsidR="00274136" w:rsidRPr="00A674BE" w:rsidRDefault="0074113A" w:rsidP="00274136">
            <w:pPr>
              <w:rPr>
                <w:lang w:val="fr-FR"/>
              </w:rPr>
            </w:pPr>
            <w:r w:rsidRPr="007E5D92">
              <w:rPr>
                <w:sz w:val="22"/>
                <w:szCs w:val="22"/>
                <w:lang w:val="fr-FR"/>
              </w:rPr>
              <w:t>6 mars 2014 - lettre du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7E5D92">
              <w:rPr>
                <w:sz w:val="22"/>
                <w:szCs w:val="22"/>
                <w:lang w:val="fr-FR"/>
              </w:rPr>
              <w:t xml:space="preserve">AEWA à Mme Emilia Kraeva, </w:t>
            </w:r>
            <w:r w:rsidR="007E5D92" w:rsidRPr="007E5D92">
              <w:rPr>
                <w:sz w:val="22"/>
                <w:szCs w:val="22"/>
                <w:lang w:val="fr-FR"/>
              </w:rPr>
              <w:t>chef du département de la coopération internationale du ministère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7E5D92" w:rsidRPr="007E5D92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7E5D92" w:rsidRPr="007E5D92">
              <w:rPr>
                <w:sz w:val="22"/>
                <w:szCs w:val="22"/>
                <w:lang w:val="fr-FR"/>
              </w:rPr>
              <w:t>Eau</w:t>
            </w:r>
            <w:r w:rsidRPr="007E5D92">
              <w:rPr>
                <w:sz w:val="22"/>
                <w:szCs w:val="22"/>
                <w:lang w:val="fr-FR"/>
              </w:rPr>
              <w:t xml:space="preserve"> (</w:t>
            </w:r>
            <w:r w:rsidR="007E5D92" w:rsidRPr="00E40BA1">
              <w:rPr>
                <w:i/>
                <w:sz w:val="22"/>
                <w:szCs w:val="22"/>
                <w:lang w:val="fr-FR"/>
              </w:rPr>
              <w:t>résumant les résultats de l</w:t>
            </w:r>
            <w:r w:rsidR="00851849" w:rsidRPr="00E40BA1">
              <w:rPr>
                <w:i/>
                <w:sz w:val="22"/>
                <w:szCs w:val="22"/>
                <w:lang w:val="fr-FR"/>
              </w:rPr>
              <w:t>’</w:t>
            </w:r>
            <w:r w:rsidR="007E5D92" w:rsidRPr="00E40BA1">
              <w:rPr>
                <w:i/>
                <w:sz w:val="22"/>
                <w:szCs w:val="22"/>
                <w:lang w:val="fr-FR"/>
              </w:rPr>
              <w:t>entrevue de Sofia du</w:t>
            </w:r>
            <w:r w:rsidR="007E5D92" w:rsidRPr="007E5D92">
              <w:rPr>
                <w:sz w:val="22"/>
                <w:szCs w:val="22"/>
                <w:lang w:val="fr-FR"/>
              </w:rPr>
              <w:t xml:space="preserve"> </w:t>
            </w:r>
            <w:r w:rsidRPr="007E5D92">
              <w:rPr>
                <w:i/>
                <w:sz w:val="22"/>
                <w:szCs w:val="22"/>
                <w:lang w:val="fr-FR"/>
              </w:rPr>
              <w:t xml:space="preserve">17 </w:t>
            </w:r>
            <w:r w:rsidR="007E5D92" w:rsidRPr="007E5D92">
              <w:rPr>
                <w:i/>
                <w:sz w:val="22"/>
                <w:szCs w:val="22"/>
                <w:lang w:val="fr-FR"/>
              </w:rPr>
              <w:t>février</w:t>
            </w:r>
            <w:r w:rsidRPr="007E5D92">
              <w:rPr>
                <w:i/>
                <w:sz w:val="22"/>
                <w:szCs w:val="22"/>
                <w:lang w:val="fr-FR"/>
              </w:rPr>
              <w:t xml:space="preserve">2014 </w:t>
            </w:r>
            <w:r w:rsidR="007E5D92" w:rsidRPr="007E5D92">
              <w:rPr>
                <w:i/>
                <w:sz w:val="22"/>
                <w:szCs w:val="22"/>
                <w:lang w:val="fr-FR"/>
              </w:rPr>
              <w:t xml:space="preserve">et demandant </w:t>
            </w:r>
            <w:r w:rsidR="00E40BA1">
              <w:rPr>
                <w:i/>
                <w:sz w:val="22"/>
                <w:szCs w:val="22"/>
                <w:lang w:val="fr-FR"/>
              </w:rPr>
              <w:t>des</w:t>
            </w:r>
            <w:r w:rsidR="007E5D92" w:rsidRPr="007E5D92">
              <w:rPr>
                <w:i/>
                <w:sz w:val="22"/>
                <w:szCs w:val="22"/>
                <w:lang w:val="fr-FR"/>
              </w:rPr>
              <w:t xml:space="preserve"> mise</w:t>
            </w:r>
            <w:r w:rsidR="00E40BA1">
              <w:rPr>
                <w:i/>
                <w:sz w:val="22"/>
                <w:szCs w:val="22"/>
                <w:lang w:val="fr-FR"/>
              </w:rPr>
              <w:t>s</w:t>
            </w:r>
            <w:r w:rsidR="007E5D92" w:rsidRPr="007E5D92">
              <w:rPr>
                <w:i/>
                <w:sz w:val="22"/>
                <w:szCs w:val="22"/>
                <w:lang w:val="fr-FR"/>
              </w:rPr>
              <w:t xml:space="preserve"> à jour une fois que les mesures suggérées ont été mises en œuvre</w:t>
            </w:r>
            <w:r w:rsidRPr="007E5D92">
              <w:rPr>
                <w:sz w:val="22"/>
                <w:szCs w:val="22"/>
                <w:lang w:val="fr-FR"/>
              </w:rPr>
              <w:t>)</w:t>
            </w:r>
          </w:p>
          <w:p w:rsidR="002B1951" w:rsidRPr="00A674BE" w:rsidRDefault="002B1951" w:rsidP="00274136">
            <w:pPr>
              <w:rPr>
                <w:lang w:val="fr-FR"/>
              </w:rPr>
            </w:pPr>
          </w:p>
          <w:p w:rsidR="002B1951" w:rsidRPr="00A674BE" w:rsidRDefault="007E5D92" w:rsidP="002B1951">
            <w:pPr>
              <w:rPr>
                <w:lang w:val="fr-FR"/>
              </w:rPr>
            </w:pPr>
            <w:r w:rsidRPr="007E5D92">
              <w:rPr>
                <w:lang w:val="fr-FR"/>
              </w:rPr>
              <w:t>7 juillet 2014 – lettre de</w:t>
            </w:r>
            <w:r w:rsidR="00A6067A">
              <w:rPr>
                <w:lang w:val="fr-FR"/>
              </w:rPr>
              <w:t xml:space="preserve"> </w:t>
            </w:r>
            <w:r w:rsidR="002B1951" w:rsidRPr="00A674BE">
              <w:rPr>
                <w:sz w:val="22"/>
                <w:szCs w:val="22"/>
                <w:lang w:val="fr-FR"/>
              </w:rPr>
              <w:t xml:space="preserve"> </w:t>
            </w:r>
            <w:r w:rsidR="00BD00F3" w:rsidRPr="00A674BE">
              <w:rPr>
                <w:sz w:val="22"/>
                <w:szCs w:val="22"/>
                <w:lang w:val="fr-FR"/>
              </w:rPr>
              <w:t xml:space="preserve">M. </w:t>
            </w:r>
            <w:r w:rsidRPr="007E5D92">
              <w:rPr>
                <w:sz w:val="22"/>
                <w:szCs w:val="22"/>
                <w:lang w:val="fr-FR"/>
              </w:rPr>
              <w:t xml:space="preserve">Stanislav Anastasov, </w:t>
            </w:r>
            <w:r w:rsidR="00B00BBA">
              <w:rPr>
                <w:sz w:val="22"/>
                <w:szCs w:val="22"/>
                <w:lang w:val="fr-FR"/>
              </w:rPr>
              <w:t>Ministre</w:t>
            </w:r>
            <w:r w:rsidRPr="007E5D92">
              <w:rPr>
                <w:sz w:val="22"/>
                <w:szCs w:val="22"/>
                <w:lang w:val="fr-FR"/>
              </w:rPr>
              <w:t xml:space="preserve">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7E5D92">
              <w:rPr>
                <w:sz w:val="22"/>
                <w:szCs w:val="22"/>
                <w:lang w:val="fr-FR"/>
              </w:rPr>
              <w:t>Environnement et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7E5D92">
              <w:rPr>
                <w:sz w:val="22"/>
                <w:szCs w:val="22"/>
                <w:lang w:val="fr-FR"/>
              </w:rPr>
              <w:t>Eau au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7E5D92">
              <w:rPr>
                <w:sz w:val="22"/>
                <w:szCs w:val="22"/>
                <w:lang w:val="fr-FR"/>
              </w:rPr>
              <w:t>AEWA (</w:t>
            </w:r>
            <w:r w:rsidRPr="00E40BA1">
              <w:rPr>
                <w:i/>
                <w:sz w:val="22"/>
                <w:szCs w:val="22"/>
                <w:lang w:val="fr-FR"/>
              </w:rPr>
              <w:t>résumant quelques informations sur ce cas et fournissant une ra</w:t>
            </w:r>
            <w:r w:rsidR="00E40BA1" w:rsidRPr="00E40BA1">
              <w:rPr>
                <w:i/>
                <w:sz w:val="22"/>
                <w:szCs w:val="22"/>
                <w:lang w:val="fr-FR"/>
              </w:rPr>
              <w:t>p</w:t>
            </w:r>
            <w:r w:rsidRPr="00E40BA1">
              <w:rPr>
                <w:i/>
                <w:sz w:val="22"/>
                <w:szCs w:val="22"/>
                <w:lang w:val="fr-FR"/>
              </w:rPr>
              <w:t>ide mise à jour sur les mesures prises par le ministère</w:t>
            </w:r>
            <w:r w:rsidRPr="007E5D92">
              <w:rPr>
                <w:sz w:val="22"/>
                <w:szCs w:val="22"/>
                <w:lang w:val="fr-FR"/>
              </w:rPr>
              <w:t>)</w:t>
            </w:r>
          </w:p>
          <w:p w:rsidR="00F05412" w:rsidRPr="00A674BE" w:rsidRDefault="00F05412" w:rsidP="00341D57">
            <w:pPr>
              <w:rPr>
                <w:lang w:val="fr-FR"/>
              </w:rPr>
            </w:pPr>
          </w:p>
        </w:tc>
      </w:tr>
      <w:tr w:rsidR="003A7BC0" w:rsidRPr="004919AE" w:rsidTr="00645753">
        <w:tc>
          <w:tcPr>
            <w:tcW w:w="5000" w:type="pct"/>
            <w:gridSpan w:val="3"/>
          </w:tcPr>
          <w:p w:rsidR="003A7BC0" w:rsidRPr="004919AE" w:rsidRDefault="007E5D92" w:rsidP="00020DD7">
            <w:pPr>
              <w:rPr>
                <w:lang w:val="en-GB"/>
              </w:rPr>
            </w:pPr>
            <w:r w:rsidRPr="007E5D92">
              <w:rPr>
                <w:b/>
                <w:bCs/>
                <w:snapToGrid w:val="0"/>
                <w:sz w:val="22"/>
                <w:szCs w:val="22"/>
                <w:lang w:val="fr-FR"/>
              </w:rPr>
              <w:t>Mission(s) d</w:t>
            </w:r>
            <w:r w:rsidR="00851849">
              <w:rPr>
                <w:b/>
                <w:bCs/>
                <w:snapToGrid w:val="0"/>
                <w:sz w:val="22"/>
                <w:szCs w:val="22"/>
                <w:lang w:val="fr-FR"/>
              </w:rPr>
              <w:t>’</w:t>
            </w:r>
            <w:r w:rsidRPr="007E5D92">
              <w:rPr>
                <w:b/>
                <w:bCs/>
                <w:snapToGrid w:val="0"/>
                <w:sz w:val="22"/>
                <w:szCs w:val="22"/>
                <w:lang w:val="fr-FR"/>
              </w:rPr>
              <w:t>évaluation sur place :</w:t>
            </w:r>
            <w:r w:rsidR="003A7BC0" w:rsidRPr="004919AE">
              <w:rPr>
                <w:sz w:val="22"/>
                <w:szCs w:val="22"/>
                <w:lang w:val="en-GB"/>
              </w:rPr>
              <w:t xml:space="preserve"> </w:t>
            </w:r>
            <w:r w:rsidRPr="007E5D92">
              <w:rPr>
                <w:sz w:val="22"/>
                <w:szCs w:val="22"/>
                <w:lang w:val="fr-FR"/>
              </w:rPr>
              <w:t>s.o.</w:t>
            </w:r>
          </w:p>
          <w:p w:rsidR="003A7BC0" w:rsidRPr="004919AE" w:rsidRDefault="003A7BC0" w:rsidP="00020DD7">
            <w:pPr>
              <w:rPr>
                <w:lang w:val="en-GB"/>
              </w:rPr>
            </w:pPr>
          </w:p>
        </w:tc>
      </w:tr>
      <w:tr w:rsidR="003A7BC0" w:rsidRPr="00A674BE" w:rsidTr="00645753">
        <w:tc>
          <w:tcPr>
            <w:tcW w:w="5000" w:type="pct"/>
            <w:gridSpan w:val="3"/>
          </w:tcPr>
          <w:p w:rsidR="003A7BC0" w:rsidRPr="00A674BE" w:rsidRDefault="007E5D92" w:rsidP="00020DD7">
            <w:pPr>
              <w:rPr>
                <w:lang w:val="fr-FR"/>
              </w:rPr>
            </w:pPr>
            <w:r w:rsidRPr="007E5D92">
              <w:rPr>
                <w:b/>
                <w:sz w:val="22"/>
                <w:szCs w:val="22"/>
                <w:lang w:val="fr-FR"/>
              </w:rPr>
              <w:t>Rapport(s) de mission :</w:t>
            </w:r>
            <w:r w:rsidR="003A7BC0" w:rsidRPr="00A674BE">
              <w:rPr>
                <w:sz w:val="22"/>
                <w:szCs w:val="22"/>
                <w:lang w:val="fr-FR"/>
              </w:rPr>
              <w:t xml:space="preserve"> </w:t>
            </w:r>
            <w:r w:rsidRPr="007E5D92">
              <w:rPr>
                <w:sz w:val="22"/>
                <w:szCs w:val="22"/>
                <w:lang w:val="fr-FR"/>
              </w:rPr>
              <w:t>s.o.</w:t>
            </w:r>
          </w:p>
          <w:p w:rsidR="003A7BC0" w:rsidRPr="00A674BE" w:rsidRDefault="003A7BC0" w:rsidP="00020DD7">
            <w:pPr>
              <w:rPr>
                <w:lang w:val="fr-FR"/>
              </w:rPr>
            </w:pPr>
          </w:p>
        </w:tc>
      </w:tr>
      <w:tr w:rsidR="003A7BC0" w:rsidRPr="00A674BE" w:rsidTr="00645753">
        <w:tc>
          <w:tcPr>
            <w:tcW w:w="5000" w:type="pct"/>
            <w:gridSpan w:val="3"/>
          </w:tcPr>
          <w:p w:rsidR="003A7BC0" w:rsidRPr="00A674BE" w:rsidRDefault="007E5D92" w:rsidP="00020DD7">
            <w:pPr>
              <w:rPr>
                <w:lang w:val="fr-FR"/>
              </w:rPr>
            </w:pPr>
            <w:r w:rsidRPr="007E5D92">
              <w:rPr>
                <w:b/>
                <w:sz w:val="22"/>
                <w:szCs w:val="22"/>
                <w:lang w:val="fr-FR"/>
              </w:rPr>
              <w:t>Rapport(s) de la Partie :</w:t>
            </w:r>
            <w:r w:rsidR="003A7BC0" w:rsidRPr="00A674BE">
              <w:rPr>
                <w:sz w:val="22"/>
                <w:szCs w:val="22"/>
                <w:lang w:val="fr-FR"/>
              </w:rPr>
              <w:t xml:space="preserve"> </w:t>
            </w:r>
            <w:r w:rsidRPr="007E5D92">
              <w:rPr>
                <w:sz w:val="22"/>
                <w:szCs w:val="22"/>
                <w:lang w:val="fr-FR"/>
              </w:rPr>
              <w:t>s.o.</w:t>
            </w:r>
          </w:p>
          <w:p w:rsidR="003A7BC0" w:rsidRPr="00A674BE" w:rsidRDefault="003A7BC0" w:rsidP="00020DD7">
            <w:pPr>
              <w:rPr>
                <w:lang w:val="fr-FR"/>
              </w:rPr>
            </w:pPr>
          </w:p>
        </w:tc>
      </w:tr>
    </w:tbl>
    <w:p w:rsidR="003A7BC0" w:rsidRPr="00A674BE" w:rsidRDefault="003A7BC0" w:rsidP="00BE76D2">
      <w:pPr>
        <w:jc w:val="both"/>
        <w:rPr>
          <w:sz w:val="22"/>
          <w:szCs w:val="22"/>
          <w:lang w:val="fr-FR"/>
        </w:rPr>
      </w:pPr>
    </w:p>
    <w:p w:rsidR="003A7BC0" w:rsidRPr="00A674BE" w:rsidRDefault="003A7BC0" w:rsidP="00BE76D2">
      <w:pPr>
        <w:jc w:val="both"/>
        <w:rPr>
          <w:sz w:val="22"/>
          <w:szCs w:val="22"/>
          <w:lang w:val="fr-FR"/>
        </w:rPr>
      </w:pPr>
    </w:p>
    <w:p w:rsidR="003A7BC0" w:rsidRPr="00A674BE" w:rsidRDefault="007E5D92" w:rsidP="00414360">
      <w:pPr>
        <w:jc w:val="both"/>
        <w:rPr>
          <w:b/>
          <w:sz w:val="22"/>
          <w:szCs w:val="22"/>
          <w:lang w:val="fr-FR"/>
        </w:rPr>
      </w:pPr>
      <w:r w:rsidRPr="007E5D92">
        <w:rPr>
          <w:b/>
          <w:bCs/>
          <w:sz w:val="22"/>
          <w:szCs w:val="22"/>
          <w:lang w:val="fr-FR"/>
        </w:rPr>
        <w:t>Raison de l</w:t>
      </w:r>
      <w:r w:rsidR="00851849">
        <w:rPr>
          <w:b/>
          <w:bCs/>
          <w:sz w:val="22"/>
          <w:szCs w:val="22"/>
          <w:lang w:val="fr-FR"/>
        </w:rPr>
        <w:t>’</w:t>
      </w:r>
      <w:r w:rsidRPr="007E5D92">
        <w:rPr>
          <w:b/>
          <w:bCs/>
          <w:sz w:val="22"/>
          <w:szCs w:val="22"/>
          <w:lang w:val="fr-FR"/>
        </w:rPr>
        <w:t>ouverture de ce cas</w:t>
      </w:r>
    </w:p>
    <w:p w:rsidR="003A7BC0" w:rsidRPr="00A674BE" w:rsidRDefault="003A7BC0" w:rsidP="00414360">
      <w:pPr>
        <w:jc w:val="both"/>
        <w:rPr>
          <w:sz w:val="22"/>
          <w:szCs w:val="22"/>
          <w:lang w:val="fr-FR"/>
        </w:rPr>
      </w:pPr>
    </w:p>
    <w:p w:rsidR="003A7BC0" w:rsidRPr="00A674BE" w:rsidRDefault="0055091F" w:rsidP="0041436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Fin février 2012, le Secrétariat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 a reçu une fiche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information relative à des cas possibles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IRP de la part de la Société bulgare de protection des oiseaux (BirdLife Bulgari</w:t>
      </w:r>
      <w:r w:rsidR="00E40BA1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). Le problème en question concernait</w:t>
      </w:r>
      <w:r>
        <w:rPr>
          <w:lang w:val="fr-FR"/>
        </w:rPr>
        <w:t xml:space="preserve"> un nouveau projet de ferme éolienne </w:t>
      </w:r>
      <w:r w:rsidR="00E40BA1">
        <w:rPr>
          <w:lang w:val="fr-FR"/>
        </w:rPr>
        <w:t>proche du</w:t>
      </w:r>
      <w:r>
        <w:rPr>
          <w:lang w:val="fr-FR"/>
        </w:rPr>
        <w:t xml:space="preserve"> lac Durankulak, en </w:t>
      </w:r>
      <w:r>
        <w:rPr>
          <w:sz w:val="22"/>
          <w:szCs w:val="22"/>
          <w:lang w:val="fr-FR"/>
        </w:rPr>
        <w:t>Bulgarie, visant à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installation de 95 turbines. Le lac de Durankulak ainsi que le lac Shabla, situé à proximité, se trouvent dans une région géographique appelée Dobroudja. Cette région est connue pour accueillir jusqu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à 90</w:t>
      </w:r>
      <w:r w:rsidR="00E40BA1">
        <w:rPr>
          <w:sz w:val="22"/>
          <w:szCs w:val="22"/>
          <w:lang w:val="fr-FR"/>
        </w:rPr>
        <w:t> </w:t>
      </w:r>
      <w:r>
        <w:rPr>
          <w:sz w:val="22"/>
          <w:szCs w:val="22"/>
          <w:lang w:val="fr-FR"/>
        </w:rPr>
        <w:t>% de la population de la Bernache à cou roux (</w:t>
      </w:r>
      <w:r>
        <w:rPr>
          <w:i/>
          <w:iCs/>
          <w:sz w:val="22"/>
          <w:szCs w:val="22"/>
          <w:lang w:val="fr-FR"/>
        </w:rPr>
        <w:t>Branta ruficollis</w:t>
      </w:r>
      <w:r>
        <w:rPr>
          <w:sz w:val="22"/>
          <w:szCs w:val="22"/>
          <w:lang w:val="fr-FR"/>
        </w:rPr>
        <w:t>), espèce mondialement menacée, se concentrant autour des lacs Durankulak et Shabla, ainsi qu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un nombre assez important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Oies rieuses (</w:t>
      </w:r>
      <w:r>
        <w:rPr>
          <w:i/>
          <w:iCs/>
          <w:sz w:val="22"/>
          <w:szCs w:val="22"/>
          <w:lang w:val="fr-FR"/>
        </w:rPr>
        <w:t>Anser albifrons</w:t>
      </w:r>
      <w:r>
        <w:rPr>
          <w:sz w:val="22"/>
          <w:szCs w:val="22"/>
          <w:lang w:val="fr-FR"/>
        </w:rPr>
        <w:t>),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Oies cendrées (</w:t>
      </w:r>
      <w:r>
        <w:rPr>
          <w:i/>
          <w:iCs/>
          <w:sz w:val="22"/>
          <w:szCs w:val="22"/>
          <w:lang w:val="fr-FR"/>
        </w:rPr>
        <w:t>Anser anser</w:t>
      </w:r>
      <w:r>
        <w:rPr>
          <w:sz w:val="22"/>
          <w:szCs w:val="22"/>
          <w:lang w:val="fr-FR"/>
        </w:rPr>
        <w:t>) et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Oies naines (</w:t>
      </w:r>
      <w:r>
        <w:rPr>
          <w:i/>
          <w:iCs/>
          <w:sz w:val="22"/>
          <w:szCs w:val="22"/>
          <w:lang w:val="fr-FR"/>
        </w:rPr>
        <w:t>Anser erythropus</w:t>
      </w:r>
      <w:r w:rsidRPr="00E40BA1">
        <w:rPr>
          <w:sz w:val="22"/>
          <w:szCs w:val="22"/>
          <w:lang w:val="fr-FR"/>
        </w:rPr>
        <w:t>), espèce mondialement menacée</w:t>
      </w:r>
      <w:r w:rsidRPr="00BD00F3">
        <w:rPr>
          <w:sz w:val="22"/>
          <w:szCs w:val="22"/>
          <w:lang w:val="fr-FR"/>
        </w:rPr>
        <w:t>. Ce nouveau projet est particulièrement menaçant et recoupe les zones d</w:t>
      </w:r>
      <w:r w:rsidR="00851849" w:rsidRPr="00BD00F3">
        <w:rPr>
          <w:sz w:val="22"/>
          <w:szCs w:val="22"/>
          <w:lang w:val="fr-FR"/>
        </w:rPr>
        <w:t>’</w:t>
      </w:r>
      <w:r w:rsidRPr="00BD00F3">
        <w:rPr>
          <w:sz w:val="22"/>
          <w:szCs w:val="22"/>
          <w:lang w:val="fr-FR"/>
        </w:rPr>
        <w:t xml:space="preserve">alimentation des oies tout en créant une barrière entre le lac Durankulak </w:t>
      </w:r>
      <w:r w:rsidR="00E40BA1" w:rsidRPr="00BD00F3">
        <w:rPr>
          <w:sz w:val="22"/>
          <w:szCs w:val="22"/>
          <w:lang w:val="fr-FR"/>
        </w:rPr>
        <w:t>en tant que site de repos</w:t>
      </w:r>
      <w:r w:rsidRPr="00BD00F3">
        <w:rPr>
          <w:sz w:val="22"/>
          <w:szCs w:val="22"/>
          <w:lang w:val="fr-FR"/>
        </w:rPr>
        <w:t xml:space="preserve"> et d</w:t>
      </w:r>
      <w:r w:rsidR="00851849" w:rsidRPr="00BD00F3">
        <w:rPr>
          <w:sz w:val="22"/>
          <w:szCs w:val="22"/>
          <w:lang w:val="fr-FR"/>
        </w:rPr>
        <w:t>’</w:t>
      </w:r>
      <w:r w:rsidRPr="00BD00F3">
        <w:rPr>
          <w:sz w:val="22"/>
          <w:szCs w:val="22"/>
          <w:lang w:val="fr-FR"/>
        </w:rPr>
        <w:t>autres zones d</w:t>
      </w:r>
      <w:r w:rsidR="00851849" w:rsidRPr="00BD00F3">
        <w:rPr>
          <w:sz w:val="22"/>
          <w:szCs w:val="22"/>
          <w:lang w:val="fr-FR"/>
        </w:rPr>
        <w:t>’</w:t>
      </w:r>
      <w:r w:rsidRPr="00BD00F3">
        <w:rPr>
          <w:sz w:val="22"/>
          <w:szCs w:val="22"/>
          <w:lang w:val="fr-FR"/>
        </w:rPr>
        <w:t>alimentation potentielles. Actuellement, Dobroudja compte 278 éoliennes opérationnelles, mais le nombre total des installations prévues s</w:t>
      </w:r>
      <w:r w:rsidR="00851849" w:rsidRPr="00BD00F3">
        <w:rPr>
          <w:sz w:val="22"/>
          <w:szCs w:val="22"/>
          <w:lang w:val="fr-FR"/>
        </w:rPr>
        <w:t>’</w:t>
      </w:r>
      <w:r w:rsidRPr="00BD00F3">
        <w:rPr>
          <w:sz w:val="22"/>
          <w:szCs w:val="22"/>
          <w:lang w:val="fr-FR"/>
        </w:rPr>
        <w:t>élève à 3606</w:t>
      </w:r>
      <w:r w:rsidR="003A7BC0" w:rsidRPr="00A674BE">
        <w:rPr>
          <w:sz w:val="22"/>
          <w:szCs w:val="22"/>
          <w:lang w:val="fr-FR"/>
        </w:rPr>
        <w:t>.</w:t>
      </w:r>
      <w:r w:rsidR="002B2B8E" w:rsidRPr="00A674BE">
        <w:rPr>
          <w:sz w:val="22"/>
          <w:szCs w:val="22"/>
          <w:lang w:val="fr-FR"/>
        </w:rPr>
        <w:t xml:space="preserve"> </w:t>
      </w:r>
    </w:p>
    <w:p w:rsidR="003A7BC0" w:rsidRPr="00A674BE" w:rsidRDefault="003A7BC0" w:rsidP="00414360">
      <w:pPr>
        <w:jc w:val="both"/>
        <w:rPr>
          <w:sz w:val="22"/>
          <w:szCs w:val="22"/>
          <w:lang w:val="fr-FR"/>
        </w:rPr>
      </w:pPr>
    </w:p>
    <w:p w:rsidR="0055091F" w:rsidRDefault="0055091F" w:rsidP="0055091F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Consultations</w:t>
      </w:r>
    </w:p>
    <w:p w:rsidR="0055091F" w:rsidRDefault="0055091F" w:rsidP="0055091F">
      <w:pPr>
        <w:jc w:val="both"/>
        <w:rPr>
          <w:sz w:val="22"/>
          <w:szCs w:val="22"/>
          <w:lang w:val="fr-FR"/>
        </w:rPr>
      </w:pPr>
    </w:p>
    <w:p w:rsidR="003A7BC0" w:rsidRPr="00A674BE" w:rsidRDefault="0055091F" w:rsidP="0055091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Secrétariat a téléchargé la fiche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information sur l</w:t>
      </w:r>
      <w:r w:rsidR="00851849">
        <w:rPr>
          <w:sz w:val="22"/>
          <w:szCs w:val="22"/>
          <w:lang w:val="fr-FR"/>
        </w:rPr>
        <w:t>’</w:t>
      </w:r>
      <w:r w:rsidR="002B2B8E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space de travail du Comité technique (TC) et demandé que les conseils du TC soient transmis au Comité permanent (StC). Le TC a recommandé d</w:t>
      </w:r>
      <w:r w:rsidR="00851849">
        <w:rPr>
          <w:sz w:val="22"/>
          <w:szCs w:val="22"/>
          <w:lang w:val="fr-FR"/>
        </w:rPr>
        <w:t>’</w:t>
      </w:r>
      <w:r w:rsidR="00151639">
        <w:rPr>
          <w:sz w:val="22"/>
          <w:szCs w:val="22"/>
          <w:lang w:val="fr-FR"/>
        </w:rPr>
        <w:t>engager une procédure</w:t>
      </w:r>
      <w:r>
        <w:rPr>
          <w:sz w:val="22"/>
          <w:szCs w:val="22"/>
          <w:lang w:val="fr-FR"/>
        </w:rPr>
        <w:t xml:space="preserve"> IRP. Suivant ce conseil et sur la base de sa propre évaluation des informations fournies, le StC a décidé d</w:t>
      </w:r>
      <w:r w:rsidR="00851849">
        <w:rPr>
          <w:sz w:val="22"/>
          <w:szCs w:val="22"/>
          <w:lang w:val="fr-FR"/>
        </w:rPr>
        <w:t>’</w:t>
      </w:r>
      <w:r w:rsidR="00151639">
        <w:rPr>
          <w:sz w:val="22"/>
          <w:szCs w:val="22"/>
          <w:lang w:val="fr-FR"/>
        </w:rPr>
        <w:t>engager une procédure</w:t>
      </w:r>
      <w:r>
        <w:rPr>
          <w:sz w:val="22"/>
          <w:szCs w:val="22"/>
          <w:lang w:val="fr-FR"/>
        </w:rPr>
        <w:t xml:space="preserve"> fin mars 2012.</w:t>
      </w:r>
      <w:r w:rsidR="002B2B8E" w:rsidRPr="00A674BE">
        <w:rPr>
          <w:sz w:val="22"/>
          <w:szCs w:val="22"/>
          <w:lang w:val="fr-FR"/>
        </w:rPr>
        <w:t xml:space="preserve"> </w:t>
      </w:r>
    </w:p>
    <w:p w:rsidR="003A7BC0" w:rsidRPr="00A674BE" w:rsidRDefault="003A7BC0" w:rsidP="00414360">
      <w:pPr>
        <w:jc w:val="both"/>
        <w:rPr>
          <w:sz w:val="22"/>
          <w:szCs w:val="22"/>
          <w:lang w:val="fr-FR"/>
        </w:rPr>
      </w:pPr>
    </w:p>
    <w:p w:rsidR="00437047" w:rsidRPr="00A674BE" w:rsidRDefault="00437047" w:rsidP="00437047">
      <w:pPr>
        <w:jc w:val="both"/>
        <w:rPr>
          <w:b/>
          <w:sz w:val="22"/>
          <w:szCs w:val="22"/>
          <w:lang w:val="fr-FR"/>
        </w:rPr>
      </w:pPr>
      <w:r w:rsidRPr="00A674BE">
        <w:rPr>
          <w:b/>
          <w:sz w:val="22"/>
          <w:szCs w:val="22"/>
          <w:lang w:val="fr-FR"/>
        </w:rPr>
        <w:t>Actions (2012 jusqu</w:t>
      </w:r>
      <w:r w:rsidR="00851849" w:rsidRPr="00A674BE">
        <w:rPr>
          <w:b/>
          <w:sz w:val="22"/>
          <w:szCs w:val="22"/>
          <w:lang w:val="fr-FR"/>
        </w:rPr>
        <w:t>’</w:t>
      </w:r>
      <w:r w:rsidRPr="00A674BE">
        <w:rPr>
          <w:b/>
          <w:sz w:val="22"/>
          <w:szCs w:val="22"/>
          <w:lang w:val="fr-FR"/>
        </w:rPr>
        <w:t>à la MOP5)</w:t>
      </w:r>
    </w:p>
    <w:p w:rsidR="00437047" w:rsidRDefault="00437047" w:rsidP="00437047">
      <w:pPr>
        <w:jc w:val="both"/>
        <w:rPr>
          <w:sz w:val="22"/>
          <w:szCs w:val="22"/>
          <w:lang w:val="fr-FR"/>
        </w:rPr>
      </w:pPr>
    </w:p>
    <w:p w:rsidR="003A7BC0" w:rsidRPr="00A674BE" w:rsidRDefault="00437047" w:rsidP="0043704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29 mars 2012, le Président du Comité permanent de l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AEWA, M. Øystein Størkersen, a envoyé une lettre à</w:t>
      </w:r>
      <w:r w:rsidR="00A6067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  <w:r w:rsidR="00BD00F3">
        <w:rPr>
          <w:sz w:val="22"/>
          <w:szCs w:val="22"/>
          <w:lang w:val="fr-FR"/>
        </w:rPr>
        <w:t xml:space="preserve">Mme </w:t>
      </w:r>
      <w:r>
        <w:rPr>
          <w:sz w:val="22"/>
          <w:szCs w:val="22"/>
          <w:lang w:val="fr-FR"/>
        </w:rPr>
        <w:t>Nona Karadjova, Ministre de l</w:t>
      </w:r>
      <w:r w:rsidR="00851849">
        <w:rPr>
          <w:sz w:val="22"/>
          <w:szCs w:val="22"/>
          <w:lang w:val="fr-FR"/>
        </w:rPr>
        <w:t>’</w:t>
      </w:r>
      <w:r w:rsidR="00E40BA1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nvironnement et de l</w:t>
      </w:r>
      <w:r w:rsidR="00851849">
        <w:rPr>
          <w:sz w:val="22"/>
          <w:szCs w:val="22"/>
          <w:lang w:val="fr-FR"/>
        </w:rPr>
        <w:t>’</w:t>
      </w:r>
      <w:r w:rsidR="00E40BA1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au, exprimant son inquiétude, demandant des informations officielles concernant la question, faisant part de la décision du StC d</w:t>
      </w:r>
      <w:r w:rsidR="00851849">
        <w:rPr>
          <w:sz w:val="22"/>
          <w:szCs w:val="22"/>
          <w:lang w:val="fr-FR"/>
        </w:rPr>
        <w:t>’</w:t>
      </w:r>
      <w:r w:rsidR="00151639">
        <w:rPr>
          <w:sz w:val="22"/>
          <w:szCs w:val="22"/>
          <w:lang w:val="fr-FR"/>
        </w:rPr>
        <w:t>engager une procédure</w:t>
      </w:r>
      <w:r>
        <w:rPr>
          <w:sz w:val="22"/>
          <w:szCs w:val="22"/>
          <w:lang w:val="fr-FR"/>
        </w:rPr>
        <w:t xml:space="preserve"> et proposant une mission d</w:t>
      </w:r>
      <w:r w:rsidR="00851849">
        <w:rPr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évaluation sur place. Une copie de cette lettre a été envoyée respectivement aux Secrétariats des Conventions de Ramsar et de Berne</w:t>
      </w:r>
      <w:r w:rsidR="003A7BC0" w:rsidRPr="00A674BE">
        <w:rPr>
          <w:sz w:val="22"/>
          <w:szCs w:val="22"/>
          <w:lang w:val="fr-FR"/>
        </w:rPr>
        <w:t>.</w:t>
      </w:r>
    </w:p>
    <w:p w:rsidR="003A7BC0" w:rsidRPr="00A674BE" w:rsidRDefault="003A7BC0" w:rsidP="00A819C1">
      <w:pPr>
        <w:jc w:val="both"/>
        <w:rPr>
          <w:sz w:val="22"/>
          <w:szCs w:val="22"/>
          <w:lang w:val="fr-FR"/>
        </w:rPr>
      </w:pPr>
    </w:p>
    <w:p w:rsidR="004B35CB" w:rsidRPr="00A674BE" w:rsidRDefault="00437047" w:rsidP="00A819C1">
      <w:pPr>
        <w:jc w:val="both"/>
        <w:rPr>
          <w:sz w:val="22"/>
          <w:szCs w:val="22"/>
          <w:lang w:val="fr-FR"/>
        </w:rPr>
      </w:pPr>
      <w:r w:rsidRPr="00E40BA1">
        <w:rPr>
          <w:sz w:val="22"/>
          <w:szCs w:val="22"/>
          <w:lang w:val="fr-FR"/>
        </w:rPr>
        <w:t xml:space="preserve">Le 8 mai 2012, Mme Evdokia Maneva, </w:t>
      </w:r>
      <w:r w:rsidR="00B00BBA" w:rsidRPr="00E40BA1">
        <w:rPr>
          <w:sz w:val="22"/>
          <w:szCs w:val="22"/>
          <w:lang w:val="fr-FR"/>
        </w:rPr>
        <w:t>Ministre</w:t>
      </w:r>
      <w:r w:rsidRPr="00E40BA1">
        <w:rPr>
          <w:sz w:val="22"/>
          <w:szCs w:val="22"/>
          <w:lang w:val="fr-FR"/>
        </w:rPr>
        <w:t xml:space="preserve"> </w:t>
      </w:r>
      <w:r w:rsidR="002734CB">
        <w:rPr>
          <w:sz w:val="22"/>
          <w:szCs w:val="22"/>
          <w:lang w:val="fr-FR"/>
        </w:rPr>
        <w:t>adjointe</w:t>
      </w:r>
      <w:r w:rsidRPr="00E40BA1">
        <w:rPr>
          <w:sz w:val="22"/>
          <w:szCs w:val="22"/>
          <w:lang w:val="fr-FR"/>
        </w:rPr>
        <w:t xml:space="preserve"> de l</w:t>
      </w:r>
      <w:r w:rsidR="00851849" w:rsidRPr="00E40BA1">
        <w:rPr>
          <w:sz w:val="22"/>
          <w:szCs w:val="22"/>
          <w:lang w:val="fr-FR"/>
        </w:rPr>
        <w:t>’</w:t>
      </w:r>
      <w:r w:rsidRPr="00E40BA1">
        <w:rPr>
          <w:sz w:val="22"/>
          <w:szCs w:val="22"/>
          <w:lang w:val="fr-FR"/>
        </w:rPr>
        <w:t>Environnement et de l</w:t>
      </w:r>
      <w:r w:rsidR="00851849" w:rsidRPr="00E40BA1">
        <w:rPr>
          <w:sz w:val="22"/>
          <w:szCs w:val="22"/>
          <w:lang w:val="fr-FR"/>
        </w:rPr>
        <w:t>’</w:t>
      </w:r>
      <w:r w:rsidRPr="00E40BA1">
        <w:rPr>
          <w:sz w:val="22"/>
          <w:szCs w:val="22"/>
          <w:lang w:val="fr-FR"/>
        </w:rPr>
        <w:t>Eau, a envoyé une lettre au Secrétariat de l</w:t>
      </w:r>
      <w:r w:rsidR="00851849" w:rsidRPr="00E40BA1">
        <w:rPr>
          <w:sz w:val="22"/>
          <w:szCs w:val="22"/>
          <w:lang w:val="fr-FR"/>
        </w:rPr>
        <w:t>’</w:t>
      </w:r>
      <w:r w:rsidRPr="00E40BA1">
        <w:rPr>
          <w:sz w:val="22"/>
          <w:szCs w:val="22"/>
          <w:lang w:val="fr-FR"/>
        </w:rPr>
        <w:t>AEWA, demandant des éclaircissements sur quelle ferme éolienne exactement soulevait des inquiétudes</w:t>
      </w:r>
      <w:r w:rsidR="002734CB">
        <w:rPr>
          <w:sz w:val="22"/>
          <w:szCs w:val="22"/>
          <w:lang w:val="fr-FR"/>
        </w:rPr>
        <w:t>,</w:t>
      </w:r>
      <w:r w:rsidRPr="00E40BA1">
        <w:rPr>
          <w:sz w:val="22"/>
          <w:szCs w:val="22"/>
          <w:lang w:val="fr-FR"/>
        </w:rPr>
        <w:t xml:space="preserve"> ainsi que sur les obligations, découlant d</w:t>
      </w:r>
      <w:r w:rsidR="00851849" w:rsidRPr="00E40BA1">
        <w:rPr>
          <w:sz w:val="22"/>
          <w:szCs w:val="22"/>
          <w:lang w:val="fr-FR"/>
        </w:rPr>
        <w:t>’</w:t>
      </w:r>
      <w:r w:rsidRPr="00E40BA1">
        <w:rPr>
          <w:sz w:val="22"/>
          <w:szCs w:val="22"/>
          <w:lang w:val="fr-FR"/>
        </w:rPr>
        <w:t>une mission d</w:t>
      </w:r>
      <w:r w:rsidR="00851849" w:rsidRPr="00E40BA1">
        <w:rPr>
          <w:sz w:val="22"/>
          <w:szCs w:val="22"/>
          <w:lang w:val="fr-FR"/>
        </w:rPr>
        <w:t>’</w:t>
      </w:r>
      <w:r w:rsidRPr="00E40BA1">
        <w:rPr>
          <w:sz w:val="22"/>
          <w:szCs w:val="22"/>
          <w:lang w:val="fr-FR"/>
        </w:rPr>
        <w:t>évaluation sur le terrain</w:t>
      </w:r>
      <w:r w:rsidRPr="002734CB">
        <w:rPr>
          <w:sz w:val="22"/>
          <w:szCs w:val="22"/>
          <w:lang w:val="fr-FR"/>
        </w:rPr>
        <w:t>, auxquelles le ministère devra se conformer)</w:t>
      </w:r>
    </w:p>
    <w:p w:rsidR="00B94DBE" w:rsidRPr="00A674BE" w:rsidRDefault="00B94DBE" w:rsidP="00A819C1">
      <w:pPr>
        <w:jc w:val="both"/>
        <w:rPr>
          <w:sz w:val="22"/>
          <w:szCs w:val="22"/>
          <w:lang w:val="fr-FR"/>
        </w:rPr>
      </w:pPr>
    </w:p>
    <w:p w:rsidR="00B94DBE" w:rsidRPr="00A674BE" w:rsidRDefault="00437047" w:rsidP="00A819C1">
      <w:pPr>
        <w:jc w:val="both"/>
        <w:rPr>
          <w:b/>
          <w:sz w:val="22"/>
          <w:szCs w:val="22"/>
          <w:lang w:val="fr-FR"/>
        </w:rPr>
      </w:pPr>
      <w:r w:rsidRPr="00437047">
        <w:rPr>
          <w:b/>
          <w:sz w:val="22"/>
          <w:szCs w:val="22"/>
          <w:lang w:val="fr-FR"/>
        </w:rPr>
        <w:t>Actions (2012-2015)</w:t>
      </w:r>
    </w:p>
    <w:p w:rsidR="004B35CB" w:rsidRPr="00A674BE" w:rsidRDefault="004B35CB" w:rsidP="00A819C1">
      <w:pPr>
        <w:jc w:val="both"/>
        <w:rPr>
          <w:sz w:val="22"/>
          <w:szCs w:val="22"/>
          <w:lang w:val="fr-FR"/>
        </w:rPr>
      </w:pPr>
    </w:p>
    <w:p w:rsidR="004B35CB" w:rsidRPr="00A674BE" w:rsidRDefault="00437047" w:rsidP="00A819C1">
      <w:pPr>
        <w:jc w:val="both"/>
        <w:rPr>
          <w:sz w:val="22"/>
          <w:szCs w:val="22"/>
          <w:lang w:val="fr-FR"/>
        </w:rPr>
      </w:pPr>
      <w:r w:rsidRPr="00437047">
        <w:rPr>
          <w:sz w:val="22"/>
          <w:szCs w:val="22"/>
          <w:lang w:val="fr-FR"/>
        </w:rPr>
        <w:t>Entre fin mai et début septembre, on note un échange de lettres entre l</w:t>
      </w:r>
      <w:r w:rsidR="002734CB">
        <w:rPr>
          <w:sz w:val="22"/>
          <w:szCs w:val="22"/>
          <w:lang w:val="fr-FR"/>
        </w:rPr>
        <w:t>a</w:t>
      </w:r>
      <w:r w:rsidRPr="00437047">
        <w:rPr>
          <w:sz w:val="22"/>
          <w:szCs w:val="22"/>
          <w:lang w:val="fr-FR"/>
        </w:rPr>
        <w:t xml:space="preserve"> </w:t>
      </w:r>
      <w:r w:rsidR="00B00BBA">
        <w:rPr>
          <w:sz w:val="22"/>
          <w:szCs w:val="22"/>
          <w:lang w:val="fr-FR"/>
        </w:rPr>
        <w:t>Ministre</w:t>
      </w:r>
      <w:r w:rsidRPr="00437047">
        <w:rPr>
          <w:sz w:val="22"/>
          <w:szCs w:val="22"/>
          <w:lang w:val="fr-FR"/>
        </w:rPr>
        <w:t xml:space="preserve"> adjoint</w:t>
      </w:r>
      <w:r w:rsidR="002734CB">
        <w:rPr>
          <w:sz w:val="22"/>
          <w:szCs w:val="22"/>
          <w:lang w:val="fr-FR"/>
        </w:rPr>
        <w:t xml:space="preserve">e, </w:t>
      </w:r>
      <w:r w:rsidR="002734CB" w:rsidRPr="00E40BA1">
        <w:rPr>
          <w:sz w:val="22"/>
          <w:szCs w:val="22"/>
          <w:lang w:val="fr-FR"/>
        </w:rPr>
        <w:t>Mme Evdokia Maneva</w:t>
      </w:r>
      <w:r w:rsidR="002734CB">
        <w:rPr>
          <w:sz w:val="22"/>
          <w:szCs w:val="22"/>
          <w:lang w:val="fr-FR"/>
        </w:rPr>
        <w:t xml:space="preserve">, </w:t>
      </w:r>
      <w:r w:rsidRPr="00437047">
        <w:rPr>
          <w:sz w:val="22"/>
          <w:szCs w:val="22"/>
          <w:lang w:val="fr-FR"/>
        </w:rPr>
        <w:t>et le Secrétariat.</w:t>
      </w:r>
      <w:r w:rsidR="004B35CB" w:rsidRPr="00A674BE">
        <w:rPr>
          <w:sz w:val="22"/>
          <w:szCs w:val="22"/>
          <w:lang w:val="fr-FR"/>
        </w:rPr>
        <w:t xml:space="preserve"> </w:t>
      </w:r>
      <w:r w:rsidRPr="00437047">
        <w:rPr>
          <w:sz w:val="22"/>
          <w:szCs w:val="22"/>
          <w:lang w:val="fr-FR"/>
        </w:rPr>
        <w:t>Les points essentiels étaient que la décision de l</w:t>
      </w:r>
      <w:r w:rsidR="00851849">
        <w:rPr>
          <w:sz w:val="22"/>
          <w:szCs w:val="22"/>
          <w:lang w:val="fr-FR"/>
        </w:rPr>
        <w:t>’</w:t>
      </w:r>
      <w:r w:rsidRPr="00437047">
        <w:rPr>
          <w:sz w:val="22"/>
          <w:szCs w:val="22"/>
          <w:lang w:val="fr-FR"/>
        </w:rPr>
        <w:t>office régional du Ministre concernant l</w:t>
      </w:r>
      <w:r w:rsidR="00851849">
        <w:rPr>
          <w:sz w:val="22"/>
          <w:szCs w:val="22"/>
          <w:lang w:val="fr-FR"/>
        </w:rPr>
        <w:t>’</w:t>
      </w:r>
      <w:r w:rsidRPr="00437047">
        <w:rPr>
          <w:sz w:val="22"/>
          <w:szCs w:val="22"/>
          <w:lang w:val="fr-FR"/>
        </w:rPr>
        <w:t>étude d</w:t>
      </w:r>
      <w:r w:rsidR="00851849">
        <w:rPr>
          <w:sz w:val="22"/>
          <w:szCs w:val="22"/>
          <w:lang w:val="fr-FR"/>
        </w:rPr>
        <w:t>’</w:t>
      </w:r>
      <w:r w:rsidRPr="00437047">
        <w:rPr>
          <w:sz w:val="22"/>
          <w:szCs w:val="22"/>
          <w:lang w:val="fr-FR"/>
        </w:rPr>
        <w:t>impact sur l</w:t>
      </w:r>
      <w:r w:rsidR="00851849">
        <w:rPr>
          <w:sz w:val="22"/>
          <w:szCs w:val="22"/>
          <w:lang w:val="fr-FR"/>
        </w:rPr>
        <w:t>’</w:t>
      </w:r>
      <w:r w:rsidRPr="00437047">
        <w:rPr>
          <w:sz w:val="22"/>
          <w:szCs w:val="22"/>
          <w:lang w:val="fr-FR"/>
        </w:rPr>
        <w:t>environnement, accordant une permission pour la construction de la ferme éolienne, était contestée par des ONG qui faisaient appel</w:t>
      </w:r>
      <w:r w:rsidR="00BD00F3">
        <w:rPr>
          <w:sz w:val="22"/>
          <w:szCs w:val="22"/>
          <w:lang w:val="fr-FR"/>
        </w:rPr>
        <w:t xml:space="preserve">. En outre, </w:t>
      </w:r>
      <w:r w:rsidRPr="00437047">
        <w:rPr>
          <w:sz w:val="22"/>
          <w:szCs w:val="22"/>
          <w:lang w:val="fr-FR"/>
        </w:rPr>
        <w:t>sur la base d</w:t>
      </w:r>
      <w:r w:rsidR="00851849">
        <w:rPr>
          <w:sz w:val="22"/>
          <w:szCs w:val="22"/>
          <w:lang w:val="fr-FR"/>
        </w:rPr>
        <w:t>’</w:t>
      </w:r>
      <w:r w:rsidRPr="00437047">
        <w:rPr>
          <w:sz w:val="22"/>
          <w:szCs w:val="22"/>
          <w:lang w:val="fr-FR"/>
        </w:rPr>
        <w:t xml:space="preserve">une autre évaluation, le </w:t>
      </w:r>
      <w:r w:rsidR="00B00BBA">
        <w:rPr>
          <w:sz w:val="22"/>
          <w:szCs w:val="22"/>
          <w:lang w:val="fr-FR"/>
        </w:rPr>
        <w:t>Ministre</w:t>
      </w:r>
      <w:r w:rsidRPr="00437047">
        <w:rPr>
          <w:sz w:val="22"/>
          <w:szCs w:val="22"/>
          <w:lang w:val="fr-FR"/>
        </w:rPr>
        <w:t xml:space="preserve"> avait révoqué la décision du directeur de l</w:t>
      </w:r>
      <w:r w:rsidR="00851849">
        <w:rPr>
          <w:sz w:val="22"/>
          <w:szCs w:val="22"/>
          <w:lang w:val="fr-FR"/>
        </w:rPr>
        <w:t>’</w:t>
      </w:r>
      <w:r w:rsidRPr="00437047">
        <w:rPr>
          <w:sz w:val="22"/>
          <w:szCs w:val="22"/>
          <w:lang w:val="fr-FR"/>
        </w:rPr>
        <w:t>office régional.</w:t>
      </w:r>
      <w:r w:rsidR="004B35CB" w:rsidRPr="00A674BE">
        <w:rPr>
          <w:sz w:val="22"/>
          <w:szCs w:val="22"/>
          <w:lang w:val="fr-FR"/>
        </w:rPr>
        <w:t xml:space="preserve"> </w:t>
      </w:r>
      <w:r w:rsidRPr="00907FB2">
        <w:rPr>
          <w:sz w:val="22"/>
          <w:szCs w:val="22"/>
          <w:lang w:val="fr-FR"/>
        </w:rPr>
        <w:t>L</w:t>
      </w:r>
      <w:r w:rsidR="00851849">
        <w:rPr>
          <w:sz w:val="22"/>
          <w:szCs w:val="22"/>
          <w:lang w:val="fr-FR"/>
        </w:rPr>
        <w:t>’</w:t>
      </w:r>
      <w:r w:rsidRPr="00907FB2">
        <w:rPr>
          <w:sz w:val="22"/>
          <w:szCs w:val="22"/>
          <w:lang w:val="fr-FR"/>
        </w:rPr>
        <w:t xml:space="preserve">investisseur, </w:t>
      </w:r>
      <w:r w:rsidR="00907FB2" w:rsidRPr="00907FB2">
        <w:rPr>
          <w:sz w:val="22"/>
          <w:szCs w:val="22"/>
          <w:lang w:val="fr-FR"/>
        </w:rPr>
        <w:t>toutefois</w:t>
      </w:r>
      <w:r w:rsidRPr="00907FB2">
        <w:rPr>
          <w:sz w:val="22"/>
          <w:szCs w:val="22"/>
          <w:lang w:val="fr-FR"/>
        </w:rPr>
        <w:t xml:space="preserve">, </w:t>
      </w:r>
      <w:r w:rsidR="00907FB2" w:rsidRPr="00907FB2">
        <w:rPr>
          <w:sz w:val="22"/>
          <w:szCs w:val="22"/>
          <w:lang w:val="fr-FR"/>
        </w:rPr>
        <w:t>faisait</w:t>
      </w:r>
      <w:r w:rsidRPr="00907FB2">
        <w:rPr>
          <w:sz w:val="22"/>
          <w:szCs w:val="22"/>
          <w:lang w:val="fr-FR"/>
        </w:rPr>
        <w:t xml:space="preserve"> à son tou</w:t>
      </w:r>
      <w:r w:rsidR="00907FB2" w:rsidRPr="00907FB2">
        <w:rPr>
          <w:sz w:val="22"/>
          <w:szCs w:val="22"/>
          <w:lang w:val="fr-FR"/>
        </w:rPr>
        <w:t>r</w:t>
      </w:r>
      <w:r w:rsidRPr="00907FB2">
        <w:rPr>
          <w:sz w:val="22"/>
          <w:szCs w:val="22"/>
          <w:lang w:val="fr-FR"/>
        </w:rPr>
        <w:t xml:space="preserve"> appel de </w:t>
      </w:r>
      <w:r w:rsidR="00907FB2" w:rsidRPr="00907FB2">
        <w:rPr>
          <w:sz w:val="22"/>
          <w:szCs w:val="22"/>
          <w:lang w:val="fr-FR"/>
        </w:rPr>
        <w:t xml:space="preserve">cette décision du </w:t>
      </w:r>
      <w:r w:rsidR="00B00BBA">
        <w:rPr>
          <w:sz w:val="22"/>
          <w:szCs w:val="22"/>
          <w:lang w:val="fr-FR"/>
        </w:rPr>
        <w:t>Ministre</w:t>
      </w:r>
      <w:r w:rsidR="00907FB2" w:rsidRPr="00907FB2">
        <w:rPr>
          <w:sz w:val="22"/>
          <w:szCs w:val="22"/>
          <w:lang w:val="fr-FR"/>
        </w:rPr>
        <w:t xml:space="preserve"> et cet appel était examiné par </w:t>
      </w:r>
      <w:r w:rsidR="00E40BA1">
        <w:rPr>
          <w:sz w:val="22"/>
          <w:szCs w:val="22"/>
          <w:lang w:val="fr-FR"/>
        </w:rPr>
        <w:t>la</w:t>
      </w:r>
      <w:r w:rsidR="00907FB2" w:rsidRPr="00907FB2">
        <w:rPr>
          <w:sz w:val="22"/>
          <w:szCs w:val="22"/>
          <w:lang w:val="fr-FR"/>
        </w:rPr>
        <w:t xml:space="preserve"> </w:t>
      </w:r>
      <w:r w:rsidR="00BB095D">
        <w:rPr>
          <w:sz w:val="22"/>
          <w:szCs w:val="22"/>
          <w:lang w:val="fr-FR"/>
        </w:rPr>
        <w:t>Cour administrative</w:t>
      </w:r>
      <w:r w:rsidR="00907FB2" w:rsidRPr="00907FB2">
        <w:rPr>
          <w:sz w:val="22"/>
          <w:szCs w:val="22"/>
          <w:lang w:val="fr-FR"/>
        </w:rPr>
        <w:t xml:space="preserve"> suprême de Bulgarie</w:t>
      </w:r>
      <w:r w:rsidRPr="00907FB2">
        <w:rPr>
          <w:sz w:val="22"/>
          <w:szCs w:val="22"/>
          <w:lang w:val="fr-FR"/>
        </w:rPr>
        <w:t xml:space="preserve"> (</w:t>
      </w:r>
      <w:r w:rsidR="00E40BA1">
        <w:rPr>
          <w:sz w:val="22"/>
          <w:szCs w:val="22"/>
          <w:lang w:val="fr-FR"/>
        </w:rPr>
        <w:t>CAS</w:t>
      </w:r>
      <w:r w:rsidRPr="00907FB2">
        <w:rPr>
          <w:sz w:val="22"/>
          <w:szCs w:val="22"/>
          <w:lang w:val="fr-FR"/>
        </w:rPr>
        <w:t>).</w:t>
      </w:r>
      <w:r w:rsidR="00B94DBE" w:rsidRPr="00A674BE">
        <w:rPr>
          <w:sz w:val="22"/>
          <w:szCs w:val="22"/>
          <w:lang w:val="fr-FR"/>
        </w:rPr>
        <w:t xml:space="preserve"> </w:t>
      </w:r>
      <w:r w:rsidR="00907FB2" w:rsidRPr="00907FB2">
        <w:rPr>
          <w:sz w:val="22"/>
          <w:szCs w:val="22"/>
          <w:lang w:val="fr-FR"/>
        </w:rPr>
        <w:t xml:space="preserve">Sur cette base, ils </w:t>
      </w:r>
      <w:r w:rsidR="00BD00F3">
        <w:rPr>
          <w:sz w:val="22"/>
          <w:szCs w:val="22"/>
          <w:lang w:val="fr-FR"/>
        </w:rPr>
        <w:t>déclinaient à ce stade</w:t>
      </w:r>
      <w:r w:rsidR="00907FB2" w:rsidRPr="00907FB2">
        <w:rPr>
          <w:sz w:val="22"/>
          <w:szCs w:val="22"/>
          <w:lang w:val="fr-FR"/>
        </w:rPr>
        <w:t xml:space="preserve"> </w:t>
      </w:r>
      <w:r w:rsidR="00BD00F3">
        <w:rPr>
          <w:sz w:val="22"/>
          <w:szCs w:val="22"/>
          <w:lang w:val="fr-FR"/>
        </w:rPr>
        <w:t>l’offre de</w:t>
      </w:r>
      <w:r w:rsidR="00907FB2" w:rsidRPr="00907FB2">
        <w:rPr>
          <w:sz w:val="22"/>
          <w:szCs w:val="22"/>
          <w:lang w:val="fr-FR"/>
        </w:rPr>
        <w:t xml:space="preserve"> mission d</w:t>
      </w:r>
      <w:r w:rsidR="00851849">
        <w:rPr>
          <w:sz w:val="22"/>
          <w:szCs w:val="22"/>
          <w:lang w:val="fr-FR"/>
        </w:rPr>
        <w:t>’</w:t>
      </w:r>
      <w:r w:rsidR="00907FB2" w:rsidRPr="00907FB2">
        <w:rPr>
          <w:sz w:val="22"/>
          <w:szCs w:val="22"/>
          <w:lang w:val="fr-FR"/>
        </w:rPr>
        <w:t>évaluation d</w:t>
      </w:r>
      <w:r w:rsidR="00851849">
        <w:rPr>
          <w:sz w:val="22"/>
          <w:szCs w:val="22"/>
          <w:lang w:val="fr-FR"/>
        </w:rPr>
        <w:t>’</w:t>
      </w:r>
      <w:r w:rsidR="00907FB2" w:rsidRPr="00907FB2">
        <w:rPr>
          <w:sz w:val="22"/>
          <w:szCs w:val="22"/>
          <w:lang w:val="fr-FR"/>
        </w:rPr>
        <w:t>IRP sur le terrain.</w:t>
      </w:r>
      <w:r w:rsidR="00B94DBE" w:rsidRPr="00A674BE">
        <w:rPr>
          <w:sz w:val="22"/>
          <w:szCs w:val="22"/>
          <w:lang w:val="fr-FR"/>
        </w:rPr>
        <w:t xml:space="preserve"> </w:t>
      </w:r>
    </w:p>
    <w:p w:rsidR="004B35CB" w:rsidRPr="00A674BE" w:rsidRDefault="004B35CB" w:rsidP="00414360">
      <w:pPr>
        <w:jc w:val="both"/>
        <w:rPr>
          <w:sz w:val="22"/>
          <w:szCs w:val="22"/>
          <w:lang w:val="fr-FR"/>
        </w:rPr>
      </w:pPr>
    </w:p>
    <w:p w:rsidR="004B35CB" w:rsidRPr="00A674BE" w:rsidRDefault="006873C8" w:rsidP="00414360">
      <w:pPr>
        <w:jc w:val="both"/>
        <w:rPr>
          <w:sz w:val="22"/>
          <w:szCs w:val="22"/>
          <w:lang w:val="fr-FR"/>
        </w:rPr>
      </w:pPr>
      <w:r w:rsidRPr="006873C8">
        <w:rPr>
          <w:sz w:val="22"/>
          <w:szCs w:val="22"/>
          <w:lang w:val="fr-FR"/>
        </w:rPr>
        <w:t xml:space="preserve">Le </w:t>
      </w:r>
      <w:r w:rsidR="00907FB2" w:rsidRPr="006873C8">
        <w:rPr>
          <w:sz w:val="22"/>
          <w:szCs w:val="22"/>
          <w:lang w:val="fr-FR"/>
        </w:rPr>
        <w:t xml:space="preserve">verdict </w:t>
      </w:r>
      <w:r w:rsidRPr="006873C8">
        <w:rPr>
          <w:sz w:val="22"/>
          <w:szCs w:val="22"/>
          <w:lang w:val="fr-FR"/>
        </w:rPr>
        <w:t>de la commission composée de trois membres d</w:t>
      </w:r>
      <w:r w:rsidR="00E40BA1">
        <w:rPr>
          <w:sz w:val="22"/>
          <w:szCs w:val="22"/>
          <w:lang w:val="fr-FR"/>
        </w:rPr>
        <w:t>e la</w:t>
      </w:r>
      <w:r w:rsidRPr="006873C8">
        <w:rPr>
          <w:sz w:val="22"/>
          <w:szCs w:val="22"/>
          <w:lang w:val="fr-FR"/>
        </w:rPr>
        <w:t xml:space="preserve"> </w:t>
      </w:r>
      <w:r w:rsidR="00E40BA1">
        <w:rPr>
          <w:sz w:val="22"/>
          <w:szCs w:val="22"/>
          <w:lang w:val="fr-FR"/>
        </w:rPr>
        <w:t>CAS</w:t>
      </w:r>
      <w:r w:rsidRPr="006873C8">
        <w:rPr>
          <w:sz w:val="22"/>
          <w:szCs w:val="22"/>
          <w:lang w:val="fr-FR"/>
        </w:rPr>
        <w:t xml:space="preserve"> a été </w:t>
      </w:r>
      <w:r w:rsidR="00E40BA1">
        <w:rPr>
          <w:sz w:val="22"/>
          <w:szCs w:val="22"/>
          <w:lang w:val="fr-FR"/>
        </w:rPr>
        <w:t>prono</w:t>
      </w:r>
      <w:r w:rsidRPr="006873C8">
        <w:rPr>
          <w:sz w:val="22"/>
          <w:szCs w:val="22"/>
          <w:lang w:val="fr-FR"/>
        </w:rPr>
        <w:t>ncé le 17 janvier 2013, annulant la décision du ministère de révoquer la permission de construction de la ferme éolienne</w:t>
      </w:r>
      <w:r w:rsidR="00907FB2" w:rsidRPr="006873C8">
        <w:rPr>
          <w:sz w:val="22"/>
          <w:szCs w:val="22"/>
          <w:lang w:val="fr-FR"/>
        </w:rPr>
        <w:t>.</w:t>
      </w:r>
      <w:r w:rsidR="00BC2830" w:rsidRPr="00A674BE">
        <w:rPr>
          <w:sz w:val="22"/>
          <w:szCs w:val="22"/>
          <w:lang w:val="fr-FR"/>
        </w:rPr>
        <w:t xml:space="preserve"> </w:t>
      </w:r>
      <w:r w:rsidRPr="006873C8">
        <w:rPr>
          <w:sz w:val="22"/>
          <w:szCs w:val="22"/>
          <w:lang w:val="fr-FR"/>
        </w:rPr>
        <w:t>Cette décision avait pu passer en appel devant une commission de trois membres du tribunal.</w:t>
      </w:r>
      <w:r w:rsidR="00B94DBE" w:rsidRPr="00A674BE">
        <w:rPr>
          <w:sz w:val="22"/>
          <w:szCs w:val="22"/>
          <w:lang w:val="fr-FR"/>
        </w:rPr>
        <w:t xml:space="preserve"> </w:t>
      </w:r>
      <w:r w:rsidRPr="006873C8">
        <w:rPr>
          <w:sz w:val="22"/>
          <w:szCs w:val="22"/>
          <w:lang w:val="fr-FR"/>
        </w:rPr>
        <w:t xml:space="preserve">Le 22 janvier 2013, le Secrétariat a envoyé une lettre </w:t>
      </w:r>
      <w:r w:rsidR="002734CB">
        <w:rPr>
          <w:sz w:val="22"/>
          <w:szCs w:val="22"/>
          <w:lang w:val="fr-FR"/>
        </w:rPr>
        <w:t>à la Ministre</w:t>
      </w:r>
      <w:r w:rsidR="002734CB" w:rsidRPr="00437047">
        <w:rPr>
          <w:sz w:val="22"/>
          <w:szCs w:val="22"/>
          <w:lang w:val="fr-FR"/>
        </w:rPr>
        <w:t xml:space="preserve"> adjoint</w:t>
      </w:r>
      <w:r w:rsidR="002734CB">
        <w:rPr>
          <w:sz w:val="22"/>
          <w:szCs w:val="22"/>
          <w:lang w:val="fr-FR"/>
        </w:rPr>
        <w:t xml:space="preserve">e, </w:t>
      </w:r>
      <w:r w:rsidR="002734CB" w:rsidRPr="00E40BA1">
        <w:rPr>
          <w:sz w:val="22"/>
          <w:szCs w:val="22"/>
          <w:lang w:val="fr-FR"/>
        </w:rPr>
        <w:t>Mme Evdokia Maneva</w:t>
      </w:r>
      <w:r w:rsidRPr="006873C8">
        <w:rPr>
          <w:sz w:val="22"/>
          <w:szCs w:val="22"/>
          <w:lang w:val="fr-FR"/>
        </w:rPr>
        <w:t>, lui demandant quelles actions le ministère prévo</w:t>
      </w:r>
      <w:r w:rsidR="00E40BA1">
        <w:rPr>
          <w:sz w:val="22"/>
          <w:szCs w:val="22"/>
          <w:lang w:val="fr-FR"/>
        </w:rPr>
        <w:t>yait</w:t>
      </w:r>
      <w:r w:rsidRPr="006873C8">
        <w:rPr>
          <w:sz w:val="22"/>
          <w:szCs w:val="22"/>
          <w:lang w:val="fr-FR"/>
        </w:rPr>
        <w:t xml:space="preserve"> d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 xml:space="preserve">entreprendre et </w:t>
      </w:r>
      <w:r w:rsidR="00E40BA1" w:rsidRPr="006873C8">
        <w:rPr>
          <w:sz w:val="22"/>
          <w:szCs w:val="22"/>
          <w:lang w:val="fr-FR"/>
        </w:rPr>
        <w:t>réitér</w:t>
      </w:r>
      <w:r w:rsidR="00E40BA1">
        <w:rPr>
          <w:sz w:val="22"/>
          <w:szCs w:val="22"/>
          <w:lang w:val="fr-FR"/>
        </w:rPr>
        <w:t>ant</w:t>
      </w:r>
      <w:r w:rsidRPr="006873C8">
        <w:rPr>
          <w:sz w:val="22"/>
          <w:szCs w:val="22"/>
          <w:lang w:val="fr-FR"/>
        </w:rPr>
        <w:t xml:space="preserve"> l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>offre d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>envoyer une mission d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>évaluation sur le terrain.</w:t>
      </w:r>
      <w:r w:rsidR="00B94DBE" w:rsidRPr="00A674BE">
        <w:rPr>
          <w:sz w:val="22"/>
          <w:szCs w:val="22"/>
          <w:lang w:val="fr-FR"/>
        </w:rPr>
        <w:t xml:space="preserve"> </w:t>
      </w:r>
      <w:r w:rsidRPr="006873C8">
        <w:rPr>
          <w:sz w:val="22"/>
          <w:szCs w:val="22"/>
          <w:lang w:val="fr-FR"/>
        </w:rPr>
        <w:t>La réponse reçue indiquait que le ministère préciserai</w:t>
      </w:r>
      <w:r w:rsidR="00E40BA1">
        <w:rPr>
          <w:sz w:val="22"/>
          <w:szCs w:val="22"/>
          <w:lang w:val="fr-FR"/>
        </w:rPr>
        <w:t>t</w:t>
      </w:r>
      <w:r w:rsidRPr="006873C8">
        <w:rPr>
          <w:sz w:val="22"/>
          <w:szCs w:val="22"/>
          <w:lang w:val="fr-FR"/>
        </w:rPr>
        <w:t xml:space="preserve"> l</w:t>
      </w:r>
      <w:r w:rsidR="00E40BA1">
        <w:rPr>
          <w:sz w:val="22"/>
          <w:szCs w:val="22"/>
          <w:lang w:val="fr-FR"/>
        </w:rPr>
        <w:t>es prochaines actions</w:t>
      </w:r>
      <w:r w:rsidRPr="006873C8">
        <w:rPr>
          <w:sz w:val="22"/>
          <w:szCs w:val="22"/>
          <w:lang w:val="fr-FR"/>
        </w:rPr>
        <w:t xml:space="preserve"> </w:t>
      </w:r>
      <w:r w:rsidR="00E40BA1">
        <w:rPr>
          <w:sz w:val="22"/>
          <w:szCs w:val="22"/>
          <w:lang w:val="fr-FR"/>
        </w:rPr>
        <w:t>uniquement après</w:t>
      </w:r>
      <w:r w:rsidRPr="006873C8">
        <w:rPr>
          <w:sz w:val="22"/>
          <w:szCs w:val="22"/>
          <w:lang w:val="fr-FR"/>
        </w:rPr>
        <w:t xml:space="preserve"> décision finale de la Cour.</w:t>
      </w:r>
    </w:p>
    <w:p w:rsidR="00B94DBE" w:rsidRPr="00A674BE" w:rsidRDefault="00B94DBE" w:rsidP="00414360">
      <w:pPr>
        <w:jc w:val="both"/>
        <w:rPr>
          <w:sz w:val="22"/>
          <w:szCs w:val="22"/>
          <w:lang w:val="fr-FR"/>
        </w:rPr>
      </w:pPr>
    </w:p>
    <w:p w:rsidR="00B94DBE" w:rsidRPr="00A674BE" w:rsidRDefault="006873C8" w:rsidP="00414360">
      <w:pPr>
        <w:jc w:val="both"/>
        <w:rPr>
          <w:sz w:val="22"/>
          <w:szCs w:val="22"/>
          <w:lang w:val="fr-FR"/>
        </w:rPr>
      </w:pPr>
      <w:r w:rsidRPr="006873C8">
        <w:rPr>
          <w:sz w:val="22"/>
          <w:szCs w:val="22"/>
          <w:lang w:val="fr-FR"/>
        </w:rPr>
        <w:t xml:space="preserve">Le verdict final de la </w:t>
      </w:r>
      <w:r w:rsidR="00E40BA1">
        <w:rPr>
          <w:sz w:val="22"/>
          <w:szCs w:val="22"/>
          <w:lang w:val="fr-FR"/>
        </w:rPr>
        <w:t xml:space="preserve">CAS </w:t>
      </w:r>
      <w:r w:rsidRPr="006873C8">
        <w:rPr>
          <w:sz w:val="22"/>
          <w:szCs w:val="22"/>
          <w:lang w:val="fr-FR"/>
        </w:rPr>
        <w:t>a été rendu le 9 mai 2013, confirmant l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 xml:space="preserve">annulation de la décision du </w:t>
      </w:r>
      <w:r w:rsidR="00B00BBA">
        <w:rPr>
          <w:sz w:val="22"/>
          <w:szCs w:val="22"/>
          <w:lang w:val="fr-FR"/>
        </w:rPr>
        <w:t>Ministre</w:t>
      </w:r>
      <w:r w:rsidRPr="006873C8">
        <w:rPr>
          <w:sz w:val="22"/>
          <w:szCs w:val="22"/>
          <w:lang w:val="fr-FR"/>
        </w:rPr>
        <w:t xml:space="preserve"> et autorisant donc la mise en œuvre du projet.</w:t>
      </w:r>
      <w:r w:rsidR="00BC2830" w:rsidRPr="00A674BE">
        <w:rPr>
          <w:sz w:val="22"/>
          <w:szCs w:val="22"/>
          <w:lang w:val="fr-FR"/>
        </w:rPr>
        <w:t xml:space="preserve"> </w:t>
      </w:r>
      <w:r w:rsidRPr="006873C8">
        <w:rPr>
          <w:sz w:val="22"/>
          <w:szCs w:val="22"/>
          <w:lang w:val="fr-FR"/>
        </w:rPr>
        <w:t>Le 19 juillet 2013, le Secrétariat s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 xml:space="preserve">est renseigné auprès du </w:t>
      </w:r>
      <w:r w:rsidR="00B00BBA">
        <w:rPr>
          <w:sz w:val="22"/>
          <w:szCs w:val="22"/>
          <w:lang w:val="fr-FR"/>
        </w:rPr>
        <w:t>Ministre</w:t>
      </w:r>
      <w:r w:rsidRPr="006873C8">
        <w:rPr>
          <w:sz w:val="22"/>
          <w:szCs w:val="22"/>
          <w:lang w:val="fr-FR"/>
        </w:rPr>
        <w:t xml:space="preserve"> nouvellement nommé,</w:t>
      </w:r>
      <w:r w:rsidR="00BD00F3">
        <w:rPr>
          <w:sz w:val="22"/>
          <w:szCs w:val="22"/>
          <w:lang w:val="fr-FR"/>
        </w:rPr>
        <w:t xml:space="preserve"> Mme</w:t>
      </w:r>
      <w:r w:rsidR="00BC2830" w:rsidRPr="00A674BE">
        <w:rPr>
          <w:sz w:val="22"/>
          <w:szCs w:val="22"/>
          <w:lang w:val="fr-FR"/>
        </w:rPr>
        <w:t xml:space="preserve"> </w:t>
      </w:r>
      <w:r w:rsidRPr="006873C8">
        <w:rPr>
          <w:sz w:val="22"/>
          <w:szCs w:val="22"/>
          <w:lang w:val="fr-FR"/>
        </w:rPr>
        <w:t>Iskra Mihaylova-Koparova sur les options offertes par l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>EIE relatives à l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 xml:space="preserve">autorisation de la révision de cette dernière, et </w:t>
      </w:r>
      <w:r w:rsidR="00892CFC">
        <w:rPr>
          <w:sz w:val="22"/>
          <w:szCs w:val="22"/>
          <w:lang w:val="fr-FR"/>
        </w:rPr>
        <w:t>a offert</w:t>
      </w:r>
      <w:r w:rsidRPr="006873C8">
        <w:rPr>
          <w:sz w:val="22"/>
          <w:szCs w:val="22"/>
          <w:lang w:val="fr-FR"/>
        </w:rPr>
        <w:t xml:space="preserve"> à nouveau d</w:t>
      </w:r>
      <w:r w:rsidR="00851849">
        <w:rPr>
          <w:sz w:val="22"/>
          <w:szCs w:val="22"/>
          <w:lang w:val="fr-FR"/>
        </w:rPr>
        <w:t>’</w:t>
      </w:r>
      <w:r w:rsidRPr="006873C8">
        <w:rPr>
          <w:sz w:val="22"/>
          <w:szCs w:val="22"/>
          <w:lang w:val="fr-FR"/>
        </w:rPr>
        <w:t>envoyer une mission sur place.</w:t>
      </w:r>
    </w:p>
    <w:p w:rsidR="00BC2830" w:rsidRPr="00A674BE" w:rsidRDefault="00BC2830" w:rsidP="00414360">
      <w:pPr>
        <w:jc w:val="both"/>
        <w:rPr>
          <w:sz w:val="22"/>
          <w:szCs w:val="22"/>
          <w:lang w:val="fr-FR"/>
        </w:rPr>
      </w:pPr>
    </w:p>
    <w:p w:rsidR="00BC2830" w:rsidRPr="00A674BE" w:rsidRDefault="00EA1BF4" w:rsidP="00414360">
      <w:pPr>
        <w:jc w:val="both"/>
        <w:rPr>
          <w:sz w:val="22"/>
          <w:szCs w:val="22"/>
          <w:lang w:val="fr-FR"/>
        </w:rPr>
      </w:pPr>
      <w:r w:rsidRPr="00EA1BF4">
        <w:rPr>
          <w:sz w:val="22"/>
          <w:szCs w:val="22"/>
          <w:lang w:val="fr-FR"/>
        </w:rPr>
        <w:t xml:space="preserve">Le </w:t>
      </w:r>
      <w:r w:rsidR="00B00BBA">
        <w:rPr>
          <w:sz w:val="22"/>
          <w:szCs w:val="22"/>
          <w:lang w:val="fr-FR"/>
        </w:rPr>
        <w:t>Ministre</w:t>
      </w:r>
      <w:r w:rsidRPr="00EA1BF4">
        <w:rPr>
          <w:sz w:val="22"/>
          <w:szCs w:val="22"/>
          <w:lang w:val="fr-FR"/>
        </w:rPr>
        <w:t xml:space="preserve"> a répondu le 13 novembre</w:t>
      </w:r>
      <w:r w:rsidR="006873C8" w:rsidRPr="00EA1BF4">
        <w:rPr>
          <w:sz w:val="22"/>
          <w:szCs w:val="22"/>
          <w:lang w:val="fr-FR"/>
        </w:rPr>
        <w:t xml:space="preserve"> 2013</w:t>
      </w:r>
      <w:r w:rsidRPr="00EA1BF4">
        <w:rPr>
          <w:sz w:val="22"/>
          <w:szCs w:val="22"/>
          <w:lang w:val="fr-FR"/>
        </w:rPr>
        <w:t>,</w:t>
      </w:r>
      <w:r w:rsidR="002B2B8E">
        <w:rPr>
          <w:sz w:val="22"/>
          <w:szCs w:val="22"/>
          <w:lang w:val="fr-FR"/>
        </w:rPr>
        <w:t xml:space="preserve"> </w:t>
      </w:r>
      <w:r w:rsidRPr="00EA1BF4">
        <w:rPr>
          <w:sz w:val="22"/>
          <w:szCs w:val="22"/>
          <w:lang w:val="fr-FR"/>
        </w:rPr>
        <w:t>faisant savoir qu</w:t>
      </w:r>
      <w:r w:rsidR="00851849">
        <w:rPr>
          <w:sz w:val="22"/>
          <w:szCs w:val="22"/>
          <w:lang w:val="fr-FR"/>
        </w:rPr>
        <w:t>’</w:t>
      </w:r>
      <w:r w:rsidRPr="00EA1BF4">
        <w:rPr>
          <w:sz w:val="22"/>
          <w:szCs w:val="22"/>
          <w:lang w:val="fr-FR"/>
        </w:rPr>
        <w:t>à la suite d</w:t>
      </w:r>
      <w:r w:rsidR="00851849">
        <w:rPr>
          <w:sz w:val="22"/>
          <w:szCs w:val="22"/>
          <w:lang w:val="fr-FR"/>
        </w:rPr>
        <w:t>’</w:t>
      </w:r>
      <w:r w:rsidRPr="00EA1BF4">
        <w:rPr>
          <w:sz w:val="22"/>
          <w:szCs w:val="22"/>
          <w:lang w:val="fr-FR"/>
        </w:rPr>
        <w:t xml:space="preserve">un nouvel appel </w:t>
      </w:r>
      <w:r w:rsidR="00BD00F3">
        <w:rPr>
          <w:sz w:val="22"/>
          <w:szCs w:val="22"/>
          <w:lang w:val="fr-FR"/>
        </w:rPr>
        <w:t xml:space="preserve">des ONG </w:t>
      </w:r>
      <w:r w:rsidRPr="00EA1BF4">
        <w:rPr>
          <w:sz w:val="22"/>
          <w:szCs w:val="22"/>
          <w:lang w:val="fr-FR"/>
        </w:rPr>
        <w:t>de la décision auprès du parquet a</w:t>
      </w:r>
      <w:r w:rsidR="006873C8" w:rsidRPr="00EA1BF4">
        <w:rPr>
          <w:sz w:val="22"/>
          <w:szCs w:val="22"/>
          <w:lang w:val="fr-FR"/>
        </w:rPr>
        <w:t>dministrati</w:t>
      </w:r>
      <w:r w:rsidRPr="00EA1BF4">
        <w:rPr>
          <w:sz w:val="22"/>
          <w:szCs w:val="22"/>
          <w:lang w:val="fr-FR"/>
        </w:rPr>
        <w:t>f suprême</w:t>
      </w:r>
      <w:r w:rsidR="006873C8" w:rsidRPr="00EA1BF4">
        <w:rPr>
          <w:sz w:val="22"/>
          <w:szCs w:val="22"/>
          <w:lang w:val="fr-FR"/>
        </w:rPr>
        <w:t xml:space="preserve"> (SAPO)</w:t>
      </w:r>
      <w:r w:rsidRPr="00EA1BF4">
        <w:rPr>
          <w:sz w:val="22"/>
          <w:szCs w:val="22"/>
          <w:lang w:val="fr-FR"/>
        </w:rPr>
        <w:t>, la</w:t>
      </w:r>
      <w:r w:rsidR="006873C8" w:rsidRPr="00EA1BF4">
        <w:rPr>
          <w:sz w:val="22"/>
          <w:szCs w:val="22"/>
          <w:lang w:val="fr-FR"/>
        </w:rPr>
        <w:t xml:space="preserve"> </w:t>
      </w:r>
      <w:r w:rsidRPr="00EA1BF4">
        <w:rPr>
          <w:sz w:val="22"/>
          <w:szCs w:val="22"/>
          <w:lang w:val="fr-FR"/>
        </w:rPr>
        <w:t>décision favorable sur l</w:t>
      </w:r>
      <w:r w:rsidR="00851849">
        <w:rPr>
          <w:sz w:val="22"/>
          <w:szCs w:val="22"/>
          <w:lang w:val="fr-FR"/>
        </w:rPr>
        <w:t>’</w:t>
      </w:r>
      <w:r w:rsidRPr="00EA1BF4">
        <w:rPr>
          <w:sz w:val="22"/>
          <w:szCs w:val="22"/>
          <w:lang w:val="fr-FR"/>
        </w:rPr>
        <w:t>EIE pour le projet de construction d</w:t>
      </w:r>
      <w:r w:rsidR="00851849">
        <w:rPr>
          <w:sz w:val="22"/>
          <w:szCs w:val="22"/>
          <w:lang w:val="fr-FR"/>
        </w:rPr>
        <w:t>’</w:t>
      </w:r>
      <w:r w:rsidRPr="00EA1BF4">
        <w:rPr>
          <w:sz w:val="22"/>
          <w:szCs w:val="22"/>
          <w:lang w:val="fr-FR"/>
        </w:rPr>
        <w:t>une ferme éolienne avait été révoquée par une décision</w:t>
      </w:r>
      <w:r w:rsidR="006873C8" w:rsidRPr="00EA1BF4">
        <w:rPr>
          <w:sz w:val="22"/>
          <w:szCs w:val="22"/>
          <w:lang w:val="fr-FR"/>
        </w:rPr>
        <w:t xml:space="preserve"> </w:t>
      </w:r>
      <w:r w:rsidRPr="00EA1BF4">
        <w:rPr>
          <w:sz w:val="22"/>
          <w:szCs w:val="22"/>
          <w:lang w:val="fr-FR"/>
        </w:rPr>
        <w:t xml:space="preserve">du </w:t>
      </w:r>
      <w:r w:rsidR="00B00BBA">
        <w:rPr>
          <w:sz w:val="22"/>
          <w:szCs w:val="22"/>
          <w:lang w:val="fr-FR"/>
        </w:rPr>
        <w:t>Ministre</w:t>
      </w:r>
      <w:r w:rsidRPr="00EA1BF4">
        <w:rPr>
          <w:sz w:val="22"/>
          <w:szCs w:val="22"/>
          <w:lang w:val="fr-FR"/>
        </w:rPr>
        <w:t xml:space="preserve"> le </w:t>
      </w:r>
      <w:r w:rsidR="006873C8" w:rsidRPr="00EA1BF4">
        <w:rPr>
          <w:sz w:val="22"/>
          <w:szCs w:val="22"/>
          <w:lang w:val="fr-FR"/>
        </w:rPr>
        <w:t xml:space="preserve">14 </w:t>
      </w:r>
      <w:r w:rsidRPr="00EA1BF4">
        <w:rPr>
          <w:sz w:val="22"/>
          <w:szCs w:val="22"/>
          <w:lang w:val="fr-FR"/>
        </w:rPr>
        <w:t>octobre</w:t>
      </w:r>
      <w:r w:rsidR="006873C8" w:rsidRPr="00EA1BF4">
        <w:rPr>
          <w:sz w:val="22"/>
          <w:szCs w:val="22"/>
          <w:lang w:val="fr-FR"/>
        </w:rPr>
        <w:t xml:space="preserve"> 2013, </w:t>
      </w:r>
      <w:r w:rsidRPr="00EA1BF4">
        <w:rPr>
          <w:sz w:val="22"/>
          <w:szCs w:val="22"/>
          <w:lang w:val="fr-FR"/>
        </w:rPr>
        <w:t xml:space="preserve">qui </w:t>
      </w:r>
      <w:r w:rsidR="00892CFC" w:rsidRPr="00EA1BF4">
        <w:rPr>
          <w:sz w:val="22"/>
          <w:szCs w:val="22"/>
          <w:lang w:val="fr-FR"/>
        </w:rPr>
        <w:t>réclamait</w:t>
      </w:r>
      <w:r w:rsidRPr="00EA1BF4">
        <w:rPr>
          <w:sz w:val="22"/>
          <w:szCs w:val="22"/>
          <w:lang w:val="fr-FR"/>
        </w:rPr>
        <w:t xml:space="preserve"> également une révision de l</w:t>
      </w:r>
      <w:r w:rsidR="00851849">
        <w:rPr>
          <w:sz w:val="22"/>
          <w:szCs w:val="22"/>
          <w:lang w:val="fr-FR"/>
        </w:rPr>
        <w:t>’</w:t>
      </w:r>
      <w:r w:rsidRPr="00EA1BF4">
        <w:rPr>
          <w:sz w:val="22"/>
          <w:szCs w:val="22"/>
          <w:lang w:val="fr-FR"/>
        </w:rPr>
        <w:t>ensemble de la procédure d</w:t>
      </w:r>
      <w:r w:rsidR="00851849">
        <w:rPr>
          <w:sz w:val="22"/>
          <w:szCs w:val="22"/>
          <w:lang w:val="fr-FR"/>
        </w:rPr>
        <w:t>’</w:t>
      </w:r>
      <w:r w:rsidRPr="00EA1BF4">
        <w:rPr>
          <w:sz w:val="22"/>
          <w:szCs w:val="22"/>
          <w:lang w:val="fr-FR"/>
        </w:rPr>
        <w:t>EIE</w:t>
      </w:r>
      <w:r w:rsidR="006873C8" w:rsidRPr="00EA1BF4">
        <w:rPr>
          <w:sz w:val="22"/>
          <w:szCs w:val="22"/>
          <w:lang w:val="fr-FR"/>
        </w:rPr>
        <w:t>.</w:t>
      </w:r>
      <w:r w:rsidR="009A2C31" w:rsidRPr="00A674BE">
        <w:rPr>
          <w:sz w:val="22"/>
          <w:szCs w:val="22"/>
          <w:lang w:val="fr-FR"/>
        </w:rPr>
        <w:t xml:space="preserve"> </w:t>
      </w:r>
      <w:r w:rsidRPr="00EA1BF4">
        <w:rPr>
          <w:sz w:val="22"/>
          <w:szCs w:val="22"/>
          <w:lang w:val="fr-FR"/>
        </w:rPr>
        <w:t xml:space="preserve">De plus, le 18 octobre 2013, le </w:t>
      </w:r>
      <w:r w:rsidR="00B00BBA">
        <w:rPr>
          <w:sz w:val="22"/>
          <w:szCs w:val="22"/>
          <w:lang w:val="fr-FR"/>
        </w:rPr>
        <w:t>Ministre</w:t>
      </w:r>
      <w:r w:rsidRPr="00EA1BF4">
        <w:rPr>
          <w:sz w:val="22"/>
          <w:szCs w:val="22"/>
          <w:lang w:val="fr-FR"/>
        </w:rPr>
        <w:t xml:space="preserve"> a publié un décret sur la protection préventive de zones à inclure dans une nouvelle Zone de protection spéciale « Bilo » dans le cadre du réseau Natura 2000, visant à la conservation de </w:t>
      </w:r>
      <w:r w:rsidR="00892CFC">
        <w:rPr>
          <w:sz w:val="22"/>
          <w:szCs w:val="22"/>
          <w:lang w:val="fr-FR"/>
        </w:rPr>
        <w:t xml:space="preserve">la </w:t>
      </w:r>
      <w:r w:rsidRPr="00EA1BF4">
        <w:rPr>
          <w:sz w:val="22"/>
          <w:szCs w:val="22"/>
          <w:lang w:val="fr-FR"/>
        </w:rPr>
        <w:t>Bernache à cou roux, parmi d</w:t>
      </w:r>
      <w:r w:rsidR="00851849">
        <w:rPr>
          <w:sz w:val="22"/>
          <w:szCs w:val="22"/>
          <w:lang w:val="fr-FR"/>
        </w:rPr>
        <w:t>’</w:t>
      </w:r>
      <w:r w:rsidRPr="00EA1BF4">
        <w:rPr>
          <w:sz w:val="22"/>
          <w:szCs w:val="22"/>
          <w:lang w:val="fr-FR"/>
        </w:rPr>
        <w:t>autres espèces.</w:t>
      </w:r>
      <w:r w:rsidR="009A2C31" w:rsidRPr="00A674BE">
        <w:rPr>
          <w:sz w:val="22"/>
          <w:szCs w:val="22"/>
          <w:lang w:val="fr-FR"/>
        </w:rPr>
        <w:t xml:space="preserve"> </w:t>
      </w:r>
      <w:r w:rsidR="00774F3A" w:rsidRPr="00774F3A">
        <w:rPr>
          <w:sz w:val="22"/>
          <w:szCs w:val="22"/>
          <w:lang w:val="fr-FR"/>
        </w:rPr>
        <w:t>Cette</w:t>
      </w:r>
      <w:r w:rsidRPr="00774F3A">
        <w:rPr>
          <w:sz w:val="22"/>
          <w:szCs w:val="22"/>
          <w:lang w:val="fr-FR"/>
        </w:rPr>
        <w:t xml:space="preserve"> </w:t>
      </w:r>
      <w:r w:rsidR="00774F3A" w:rsidRPr="00774F3A">
        <w:rPr>
          <w:sz w:val="22"/>
          <w:szCs w:val="22"/>
          <w:lang w:val="fr-FR"/>
        </w:rPr>
        <w:t>nouvelle</w:t>
      </w:r>
      <w:r w:rsidRPr="00774F3A">
        <w:rPr>
          <w:sz w:val="22"/>
          <w:szCs w:val="22"/>
          <w:lang w:val="fr-FR"/>
        </w:rPr>
        <w:t xml:space="preserve"> </w:t>
      </w:r>
      <w:r w:rsidR="00774F3A" w:rsidRPr="00774F3A">
        <w:rPr>
          <w:sz w:val="22"/>
          <w:szCs w:val="22"/>
          <w:lang w:val="fr-FR"/>
        </w:rPr>
        <w:t>Zone de protection spéciale (ZPS) est située à l</w:t>
      </w:r>
      <w:r w:rsidR="00851849">
        <w:rPr>
          <w:sz w:val="22"/>
          <w:szCs w:val="22"/>
          <w:lang w:val="fr-FR"/>
        </w:rPr>
        <w:t>’</w:t>
      </w:r>
      <w:r w:rsidR="00774F3A" w:rsidRPr="00774F3A">
        <w:rPr>
          <w:sz w:val="22"/>
          <w:szCs w:val="22"/>
          <w:lang w:val="fr-FR"/>
        </w:rPr>
        <w:t xml:space="preserve">ouest du lac </w:t>
      </w:r>
      <w:r w:rsidRPr="00774F3A">
        <w:rPr>
          <w:sz w:val="22"/>
          <w:szCs w:val="22"/>
          <w:lang w:val="fr-FR"/>
        </w:rPr>
        <w:t xml:space="preserve">Durankulak </w:t>
      </w:r>
      <w:r w:rsidR="00774F3A" w:rsidRPr="00774F3A">
        <w:rPr>
          <w:sz w:val="22"/>
          <w:szCs w:val="22"/>
          <w:lang w:val="fr-FR"/>
        </w:rPr>
        <w:t>et fournit des habitats d</w:t>
      </w:r>
      <w:r w:rsidR="00851849">
        <w:rPr>
          <w:sz w:val="22"/>
          <w:szCs w:val="22"/>
          <w:lang w:val="fr-FR"/>
        </w:rPr>
        <w:t>’</w:t>
      </w:r>
      <w:r w:rsidR="00774F3A" w:rsidRPr="00774F3A">
        <w:rPr>
          <w:sz w:val="22"/>
          <w:szCs w:val="22"/>
          <w:lang w:val="fr-FR"/>
        </w:rPr>
        <w:t>alimentation</w:t>
      </w:r>
      <w:r w:rsidRPr="00774F3A">
        <w:rPr>
          <w:sz w:val="22"/>
          <w:szCs w:val="22"/>
          <w:lang w:val="fr-FR"/>
        </w:rPr>
        <w:t>.</w:t>
      </w:r>
      <w:r w:rsidR="009A2C31" w:rsidRPr="00A674BE">
        <w:rPr>
          <w:sz w:val="22"/>
          <w:szCs w:val="22"/>
          <w:lang w:val="fr-FR"/>
        </w:rPr>
        <w:t xml:space="preserve"> </w:t>
      </w:r>
      <w:r w:rsidR="00774F3A" w:rsidRPr="00774F3A">
        <w:rPr>
          <w:sz w:val="22"/>
          <w:szCs w:val="22"/>
          <w:lang w:val="fr-FR"/>
        </w:rPr>
        <w:t>La réglementation de la nouvelle ZPS interdit la construction de fermes éoliennes et des structures afférentes.</w:t>
      </w:r>
      <w:r w:rsidR="009A2C31" w:rsidRPr="00A674BE">
        <w:rPr>
          <w:sz w:val="22"/>
          <w:szCs w:val="22"/>
          <w:lang w:val="fr-FR"/>
        </w:rPr>
        <w:t xml:space="preserve"> </w:t>
      </w:r>
      <w:r w:rsidR="00774F3A" w:rsidRPr="00774F3A">
        <w:rPr>
          <w:sz w:val="22"/>
          <w:szCs w:val="22"/>
          <w:lang w:val="fr-FR"/>
        </w:rPr>
        <w:t xml:space="preserve">Finalement, le </w:t>
      </w:r>
      <w:r w:rsidR="00B00BBA">
        <w:rPr>
          <w:sz w:val="22"/>
          <w:szCs w:val="22"/>
          <w:lang w:val="fr-FR"/>
        </w:rPr>
        <w:t>Ministre</w:t>
      </w:r>
      <w:r w:rsidR="00774F3A" w:rsidRPr="00774F3A">
        <w:rPr>
          <w:sz w:val="22"/>
          <w:szCs w:val="22"/>
          <w:lang w:val="fr-FR"/>
        </w:rPr>
        <w:t xml:space="preserve"> accepte volontiers le soutien de l</w:t>
      </w:r>
      <w:r w:rsidR="00851849">
        <w:rPr>
          <w:sz w:val="22"/>
          <w:szCs w:val="22"/>
          <w:lang w:val="fr-FR"/>
        </w:rPr>
        <w:t>’</w:t>
      </w:r>
      <w:r w:rsidR="00774F3A" w:rsidRPr="00774F3A">
        <w:rPr>
          <w:sz w:val="22"/>
          <w:szCs w:val="22"/>
          <w:lang w:val="fr-FR"/>
        </w:rPr>
        <w:t>AEWA pour ce cas.</w:t>
      </w:r>
    </w:p>
    <w:p w:rsidR="00257DB1" w:rsidRPr="00A674BE" w:rsidRDefault="00257DB1" w:rsidP="00414360">
      <w:pPr>
        <w:jc w:val="both"/>
        <w:rPr>
          <w:sz w:val="22"/>
          <w:szCs w:val="22"/>
          <w:lang w:val="fr-FR"/>
        </w:rPr>
      </w:pPr>
    </w:p>
    <w:p w:rsidR="00257DB1" w:rsidRPr="00A674BE" w:rsidRDefault="00774F3A" w:rsidP="00414360">
      <w:pPr>
        <w:jc w:val="both"/>
        <w:rPr>
          <w:sz w:val="22"/>
          <w:szCs w:val="22"/>
          <w:lang w:val="fr-FR"/>
        </w:rPr>
      </w:pPr>
      <w:r w:rsidRPr="00774F3A">
        <w:rPr>
          <w:sz w:val="22"/>
          <w:szCs w:val="22"/>
          <w:lang w:val="fr-FR"/>
        </w:rPr>
        <w:t xml:space="preserve">En janvier 2014, le Secrétariat se renseigne </w:t>
      </w:r>
      <w:r w:rsidR="00892CFC" w:rsidRPr="00774F3A">
        <w:rPr>
          <w:sz w:val="22"/>
          <w:szCs w:val="22"/>
          <w:lang w:val="fr-FR"/>
        </w:rPr>
        <w:t>auprès</w:t>
      </w:r>
      <w:r w:rsidRPr="00774F3A">
        <w:rPr>
          <w:sz w:val="22"/>
          <w:szCs w:val="22"/>
          <w:lang w:val="fr-FR"/>
        </w:rPr>
        <w:t xml:space="preserve"> d</w:t>
      </w:r>
      <w:r w:rsidR="00851849">
        <w:rPr>
          <w:sz w:val="22"/>
          <w:szCs w:val="22"/>
          <w:lang w:val="fr-FR"/>
        </w:rPr>
        <w:t>’</w:t>
      </w:r>
      <w:r w:rsidRPr="00774F3A">
        <w:rPr>
          <w:sz w:val="22"/>
          <w:szCs w:val="22"/>
          <w:lang w:val="fr-FR"/>
        </w:rPr>
        <w:t>Emilia Kraeva, chef du département de la coopération internationale du ministère de l</w:t>
      </w:r>
      <w:r w:rsidR="00851849">
        <w:rPr>
          <w:sz w:val="22"/>
          <w:szCs w:val="22"/>
          <w:lang w:val="fr-FR"/>
        </w:rPr>
        <w:t>’</w:t>
      </w:r>
      <w:r w:rsidRPr="00774F3A">
        <w:rPr>
          <w:sz w:val="22"/>
          <w:szCs w:val="22"/>
          <w:lang w:val="fr-FR"/>
        </w:rPr>
        <w:t>Environnement et de l</w:t>
      </w:r>
      <w:r w:rsidR="00851849">
        <w:rPr>
          <w:sz w:val="22"/>
          <w:szCs w:val="22"/>
          <w:lang w:val="fr-FR"/>
        </w:rPr>
        <w:t>’</w:t>
      </w:r>
      <w:r w:rsidRPr="00774F3A">
        <w:rPr>
          <w:sz w:val="22"/>
          <w:szCs w:val="22"/>
          <w:lang w:val="fr-FR"/>
        </w:rPr>
        <w:t xml:space="preserve">Eau, </w:t>
      </w:r>
      <w:r w:rsidR="00892CFC">
        <w:rPr>
          <w:sz w:val="22"/>
          <w:szCs w:val="22"/>
          <w:lang w:val="fr-FR"/>
        </w:rPr>
        <w:t xml:space="preserve">pour savoir </w:t>
      </w:r>
      <w:r w:rsidRPr="00774F3A">
        <w:rPr>
          <w:sz w:val="22"/>
          <w:szCs w:val="22"/>
          <w:lang w:val="fr-FR"/>
        </w:rPr>
        <w:t>comment le nouveau processus d</w:t>
      </w:r>
      <w:r w:rsidR="00851849">
        <w:rPr>
          <w:sz w:val="22"/>
          <w:szCs w:val="22"/>
          <w:lang w:val="fr-FR"/>
        </w:rPr>
        <w:t>’</w:t>
      </w:r>
      <w:r w:rsidRPr="00774F3A">
        <w:rPr>
          <w:sz w:val="22"/>
          <w:szCs w:val="22"/>
          <w:lang w:val="fr-FR"/>
        </w:rPr>
        <w:t>EIE sera mené et la façon dont le Secrétariat peut apporter ses avis et conseils au cours de ce processus.</w:t>
      </w:r>
      <w:r w:rsidR="002B2B8E" w:rsidRPr="00A674BE">
        <w:rPr>
          <w:sz w:val="22"/>
          <w:szCs w:val="22"/>
          <w:lang w:val="fr-FR"/>
        </w:rPr>
        <w:t xml:space="preserve"> </w:t>
      </w:r>
    </w:p>
    <w:p w:rsidR="00005DDC" w:rsidRPr="00A674BE" w:rsidRDefault="00005DDC" w:rsidP="00BE76D2">
      <w:pPr>
        <w:jc w:val="both"/>
        <w:rPr>
          <w:sz w:val="22"/>
          <w:szCs w:val="22"/>
          <w:lang w:val="fr-FR"/>
        </w:rPr>
      </w:pPr>
    </w:p>
    <w:p w:rsidR="00005DDC" w:rsidRPr="00A674BE" w:rsidRDefault="00774F3A" w:rsidP="00BE76D2">
      <w:pPr>
        <w:jc w:val="both"/>
        <w:rPr>
          <w:sz w:val="22"/>
          <w:szCs w:val="22"/>
          <w:lang w:val="fr-FR"/>
        </w:rPr>
      </w:pPr>
      <w:r w:rsidRPr="00774F3A">
        <w:rPr>
          <w:sz w:val="22"/>
          <w:szCs w:val="22"/>
          <w:lang w:val="fr-FR"/>
        </w:rPr>
        <w:t>Le 17 février 2014, en marge d</w:t>
      </w:r>
      <w:r w:rsidR="00851849">
        <w:rPr>
          <w:sz w:val="22"/>
          <w:szCs w:val="22"/>
          <w:lang w:val="fr-FR"/>
        </w:rPr>
        <w:t>’</w:t>
      </w:r>
      <w:r w:rsidRPr="00774F3A">
        <w:rPr>
          <w:sz w:val="22"/>
          <w:szCs w:val="22"/>
          <w:lang w:val="fr-FR"/>
        </w:rPr>
        <w:t xml:space="preserve">une autre réunion </w:t>
      </w:r>
      <w:r w:rsidR="00892CFC">
        <w:rPr>
          <w:sz w:val="22"/>
          <w:szCs w:val="22"/>
          <w:lang w:val="fr-FR"/>
        </w:rPr>
        <w:t xml:space="preserve">ayant </w:t>
      </w:r>
      <w:r w:rsidR="00BD00F3">
        <w:rPr>
          <w:sz w:val="22"/>
          <w:szCs w:val="22"/>
          <w:lang w:val="fr-FR"/>
        </w:rPr>
        <w:t xml:space="preserve">eu </w:t>
      </w:r>
      <w:r w:rsidR="00892CFC">
        <w:rPr>
          <w:sz w:val="22"/>
          <w:szCs w:val="22"/>
          <w:lang w:val="fr-FR"/>
        </w:rPr>
        <w:t xml:space="preserve">lieu </w:t>
      </w:r>
      <w:r w:rsidRPr="00774F3A">
        <w:rPr>
          <w:sz w:val="22"/>
          <w:szCs w:val="22"/>
          <w:lang w:val="fr-FR"/>
        </w:rPr>
        <w:t xml:space="preserve">en Bulgarie, </w:t>
      </w:r>
      <w:r w:rsidR="00892CFC">
        <w:rPr>
          <w:sz w:val="22"/>
          <w:szCs w:val="22"/>
          <w:lang w:val="fr-FR"/>
        </w:rPr>
        <w:t xml:space="preserve">le </w:t>
      </w:r>
      <w:r w:rsidRPr="00774F3A">
        <w:rPr>
          <w:sz w:val="22"/>
          <w:szCs w:val="22"/>
          <w:lang w:val="fr-FR"/>
        </w:rPr>
        <w:t>représentant du Secrétariat a rencontré des représentants du ministère à Sofia.</w:t>
      </w:r>
      <w:r w:rsidR="00B23F03" w:rsidRPr="00A674BE">
        <w:rPr>
          <w:sz w:val="22"/>
          <w:szCs w:val="22"/>
          <w:lang w:val="fr-FR"/>
        </w:rPr>
        <w:t xml:space="preserve"> </w:t>
      </w:r>
      <w:r w:rsidRPr="00774F3A">
        <w:rPr>
          <w:sz w:val="22"/>
          <w:szCs w:val="22"/>
          <w:lang w:val="fr-FR"/>
        </w:rPr>
        <w:t>Les résultats de cette réunion ont été résumés dans une lettre du Secrétariat datée du 6 mars 2014, adressée au chef du département de la coopération internationale.</w:t>
      </w:r>
      <w:r w:rsidR="00B23F03" w:rsidRPr="00A674BE">
        <w:rPr>
          <w:sz w:val="22"/>
          <w:szCs w:val="22"/>
          <w:lang w:val="fr-FR"/>
        </w:rPr>
        <w:t xml:space="preserve"> </w:t>
      </w:r>
      <w:r w:rsidRPr="00B63F3E">
        <w:rPr>
          <w:sz w:val="22"/>
          <w:szCs w:val="22"/>
          <w:lang w:val="fr-FR"/>
        </w:rPr>
        <w:t xml:space="preserve">Le ministère avait fait savoir que </w:t>
      </w:r>
      <w:r w:rsidR="00892CFC">
        <w:rPr>
          <w:sz w:val="22"/>
          <w:szCs w:val="22"/>
          <w:lang w:val="fr-FR"/>
        </w:rPr>
        <w:t>la</w:t>
      </w:r>
      <w:r w:rsidRPr="00B63F3E">
        <w:rPr>
          <w:sz w:val="22"/>
          <w:szCs w:val="22"/>
          <w:lang w:val="fr-FR"/>
        </w:rPr>
        <w:t xml:space="preserve"> ZPS autour du lac Durankulak allait être étendue et que la procédure serait finalisée d</w:t>
      </w:r>
      <w:r w:rsidR="00851849">
        <w:rPr>
          <w:sz w:val="22"/>
          <w:szCs w:val="22"/>
          <w:lang w:val="fr-FR"/>
        </w:rPr>
        <w:t>’</w:t>
      </w:r>
      <w:r w:rsidRPr="00B63F3E">
        <w:rPr>
          <w:sz w:val="22"/>
          <w:szCs w:val="22"/>
          <w:lang w:val="fr-FR"/>
        </w:rPr>
        <w:t xml:space="preserve">ici </w:t>
      </w:r>
      <w:r w:rsidR="00B63F3E" w:rsidRPr="00B63F3E">
        <w:rPr>
          <w:sz w:val="22"/>
          <w:szCs w:val="22"/>
          <w:lang w:val="fr-FR"/>
        </w:rPr>
        <w:t>plusieurs</w:t>
      </w:r>
      <w:r w:rsidRPr="00B63F3E">
        <w:rPr>
          <w:sz w:val="22"/>
          <w:szCs w:val="22"/>
          <w:lang w:val="fr-FR"/>
        </w:rPr>
        <w:t xml:space="preserve"> mois.</w:t>
      </w:r>
      <w:r w:rsidR="002B2B8E" w:rsidRPr="00A674BE">
        <w:rPr>
          <w:sz w:val="22"/>
          <w:szCs w:val="22"/>
          <w:lang w:val="fr-FR"/>
        </w:rPr>
        <w:t xml:space="preserve"> </w:t>
      </w:r>
      <w:r w:rsidR="00B63F3E" w:rsidRPr="00B63F3E">
        <w:rPr>
          <w:sz w:val="22"/>
          <w:szCs w:val="22"/>
          <w:lang w:val="fr-FR"/>
        </w:rPr>
        <w:t>Le développement d</w:t>
      </w:r>
      <w:r w:rsidR="00851849">
        <w:rPr>
          <w:sz w:val="22"/>
          <w:szCs w:val="22"/>
          <w:lang w:val="fr-FR"/>
        </w:rPr>
        <w:t>’</w:t>
      </w:r>
      <w:r w:rsidR="00B63F3E" w:rsidRPr="00B63F3E">
        <w:rPr>
          <w:sz w:val="22"/>
          <w:szCs w:val="22"/>
          <w:lang w:val="fr-FR"/>
        </w:rPr>
        <w:t>infrastructures ne sera pas autorisé dans les Zones ayant un régime de protection spéciale ce qui, selon les responsables du ministère, excluent la possibilité d</w:t>
      </w:r>
      <w:r w:rsidR="00851849">
        <w:rPr>
          <w:sz w:val="22"/>
          <w:szCs w:val="22"/>
          <w:lang w:val="fr-FR"/>
        </w:rPr>
        <w:t>’</w:t>
      </w:r>
      <w:r w:rsidR="00B63F3E" w:rsidRPr="00B63F3E">
        <w:rPr>
          <w:sz w:val="22"/>
          <w:szCs w:val="22"/>
          <w:lang w:val="fr-FR"/>
        </w:rPr>
        <w:t>y construire une ferme éolienne.</w:t>
      </w:r>
      <w:r w:rsidR="00B23F03" w:rsidRPr="00A674BE">
        <w:rPr>
          <w:sz w:val="22"/>
          <w:szCs w:val="22"/>
          <w:lang w:val="fr-FR"/>
        </w:rPr>
        <w:t xml:space="preserve"> </w:t>
      </w:r>
      <w:r w:rsidR="00B63F3E" w:rsidRPr="00B63F3E">
        <w:rPr>
          <w:sz w:val="22"/>
          <w:szCs w:val="22"/>
          <w:lang w:val="fr-FR"/>
        </w:rPr>
        <w:t>Ce qui fait qu</w:t>
      </w:r>
      <w:r w:rsidR="00851849">
        <w:rPr>
          <w:sz w:val="22"/>
          <w:szCs w:val="22"/>
          <w:lang w:val="fr-FR"/>
        </w:rPr>
        <w:t>’</w:t>
      </w:r>
      <w:r w:rsidR="00B63F3E" w:rsidRPr="00B63F3E">
        <w:rPr>
          <w:sz w:val="22"/>
          <w:szCs w:val="22"/>
          <w:lang w:val="fr-FR"/>
        </w:rPr>
        <w:t>aucune nouvelle procédure d</w:t>
      </w:r>
      <w:r w:rsidR="00851849">
        <w:rPr>
          <w:sz w:val="22"/>
          <w:szCs w:val="22"/>
          <w:lang w:val="fr-FR"/>
        </w:rPr>
        <w:t>’</w:t>
      </w:r>
      <w:r w:rsidR="00B63F3E" w:rsidRPr="00B63F3E">
        <w:rPr>
          <w:sz w:val="22"/>
          <w:szCs w:val="22"/>
          <w:lang w:val="fr-FR"/>
        </w:rPr>
        <w:t>EIE n</w:t>
      </w:r>
      <w:r w:rsidR="00851849">
        <w:rPr>
          <w:sz w:val="22"/>
          <w:szCs w:val="22"/>
          <w:lang w:val="fr-FR"/>
        </w:rPr>
        <w:t>’</w:t>
      </w:r>
      <w:r w:rsidR="00B63F3E" w:rsidRPr="00B63F3E">
        <w:rPr>
          <w:sz w:val="22"/>
          <w:szCs w:val="22"/>
          <w:lang w:val="fr-FR"/>
        </w:rPr>
        <w:t>est nécessaire ni une aide supplémentaire de la part du Secrétariat.</w:t>
      </w:r>
      <w:r w:rsidR="001E31BF" w:rsidRPr="00A674BE">
        <w:rPr>
          <w:sz w:val="22"/>
          <w:szCs w:val="22"/>
          <w:lang w:val="fr-FR"/>
        </w:rPr>
        <w:t xml:space="preserve"> </w:t>
      </w:r>
    </w:p>
    <w:p w:rsidR="001E31BF" w:rsidRPr="00A674BE" w:rsidRDefault="001E31BF" w:rsidP="00BE76D2">
      <w:pPr>
        <w:jc w:val="both"/>
        <w:rPr>
          <w:sz w:val="22"/>
          <w:szCs w:val="22"/>
          <w:lang w:val="fr-FR"/>
        </w:rPr>
      </w:pPr>
    </w:p>
    <w:p w:rsidR="001E31BF" w:rsidRPr="00A674BE" w:rsidRDefault="00B63F3E" w:rsidP="00BE76D2">
      <w:pPr>
        <w:jc w:val="both"/>
        <w:rPr>
          <w:sz w:val="22"/>
          <w:szCs w:val="22"/>
          <w:lang w:val="fr-FR"/>
        </w:rPr>
      </w:pPr>
      <w:r w:rsidRPr="00B63F3E">
        <w:rPr>
          <w:sz w:val="22"/>
          <w:szCs w:val="22"/>
          <w:lang w:val="fr-FR"/>
        </w:rPr>
        <w:t xml:space="preserve">Le 7 juillet 2014, le </w:t>
      </w:r>
      <w:r w:rsidR="00B00BBA">
        <w:rPr>
          <w:sz w:val="22"/>
          <w:szCs w:val="22"/>
          <w:lang w:val="fr-FR"/>
        </w:rPr>
        <w:t>Ministre</w:t>
      </w:r>
      <w:r w:rsidRPr="00B63F3E">
        <w:rPr>
          <w:sz w:val="22"/>
          <w:szCs w:val="22"/>
          <w:lang w:val="fr-FR"/>
        </w:rPr>
        <w:t xml:space="preserve"> nouvellement nommé,</w:t>
      </w:r>
      <w:r w:rsidR="00A6067A">
        <w:rPr>
          <w:sz w:val="22"/>
          <w:szCs w:val="22"/>
          <w:lang w:val="fr-FR"/>
        </w:rPr>
        <w:t xml:space="preserve"> </w:t>
      </w:r>
      <w:r w:rsidR="00BF3A30" w:rsidRPr="00A674BE">
        <w:rPr>
          <w:sz w:val="22"/>
          <w:szCs w:val="22"/>
          <w:lang w:val="fr-FR"/>
        </w:rPr>
        <w:t xml:space="preserve"> </w:t>
      </w:r>
      <w:r w:rsidR="00BD00F3" w:rsidRPr="00A674BE">
        <w:rPr>
          <w:sz w:val="22"/>
          <w:szCs w:val="22"/>
          <w:lang w:val="fr-FR"/>
        </w:rPr>
        <w:t xml:space="preserve">M. </w:t>
      </w:r>
      <w:r w:rsidRPr="00B63F3E">
        <w:rPr>
          <w:sz w:val="22"/>
          <w:szCs w:val="22"/>
          <w:lang w:val="fr-FR"/>
        </w:rPr>
        <w:t xml:space="preserve">Stanislav Anastasov a fait savoir au </w:t>
      </w:r>
      <w:r w:rsidR="00892CFC" w:rsidRPr="00B63F3E">
        <w:rPr>
          <w:sz w:val="22"/>
          <w:szCs w:val="22"/>
          <w:lang w:val="fr-FR"/>
        </w:rPr>
        <w:t>Secrétariat</w:t>
      </w:r>
      <w:r w:rsidRPr="00B63F3E">
        <w:rPr>
          <w:sz w:val="22"/>
          <w:szCs w:val="22"/>
          <w:lang w:val="fr-FR"/>
        </w:rPr>
        <w:t xml:space="preserve"> que la ZPS « Bilo » a</w:t>
      </w:r>
      <w:r w:rsidR="00BD00F3">
        <w:rPr>
          <w:sz w:val="22"/>
          <w:szCs w:val="22"/>
          <w:lang w:val="fr-FR"/>
        </w:rPr>
        <w:t>vait</w:t>
      </w:r>
      <w:r w:rsidRPr="00B63F3E">
        <w:rPr>
          <w:sz w:val="22"/>
          <w:szCs w:val="22"/>
          <w:lang w:val="fr-FR"/>
        </w:rPr>
        <w:t xml:space="preserve"> été officiellement désignée en avril 2014, et que la ZPS « Kaliakra »</w:t>
      </w:r>
      <w:r w:rsidR="00892CFC">
        <w:rPr>
          <w:sz w:val="22"/>
          <w:szCs w:val="22"/>
          <w:lang w:val="fr-FR"/>
        </w:rPr>
        <w:t xml:space="preserve"> </w:t>
      </w:r>
      <w:r w:rsidRPr="00B63F3E">
        <w:rPr>
          <w:sz w:val="22"/>
          <w:szCs w:val="22"/>
          <w:lang w:val="fr-FR"/>
        </w:rPr>
        <w:t>située au sud du lac Durankulak a</w:t>
      </w:r>
      <w:r w:rsidR="00BD00F3">
        <w:rPr>
          <w:sz w:val="22"/>
          <w:szCs w:val="22"/>
          <w:lang w:val="fr-FR"/>
        </w:rPr>
        <w:t>vait</w:t>
      </w:r>
      <w:r w:rsidRPr="00B63F3E">
        <w:rPr>
          <w:sz w:val="22"/>
          <w:szCs w:val="22"/>
          <w:lang w:val="fr-FR"/>
        </w:rPr>
        <w:t xml:space="preserve"> été étendue suite à une décision datant de février 2014.</w:t>
      </w:r>
      <w:r w:rsidR="00BF3A30" w:rsidRPr="00A674BE">
        <w:rPr>
          <w:sz w:val="22"/>
          <w:szCs w:val="22"/>
          <w:lang w:val="fr-FR"/>
        </w:rPr>
        <w:t xml:space="preserve"> </w:t>
      </w:r>
    </w:p>
    <w:p w:rsidR="008E615F" w:rsidRPr="00A674BE" w:rsidRDefault="008E615F" w:rsidP="00BE76D2">
      <w:pPr>
        <w:jc w:val="both"/>
        <w:rPr>
          <w:sz w:val="22"/>
          <w:szCs w:val="22"/>
          <w:lang w:val="fr-FR"/>
        </w:rPr>
      </w:pPr>
    </w:p>
    <w:p w:rsidR="00BF3A30" w:rsidRPr="00A674BE" w:rsidRDefault="00B63F3E" w:rsidP="00BF3A30">
      <w:pPr>
        <w:jc w:val="both"/>
        <w:rPr>
          <w:b/>
          <w:sz w:val="22"/>
          <w:szCs w:val="22"/>
          <w:lang w:val="fr-FR"/>
        </w:rPr>
      </w:pPr>
      <w:r w:rsidRPr="00B63F3E">
        <w:rPr>
          <w:b/>
          <w:sz w:val="22"/>
          <w:szCs w:val="22"/>
          <w:lang w:val="fr-FR"/>
        </w:rPr>
        <w:t>Suivi</w:t>
      </w:r>
    </w:p>
    <w:p w:rsidR="00BF3A30" w:rsidRDefault="00B63F3E" w:rsidP="00BF3A30">
      <w:pPr>
        <w:jc w:val="both"/>
        <w:rPr>
          <w:sz w:val="22"/>
          <w:szCs w:val="22"/>
          <w:lang w:val="fr-FR"/>
        </w:rPr>
      </w:pPr>
      <w:r w:rsidRPr="00B63F3E">
        <w:rPr>
          <w:sz w:val="22"/>
          <w:szCs w:val="22"/>
          <w:lang w:val="fr-FR"/>
        </w:rPr>
        <w:t xml:space="preserve">Au moment de la rédaction de ce document, il fallait demander au Ministère de nouvelles mises à jour et </w:t>
      </w:r>
      <w:r w:rsidR="00892CFC">
        <w:rPr>
          <w:sz w:val="22"/>
          <w:szCs w:val="22"/>
          <w:lang w:val="fr-FR"/>
        </w:rPr>
        <w:t xml:space="preserve">des </w:t>
      </w:r>
      <w:r w:rsidRPr="00B63F3E">
        <w:rPr>
          <w:sz w:val="22"/>
          <w:szCs w:val="22"/>
          <w:lang w:val="fr-FR"/>
        </w:rPr>
        <w:t>informations plus détaillées sur les nouvelles ZPS étendues afin d</w:t>
      </w:r>
      <w:r w:rsidR="00851849">
        <w:rPr>
          <w:sz w:val="22"/>
          <w:szCs w:val="22"/>
          <w:lang w:val="fr-FR"/>
        </w:rPr>
        <w:t>’</w:t>
      </w:r>
      <w:r w:rsidRPr="00B63F3E">
        <w:rPr>
          <w:sz w:val="22"/>
          <w:szCs w:val="22"/>
          <w:lang w:val="fr-FR"/>
        </w:rPr>
        <w:t>informer une décision du Comité permanent sur le cas.</w:t>
      </w:r>
      <w:r w:rsidR="00BF3A30" w:rsidRPr="00A674BE">
        <w:rPr>
          <w:sz w:val="22"/>
          <w:szCs w:val="22"/>
          <w:lang w:val="fr-FR"/>
        </w:rPr>
        <w:t xml:space="preserve"> </w:t>
      </w:r>
    </w:p>
    <w:p w:rsidR="00A674BE" w:rsidRDefault="00A674BE" w:rsidP="00BF3A30">
      <w:pPr>
        <w:jc w:val="both"/>
        <w:rPr>
          <w:sz w:val="22"/>
          <w:szCs w:val="22"/>
          <w:lang w:val="fr-FR"/>
        </w:rPr>
      </w:pPr>
    </w:p>
    <w:p w:rsidR="00A674BE" w:rsidRPr="00A674BE" w:rsidRDefault="00A674BE" w:rsidP="00BF3A30">
      <w:pPr>
        <w:jc w:val="both"/>
        <w:rPr>
          <w:sz w:val="22"/>
          <w:szCs w:val="22"/>
          <w:lang w:val="fr-FR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1"/>
        <w:gridCol w:w="3210"/>
        <w:gridCol w:w="3208"/>
      </w:tblGrid>
      <w:tr w:rsidR="008E615F" w:rsidRPr="00A674BE" w:rsidTr="00F35636">
        <w:tc>
          <w:tcPr>
            <w:tcW w:w="1667" w:type="pct"/>
          </w:tcPr>
          <w:p w:rsidR="008E615F" w:rsidRPr="004919AE" w:rsidRDefault="00995E1E" w:rsidP="00257DB1">
            <w:pPr>
              <w:rPr>
                <w:lang w:val="en-GB"/>
              </w:rPr>
            </w:pPr>
            <w:r w:rsidRPr="00995E1E">
              <w:rPr>
                <w:b/>
                <w:sz w:val="22"/>
                <w:szCs w:val="22"/>
                <w:lang w:val="fr-FR"/>
              </w:rPr>
              <w:t>Numéro de cas IRP :</w:t>
            </w:r>
            <w:r w:rsidR="008E615F" w:rsidRPr="004919AE">
              <w:rPr>
                <w:sz w:val="22"/>
                <w:szCs w:val="22"/>
                <w:lang w:val="en-GB"/>
              </w:rPr>
              <w:t xml:space="preserve"> </w:t>
            </w:r>
            <w:r w:rsidR="008E615F">
              <w:rPr>
                <w:sz w:val="22"/>
                <w:szCs w:val="22"/>
                <w:lang w:val="en-GB"/>
              </w:rPr>
              <w:t>4</w:t>
            </w:r>
          </w:p>
          <w:p w:rsidR="008E615F" w:rsidRPr="004919AE" w:rsidRDefault="008E615F" w:rsidP="00257DB1">
            <w:pPr>
              <w:rPr>
                <w:lang w:val="en-GB"/>
              </w:rPr>
            </w:pPr>
          </w:p>
        </w:tc>
        <w:tc>
          <w:tcPr>
            <w:tcW w:w="3333" w:type="pct"/>
            <w:gridSpan w:val="2"/>
          </w:tcPr>
          <w:p w:rsidR="008E615F" w:rsidRPr="00A674BE" w:rsidRDefault="00995E1E" w:rsidP="00257DB1">
            <w:pPr>
              <w:rPr>
                <w:lang w:val="fr-FR"/>
              </w:rPr>
            </w:pPr>
            <w:r w:rsidRPr="00995E1E">
              <w:rPr>
                <w:b/>
                <w:sz w:val="22"/>
                <w:szCs w:val="22"/>
                <w:lang w:val="fr-FR"/>
              </w:rPr>
              <w:t>État :</w:t>
            </w:r>
            <w:r w:rsidR="008E615F" w:rsidRPr="00A674BE">
              <w:rPr>
                <w:sz w:val="22"/>
                <w:szCs w:val="22"/>
                <w:lang w:val="fr-FR"/>
              </w:rPr>
              <w:t xml:space="preserve"> </w:t>
            </w:r>
            <w:r w:rsidRPr="00995E1E">
              <w:rPr>
                <w:sz w:val="22"/>
                <w:szCs w:val="22"/>
                <w:lang w:val="fr-FR"/>
              </w:rPr>
              <w:t>En cours</w:t>
            </w:r>
            <w:r w:rsidR="008E615F" w:rsidRPr="00A674BE">
              <w:rPr>
                <w:sz w:val="22"/>
                <w:szCs w:val="22"/>
                <w:lang w:val="fr-FR"/>
              </w:rPr>
              <w:t xml:space="preserve"> </w:t>
            </w:r>
          </w:p>
          <w:p w:rsidR="008E615F" w:rsidRPr="00A674BE" w:rsidRDefault="00995E1E" w:rsidP="00424FB6">
            <w:pPr>
              <w:rPr>
                <w:lang w:val="fr-FR"/>
              </w:rPr>
            </w:pPr>
            <w:r w:rsidRPr="00995E1E">
              <w:rPr>
                <w:sz w:val="22"/>
                <w:szCs w:val="22"/>
                <w:lang w:val="fr-FR"/>
              </w:rPr>
              <w:t>(la mission d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995E1E">
              <w:rPr>
                <w:sz w:val="22"/>
                <w:szCs w:val="22"/>
                <w:lang w:val="fr-FR"/>
              </w:rPr>
              <w:t>évaluation sur place doit encore être organisée)</w:t>
            </w:r>
          </w:p>
        </w:tc>
      </w:tr>
      <w:tr w:rsidR="008E615F" w:rsidRPr="00A674BE" w:rsidTr="00A835FD">
        <w:tc>
          <w:tcPr>
            <w:tcW w:w="1667" w:type="pct"/>
          </w:tcPr>
          <w:p w:rsidR="008E615F" w:rsidRPr="004919AE" w:rsidRDefault="00995E1E" w:rsidP="00257DB1">
            <w:pPr>
              <w:rPr>
                <w:lang w:val="en-GB"/>
              </w:rPr>
            </w:pPr>
            <w:r w:rsidRPr="00995E1E">
              <w:rPr>
                <w:b/>
                <w:sz w:val="22"/>
                <w:szCs w:val="22"/>
                <w:lang w:val="fr-FR"/>
              </w:rPr>
              <w:t>Partie :</w:t>
            </w:r>
            <w:r w:rsidR="008E615F" w:rsidRPr="004919AE">
              <w:rPr>
                <w:sz w:val="22"/>
                <w:szCs w:val="22"/>
                <w:lang w:val="en-GB"/>
              </w:rPr>
              <w:t xml:space="preserve"> </w:t>
            </w:r>
          </w:p>
          <w:p w:rsidR="008E615F" w:rsidRPr="004919AE" w:rsidRDefault="00995E1E" w:rsidP="00257DB1">
            <w:pPr>
              <w:rPr>
                <w:lang w:val="en-GB"/>
              </w:rPr>
            </w:pPr>
            <w:r w:rsidRPr="00995E1E">
              <w:rPr>
                <w:sz w:val="22"/>
                <w:szCs w:val="22"/>
                <w:lang w:val="fr-FR"/>
              </w:rPr>
              <w:t>Islande</w:t>
            </w:r>
          </w:p>
          <w:p w:rsidR="008E615F" w:rsidRPr="004919AE" w:rsidRDefault="008E615F" w:rsidP="00257DB1">
            <w:pPr>
              <w:rPr>
                <w:lang w:val="en-GB"/>
              </w:rPr>
            </w:pPr>
          </w:p>
        </w:tc>
        <w:tc>
          <w:tcPr>
            <w:tcW w:w="1667" w:type="pct"/>
          </w:tcPr>
          <w:p w:rsidR="008E615F" w:rsidRPr="004919AE" w:rsidRDefault="00995E1E" w:rsidP="00892CFC">
            <w:pPr>
              <w:rPr>
                <w:lang w:val="en-GB"/>
              </w:rPr>
            </w:pPr>
            <w:r w:rsidRPr="00995E1E">
              <w:rPr>
                <w:b/>
                <w:sz w:val="22"/>
                <w:szCs w:val="22"/>
                <w:lang w:val="fr-FR"/>
              </w:rPr>
              <w:t>Année d</w:t>
            </w:r>
            <w:r w:rsidR="00892CFC">
              <w:rPr>
                <w:b/>
                <w:sz w:val="22"/>
                <w:szCs w:val="22"/>
                <w:lang w:val="fr-FR"/>
              </w:rPr>
              <w:t>’</w:t>
            </w:r>
            <w:r w:rsidRPr="00995E1E">
              <w:rPr>
                <w:b/>
                <w:sz w:val="22"/>
                <w:szCs w:val="22"/>
                <w:lang w:val="fr-FR"/>
              </w:rPr>
              <w:t>ouverture</w:t>
            </w:r>
            <w:r w:rsidR="00892CFC">
              <w:rPr>
                <w:b/>
                <w:sz w:val="22"/>
                <w:szCs w:val="22"/>
                <w:lang w:val="fr-FR"/>
              </w:rPr>
              <w:t> </w:t>
            </w:r>
            <w:r w:rsidRPr="00995E1E">
              <w:rPr>
                <w:b/>
                <w:sz w:val="22"/>
                <w:szCs w:val="22"/>
                <w:lang w:val="fr-FR"/>
              </w:rPr>
              <w:t>:</w:t>
            </w:r>
            <w:r w:rsidR="008E615F" w:rsidRPr="004919AE">
              <w:rPr>
                <w:sz w:val="22"/>
                <w:szCs w:val="22"/>
                <w:lang w:val="en-GB"/>
              </w:rPr>
              <w:t xml:space="preserve"> 201</w:t>
            </w:r>
            <w:r w:rsidR="001A1C3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666" w:type="pct"/>
          </w:tcPr>
          <w:p w:rsidR="008E615F" w:rsidRPr="00A674BE" w:rsidRDefault="00995E1E" w:rsidP="00424FB6">
            <w:pPr>
              <w:rPr>
                <w:lang w:val="fr-FR"/>
              </w:rPr>
            </w:pPr>
            <w:r w:rsidRPr="00995E1E">
              <w:rPr>
                <w:b/>
                <w:sz w:val="22"/>
                <w:szCs w:val="22"/>
                <w:lang w:val="fr-FR"/>
              </w:rPr>
              <w:t>Année de clôture</w:t>
            </w:r>
            <w:r w:rsidR="00892CFC">
              <w:rPr>
                <w:b/>
                <w:sz w:val="22"/>
                <w:szCs w:val="22"/>
                <w:lang w:val="fr-FR"/>
              </w:rPr>
              <w:t> :</w:t>
            </w:r>
            <w:r w:rsidR="008E615F" w:rsidRPr="00A674BE">
              <w:rPr>
                <w:sz w:val="22"/>
                <w:szCs w:val="22"/>
                <w:lang w:val="fr-FR"/>
              </w:rPr>
              <w:t xml:space="preserve"> </w:t>
            </w:r>
            <w:r w:rsidRPr="00995E1E">
              <w:rPr>
                <w:sz w:val="22"/>
                <w:szCs w:val="22"/>
                <w:lang w:val="fr-FR"/>
              </w:rPr>
              <w:t>s.o.</w:t>
            </w:r>
          </w:p>
        </w:tc>
      </w:tr>
      <w:tr w:rsidR="008E615F" w:rsidRPr="00A674BE" w:rsidTr="00F35636">
        <w:tc>
          <w:tcPr>
            <w:tcW w:w="5000" w:type="pct"/>
            <w:gridSpan w:val="3"/>
          </w:tcPr>
          <w:p w:rsidR="008E615F" w:rsidRPr="00A674BE" w:rsidRDefault="00995E1E" w:rsidP="00257DB1">
            <w:pPr>
              <w:rPr>
                <w:lang w:val="fr-FR"/>
              </w:rPr>
            </w:pPr>
            <w:r w:rsidRPr="00995E1E">
              <w:rPr>
                <w:b/>
                <w:sz w:val="22"/>
                <w:szCs w:val="22"/>
                <w:lang w:val="fr-FR"/>
              </w:rPr>
              <w:t>Problème :</w:t>
            </w:r>
            <w:r w:rsidR="008E615F" w:rsidRPr="00A674BE">
              <w:rPr>
                <w:sz w:val="22"/>
                <w:szCs w:val="22"/>
                <w:lang w:val="fr-FR"/>
              </w:rPr>
              <w:t xml:space="preserve"> </w:t>
            </w:r>
            <w:r w:rsidRPr="00995E1E">
              <w:rPr>
                <w:sz w:val="22"/>
                <w:szCs w:val="22"/>
                <w:lang w:val="fr-FR"/>
              </w:rPr>
              <w:t>Plans de reboisement des basses terres menaçant les habitats de reproduction d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995E1E">
              <w:rPr>
                <w:sz w:val="22"/>
                <w:szCs w:val="22"/>
                <w:lang w:val="fr-FR"/>
              </w:rPr>
              <w:t>espèces d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995E1E">
              <w:rPr>
                <w:sz w:val="22"/>
                <w:szCs w:val="22"/>
                <w:lang w:val="fr-FR"/>
              </w:rPr>
              <w:t>oiseaux d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995E1E">
              <w:rPr>
                <w:sz w:val="22"/>
                <w:szCs w:val="22"/>
                <w:lang w:val="fr-FR"/>
              </w:rPr>
              <w:t>eau couvertes par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Pr="00995E1E">
              <w:rPr>
                <w:sz w:val="22"/>
                <w:szCs w:val="22"/>
                <w:lang w:val="fr-FR"/>
              </w:rPr>
              <w:t>AEWA</w:t>
            </w:r>
          </w:p>
          <w:p w:rsidR="008E615F" w:rsidRPr="00A674BE" w:rsidRDefault="008E615F" w:rsidP="00257DB1">
            <w:pPr>
              <w:rPr>
                <w:lang w:val="fr-FR"/>
              </w:rPr>
            </w:pPr>
          </w:p>
        </w:tc>
      </w:tr>
      <w:tr w:rsidR="008E615F" w:rsidRPr="00A674BE" w:rsidTr="00F35636">
        <w:tc>
          <w:tcPr>
            <w:tcW w:w="5000" w:type="pct"/>
            <w:gridSpan w:val="3"/>
          </w:tcPr>
          <w:p w:rsidR="008E615F" w:rsidRPr="00A674BE" w:rsidRDefault="00995E1E" w:rsidP="00257DB1">
            <w:pPr>
              <w:rPr>
                <w:lang w:val="fr-FR"/>
              </w:rPr>
            </w:pPr>
            <w:r w:rsidRPr="00995E1E">
              <w:rPr>
                <w:b/>
                <w:sz w:val="22"/>
                <w:szCs w:val="22"/>
                <w:lang w:val="fr-FR"/>
              </w:rPr>
              <w:t>Correspondance officielle :</w:t>
            </w:r>
          </w:p>
          <w:p w:rsidR="008E615F" w:rsidRPr="00A674BE" w:rsidRDefault="00995E1E" w:rsidP="00257DB1">
            <w:pPr>
              <w:rPr>
                <w:lang w:val="fr-FR"/>
              </w:rPr>
            </w:pPr>
            <w:r w:rsidRPr="00B3317B">
              <w:rPr>
                <w:sz w:val="22"/>
                <w:szCs w:val="22"/>
                <w:lang w:val="fr-FR"/>
              </w:rPr>
              <w:t xml:space="preserve">22 </w:t>
            </w:r>
            <w:r w:rsidR="00B3317B" w:rsidRPr="00B3317B">
              <w:rPr>
                <w:sz w:val="22"/>
                <w:szCs w:val="22"/>
                <w:lang w:val="fr-FR"/>
              </w:rPr>
              <w:t>av</w:t>
            </w:r>
            <w:r w:rsidRPr="00B3317B">
              <w:rPr>
                <w:sz w:val="22"/>
                <w:szCs w:val="22"/>
                <w:lang w:val="fr-FR"/>
              </w:rPr>
              <w:t xml:space="preserve">ril 2014 – </w:t>
            </w:r>
            <w:r w:rsidR="00B3317B" w:rsidRPr="00B3317B">
              <w:rPr>
                <w:sz w:val="22"/>
                <w:szCs w:val="22"/>
                <w:lang w:val="fr-FR"/>
              </w:rPr>
              <w:t>lettre</w:t>
            </w:r>
            <w:r w:rsidRPr="00B3317B">
              <w:rPr>
                <w:sz w:val="22"/>
                <w:szCs w:val="22"/>
                <w:lang w:val="fr-FR"/>
              </w:rPr>
              <w:t xml:space="preserve"> </w:t>
            </w:r>
            <w:r w:rsidR="00B3317B" w:rsidRPr="00B3317B">
              <w:rPr>
                <w:sz w:val="22"/>
                <w:szCs w:val="22"/>
                <w:lang w:val="fr-FR"/>
              </w:rPr>
              <w:t>du Président du Comité permanent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B3317B" w:rsidRPr="00B3317B">
              <w:rPr>
                <w:sz w:val="22"/>
                <w:szCs w:val="22"/>
                <w:lang w:val="fr-FR"/>
              </w:rPr>
              <w:t>AEWA, M</w:t>
            </w:r>
            <w:r w:rsidRPr="00B3317B">
              <w:rPr>
                <w:sz w:val="22"/>
                <w:szCs w:val="22"/>
                <w:lang w:val="fr-FR"/>
              </w:rPr>
              <w:t xml:space="preserve">. Øystein Størkersen </w:t>
            </w:r>
            <w:r w:rsidR="00B3317B" w:rsidRPr="00B3317B">
              <w:rPr>
                <w:sz w:val="22"/>
                <w:szCs w:val="22"/>
                <w:lang w:val="fr-FR"/>
              </w:rPr>
              <w:t>à</w:t>
            </w:r>
            <w:r w:rsidR="00A6067A">
              <w:rPr>
                <w:sz w:val="22"/>
                <w:szCs w:val="22"/>
                <w:lang w:val="fr-FR"/>
              </w:rPr>
              <w:t xml:space="preserve"> </w:t>
            </w:r>
            <w:r w:rsidR="008E615F" w:rsidRPr="00A674BE">
              <w:rPr>
                <w:sz w:val="22"/>
                <w:szCs w:val="22"/>
                <w:lang w:val="fr-FR"/>
              </w:rPr>
              <w:t xml:space="preserve"> </w:t>
            </w:r>
            <w:r w:rsidR="00BD00F3" w:rsidRPr="00A674BE">
              <w:rPr>
                <w:sz w:val="22"/>
                <w:szCs w:val="22"/>
                <w:lang w:val="fr-FR"/>
              </w:rPr>
              <w:t xml:space="preserve">M. </w:t>
            </w:r>
            <w:r w:rsidR="00B3317B" w:rsidRPr="00B3317B">
              <w:rPr>
                <w:sz w:val="22"/>
                <w:szCs w:val="22"/>
                <w:lang w:val="fr-FR"/>
              </w:rPr>
              <w:t>Sigurður Ingi Jóhannsson, Ministre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B3317B" w:rsidRPr="00B3317B">
              <w:rPr>
                <w:sz w:val="22"/>
                <w:szCs w:val="22"/>
                <w:lang w:val="fr-FR"/>
              </w:rPr>
              <w:t>Environnement et des Ressources naturelles (</w:t>
            </w:r>
            <w:r w:rsidR="00B3317B" w:rsidRPr="00B3317B">
              <w:rPr>
                <w:i/>
                <w:sz w:val="22"/>
                <w:szCs w:val="22"/>
                <w:lang w:val="fr-FR"/>
              </w:rPr>
              <w:t>exprimant ses inquiétudes, demandant des informations officielles sur la question, l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B3317B" w:rsidRPr="00B3317B">
              <w:rPr>
                <w:i/>
                <w:sz w:val="22"/>
                <w:szCs w:val="22"/>
                <w:lang w:val="fr-FR"/>
              </w:rPr>
              <w:t>informa</w:t>
            </w:r>
            <w:r w:rsidR="00F62916">
              <w:rPr>
                <w:i/>
                <w:sz w:val="22"/>
                <w:szCs w:val="22"/>
                <w:lang w:val="fr-FR"/>
              </w:rPr>
              <w:t xml:space="preserve">nt </w:t>
            </w:r>
            <w:r w:rsidR="00B3317B" w:rsidRPr="00B3317B">
              <w:rPr>
                <w:i/>
                <w:sz w:val="22"/>
                <w:szCs w:val="22"/>
                <w:lang w:val="fr-FR"/>
              </w:rPr>
              <w:t>sur la décision du StC d</w:t>
            </w:r>
            <w:r w:rsidR="00892CFC">
              <w:rPr>
                <w:i/>
                <w:sz w:val="22"/>
                <w:szCs w:val="22"/>
                <w:lang w:val="fr-FR"/>
              </w:rPr>
              <w:t>’engager</w:t>
            </w:r>
            <w:r w:rsidR="00B3317B" w:rsidRPr="00B3317B">
              <w:rPr>
                <w:i/>
                <w:sz w:val="22"/>
                <w:szCs w:val="22"/>
                <w:lang w:val="fr-FR"/>
              </w:rPr>
              <w:t xml:space="preserve"> une procédure, proposant une mission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B3317B" w:rsidRPr="00B3317B">
              <w:rPr>
                <w:i/>
                <w:sz w:val="22"/>
                <w:szCs w:val="22"/>
                <w:lang w:val="fr-FR"/>
              </w:rPr>
              <w:t>évaluation sur place</w:t>
            </w:r>
            <w:r w:rsidR="00B3317B" w:rsidRPr="00B3317B">
              <w:rPr>
                <w:sz w:val="22"/>
                <w:szCs w:val="22"/>
                <w:lang w:val="fr-FR"/>
              </w:rPr>
              <w:t>).</w:t>
            </w:r>
          </w:p>
          <w:p w:rsidR="008E615F" w:rsidRPr="00A674BE" w:rsidRDefault="008E615F" w:rsidP="00257DB1">
            <w:pPr>
              <w:rPr>
                <w:lang w:val="fr-FR"/>
              </w:rPr>
            </w:pPr>
          </w:p>
          <w:p w:rsidR="001A1C31" w:rsidRPr="00A674BE" w:rsidRDefault="00B3317B" w:rsidP="00424FB6">
            <w:pPr>
              <w:rPr>
                <w:lang w:val="fr-FR"/>
              </w:rPr>
            </w:pPr>
            <w:r w:rsidRPr="00F35636">
              <w:rPr>
                <w:sz w:val="22"/>
                <w:szCs w:val="22"/>
                <w:lang w:val="fr-FR"/>
              </w:rPr>
              <w:t xml:space="preserve">10 juillet 2014 – courriel </w:t>
            </w:r>
            <w:r w:rsidR="00256D7D" w:rsidRPr="00F35636">
              <w:rPr>
                <w:sz w:val="22"/>
                <w:szCs w:val="22"/>
                <w:lang w:val="fr-FR"/>
              </w:rPr>
              <w:t xml:space="preserve">de M. Jón Geir Pétursson, </w:t>
            </w:r>
            <w:r w:rsidRPr="00F35636">
              <w:rPr>
                <w:sz w:val="22"/>
                <w:szCs w:val="22"/>
                <w:lang w:val="fr-FR"/>
              </w:rPr>
              <w:t xml:space="preserve">Directeur général du département </w:t>
            </w:r>
            <w:r w:rsidRPr="00892CFC">
              <w:rPr>
                <w:sz w:val="22"/>
                <w:szCs w:val="22"/>
                <w:lang w:val="fr-FR"/>
              </w:rPr>
              <w:t>du patrimoin</w:t>
            </w:r>
            <w:r w:rsidR="00256D7D" w:rsidRPr="00892CFC">
              <w:rPr>
                <w:sz w:val="22"/>
                <w:szCs w:val="22"/>
                <w:lang w:val="fr-FR"/>
              </w:rPr>
              <w:t>e</w:t>
            </w:r>
            <w:r w:rsidRPr="00892CFC">
              <w:rPr>
                <w:sz w:val="22"/>
                <w:szCs w:val="22"/>
                <w:lang w:val="fr-FR"/>
              </w:rPr>
              <w:t xml:space="preserve"> foncier et naturel du ministère de l</w:t>
            </w:r>
            <w:r w:rsidR="00851849" w:rsidRPr="00892CFC">
              <w:rPr>
                <w:sz w:val="22"/>
                <w:szCs w:val="22"/>
                <w:lang w:val="fr-FR"/>
              </w:rPr>
              <w:t>’</w:t>
            </w:r>
            <w:r w:rsidRPr="00892CFC">
              <w:rPr>
                <w:sz w:val="22"/>
                <w:szCs w:val="22"/>
                <w:lang w:val="fr-FR"/>
              </w:rPr>
              <w:t>Environnement</w:t>
            </w:r>
            <w:r w:rsidRPr="00F35636">
              <w:rPr>
                <w:sz w:val="22"/>
                <w:szCs w:val="22"/>
                <w:lang w:val="fr-FR"/>
              </w:rPr>
              <w:t xml:space="preserve"> et des Ressources naturelles </w:t>
            </w:r>
            <w:r w:rsidR="00256D7D" w:rsidRPr="00F35636">
              <w:rPr>
                <w:sz w:val="22"/>
                <w:szCs w:val="22"/>
                <w:lang w:val="fr-FR"/>
              </w:rPr>
              <w:t>au Secrétariat de l</w:t>
            </w:r>
            <w:r w:rsidR="00851849">
              <w:rPr>
                <w:sz w:val="22"/>
                <w:szCs w:val="22"/>
                <w:lang w:val="fr-FR"/>
              </w:rPr>
              <w:t>’</w:t>
            </w:r>
            <w:r w:rsidR="00256D7D" w:rsidRPr="00F35636">
              <w:rPr>
                <w:sz w:val="22"/>
                <w:szCs w:val="22"/>
                <w:lang w:val="fr-FR"/>
              </w:rPr>
              <w:t>AEWA</w:t>
            </w:r>
            <w:r w:rsidRPr="00F35636">
              <w:rPr>
                <w:sz w:val="22"/>
                <w:szCs w:val="22"/>
                <w:lang w:val="fr-FR"/>
              </w:rPr>
              <w:t xml:space="preserve"> (</w:t>
            </w:r>
            <w:r w:rsidRPr="00F35636">
              <w:rPr>
                <w:i/>
                <w:sz w:val="22"/>
                <w:szCs w:val="22"/>
                <w:lang w:val="fr-FR"/>
              </w:rPr>
              <w:t>confirm</w:t>
            </w:r>
            <w:r w:rsidR="00256D7D" w:rsidRPr="00F35636">
              <w:rPr>
                <w:i/>
                <w:sz w:val="22"/>
                <w:szCs w:val="22"/>
                <w:lang w:val="fr-FR"/>
              </w:rPr>
              <w:t>ant la bonne réception de sa lettre, acceptant volontiers une mission d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256D7D" w:rsidRPr="00F35636">
              <w:rPr>
                <w:i/>
                <w:sz w:val="22"/>
                <w:szCs w:val="22"/>
                <w:lang w:val="fr-FR"/>
              </w:rPr>
              <w:t>évaluation sur place, demandant les informations de base ayant conduit à l</w:t>
            </w:r>
            <w:r w:rsidR="00851849">
              <w:rPr>
                <w:i/>
                <w:sz w:val="22"/>
                <w:szCs w:val="22"/>
                <w:lang w:val="fr-FR"/>
              </w:rPr>
              <w:t>’</w:t>
            </w:r>
            <w:r w:rsidR="00256D7D" w:rsidRPr="00F35636">
              <w:rPr>
                <w:i/>
                <w:sz w:val="22"/>
                <w:szCs w:val="22"/>
                <w:lang w:val="fr-FR"/>
              </w:rPr>
              <w:t>ouverture de la procédure, désignant</w:t>
            </w:r>
            <w:r w:rsidR="002B2B8E">
              <w:rPr>
                <w:i/>
                <w:sz w:val="22"/>
                <w:szCs w:val="22"/>
                <w:lang w:val="fr-FR"/>
              </w:rPr>
              <w:t xml:space="preserve"> </w:t>
            </w:r>
            <w:r w:rsidR="00256D7D" w:rsidRPr="00F35636">
              <w:rPr>
                <w:i/>
                <w:sz w:val="22"/>
                <w:szCs w:val="22"/>
                <w:lang w:val="fr-FR"/>
              </w:rPr>
              <w:t>un point focal de leur côté)</w:t>
            </w:r>
            <w:r w:rsidRPr="00F35636">
              <w:rPr>
                <w:sz w:val="22"/>
                <w:szCs w:val="22"/>
                <w:lang w:val="fr-FR"/>
              </w:rPr>
              <w:t>.</w:t>
            </w:r>
          </w:p>
        </w:tc>
      </w:tr>
      <w:tr w:rsidR="008E615F" w:rsidRPr="004919AE" w:rsidTr="00F35636">
        <w:tc>
          <w:tcPr>
            <w:tcW w:w="5000" w:type="pct"/>
            <w:gridSpan w:val="3"/>
          </w:tcPr>
          <w:p w:rsidR="008E615F" w:rsidRPr="004919AE" w:rsidRDefault="00F35636" w:rsidP="00257DB1">
            <w:pPr>
              <w:rPr>
                <w:lang w:val="en-GB"/>
              </w:rPr>
            </w:pPr>
            <w:r w:rsidRPr="00F35636">
              <w:rPr>
                <w:b/>
                <w:sz w:val="22"/>
                <w:szCs w:val="22"/>
                <w:lang w:val="fr-FR"/>
              </w:rPr>
              <w:t>Mission(s) d</w:t>
            </w:r>
            <w:r w:rsidR="00851849">
              <w:rPr>
                <w:b/>
                <w:sz w:val="22"/>
                <w:szCs w:val="22"/>
                <w:lang w:val="fr-FR"/>
              </w:rPr>
              <w:t>’</w:t>
            </w:r>
            <w:r w:rsidRPr="00F35636">
              <w:rPr>
                <w:b/>
                <w:sz w:val="22"/>
                <w:szCs w:val="22"/>
                <w:lang w:val="fr-FR"/>
              </w:rPr>
              <w:t>évaluation sur place :</w:t>
            </w:r>
            <w:r w:rsidR="008E615F" w:rsidRPr="004919AE">
              <w:rPr>
                <w:sz w:val="22"/>
                <w:szCs w:val="22"/>
                <w:lang w:val="en-GB"/>
              </w:rPr>
              <w:t xml:space="preserve"> </w:t>
            </w:r>
            <w:r w:rsidRPr="00F35636">
              <w:rPr>
                <w:sz w:val="22"/>
                <w:szCs w:val="22"/>
                <w:lang w:val="fr-FR"/>
              </w:rPr>
              <w:t>s.o.</w:t>
            </w:r>
          </w:p>
          <w:p w:rsidR="008E615F" w:rsidRPr="004919AE" w:rsidRDefault="008E615F" w:rsidP="00257DB1">
            <w:pPr>
              <w:rPr>
                <w:lang w:val="en-GB"/>
              </w:rPr>
            </w:pPr>
          </w:p>
        </w:tc>
      </w:tr>
      <w:tr w:rsidR="008E615F" w:rsidRPr="00A674BE" w:rsidTr="00F35636">
        <w:tc>
          <w:tcPr>
            <w:tcW w:w="5000" w:type="pct"/>
            <w:gridSpan w:val="3"/>
          </w:tcPr>
          <w:p w:rsidR="008E615F" w:rsidRPr="00A674BE" w:rsidRDefault="00F35636" w:rsidP="00257DB1">
            <w:pPr>
              <w:rPr>
                <w:lang w:val="fr-FR"/>
              </w:rPr>
            </w:pPr>
            <w:r w:rsidRPr="00F35636">
              <w:rPr>
                <w:b/>
                <w:sz w:val="22"/>
                <w:szCs w:val="22"/>
                <w:lang w:val="fr-FR"/>
              </w:rPr>
              <w:t>Rapport(s) de mission :</w:t>
            </w:r>
            <w:r w:rsidR="008E615F" w:rsidRPr="00A674BE">
              <w:rPr>
                <w:sz w:val="22"/>
                <w:szCs w:val="22"/>
                <w:lang w:val="fr-FR"/>
              </w:rPr>
              <w:t xml:space="preserve"> </w:t>
            </w:r>
            <w:r w:rsidRPr="00F35636">
              <w:rPr>
                <w:sz w:val="22"/>
                <w:szCs w:val="22"/>
                <w:lang w:val="fr-FR"/>
              </w:rPr>
              <w:t>s.o.</w:t>
            </w:r>
          </w:p>
          <w:p w:rsidR="008E615F" w:rsidRPr="00A674BE" w:rsidRDefault="008E615F" w:rsidP="00257DB1">
            <w:pPr>
              <w:rPr>
                <w:lang w:val="fr-FR"/>
              </w:rPr>
            </w:pPr>
          </w:p>
        </w:tc>
      </w:tr>
      <w:tr w:rsidR="008E615F" w:rsidRPr="00A674BE" w:rsidTr="00F35636">
        <w:tc>
          <w:tcPr>
            <w:tcW w:w="5000" w:type="pct"/>
            <w:gridSpan w:val="3"/>
          </w:tcPr>
          <w:p w:rsidR="008E615F" w:rsidRPr="00A674BE" w:rsidRDefault="00F35636" w:rsidP="00257DB1">
            <w:pPr>
              <w:rPr>
                <w:lang w:val="fr-FR"/>
              </w:rPr>
            </w:pPr>
            <w:r w:rsidRPr="00F35636">
              <w:rPr>
                <w:b/>
                <w:sz w:val="22"/>
                <w:szCs w:val="22"/>
                <w:lang w:val="fr-FR"/>
              </w:rPr>
              <w:t>Rapport(s) de la Partie :</w:t>
            </w:r>
            <w:r w:rsidR="008E615F" w:rsidRPr="00A674BE">
              <w:rPr>
                <w:sz w:val="22"/>
                <w:szCs w:val="22"/>
                <w:lang w:val="fr-FR"/>
              </w:rPr>
              <w:t xml:space="preserve"> </w:t>
            </w:r>
            <w:r w:rsidRPr="00F35636">
              <w:rPr>
                <w:sz w:val="22"/>
                <w:szCs w:val="22"/>
                <w:lang w:val="fr-FR"/>
              </w:rPr>
              <w:t>s.o.</w:t>
            </w:r>
          </w:p>
          <w:p w:rsidR="008E615F" w:rsidRPr="00A674BE" w:rsidRDefault="008E615F" w:rsidP="00257DB1">
            <w:pPr>
              <w:rPr>
                <w:lang w:val="fr-FR"/>
              </w:rPr>
            </w:pPr>
          </w:p>
        </w:tc>
      </w:tr>
    </w:tbl>
    <w:p w:rsidR="008E615F" w:rsidRPr="00A674BE" w:rsidRDefault="008E615F" w:rsidP="00BE76D2">
      <w:pPr>
        <w:jc w:val="both"/>
        <w:rPr>
          <w:sz w:val="22"/>
          <w:szCs w:val="22"/>
          <w:lang w:val="fr-FR"/>
        </w:rPr>
      </w:pPr>
    </w:p>
    <w:p w:rsidR="00E7558E" w:rsidRPr="00A674BE" w:rsidRDefault="00E7558E" w:rsidP="00BE76D2">
      <w:pPr>
        <w:jc w:val="both"/>
        <w:rPr>
          <w:sz w:val="22"/>
          <w:szCs w:val="22"/>
          <w:lang w:val="fr-FR"/>
        </w:rPr>
      </w:pPr>
    </w:p>
    <w:p w:rsidR="00E7558E" w:rsidRPr="00A674BE" w:rsidRDefault="00F35636" w:rsidP="00E7558E">
      <w:pPr>
        <w:jc w:val="both"/>
        <w:rPr>
          <w:b/>
          <w:sz w:val="22"/>
          <w:szCs w:val="22"/>
          <w:lang w:val="fr-FR"/>
        </w:rPr>
      </w:pPr>
      <w:r w:rsidRPr="00F35636">
        <w:rPr>
          <w:b/>
          <w:sz w:val="22"/>
          <w:szCs w:val="22"/>
          <w:lang w:val="fr-FR"/>
        </w:rPr>
        <w:t>Raison de l</w:t>
      </w:r>
      <w:r w:rsidR="00851849">
        <w:rPr>
          <w:b/>
          <w:sz w:val="22"/>
          <w:szCs w:val="22"/>
          <w:lang w:val="fr-FR"/>
        </w:rPr>
        <w:t>’</w:t>
      </w:r>
      <w:r w:rsidRPr="00F35636">
        <w:rPr>
          <w:b/>
          <w:sz w:val="22"/>
          <w:szCs w:val="22"/>
          <w:lang w:val="fr-FR"/>
        </w:rPr>
        <w:t>ouverture de ce cas</w:t>
      </w:r>
    </w:p>
    <w:p w:rsidR="00E7558E" w:rsidRPr="00A674BE" w:rsidRDefault="00E7558E" w:rsidP="00E7558E">
      <w:pPr>
        <w:jc w:val="both"/>
        <w:rPr>
          <w:sz w:val="22"/>
          <w:szCs w:val="22"/>
          <w:lang w:val="fr-FR"/>
        </w:rPr>
      </w:pPr>
    </w:p>
    <w:p w:rsidR="00091E9C" w:rsidRPr="00A964AE" w:rsidRDefault="00F35636" w:rsidP="00E7558E">
      <w:pPr>
        <w:jc w:val="both"/>
        <w:rPr>
          <w:sz w:val="22"/>
          <w:szCs w:val="22"/>
          <w:lang w:val="fr-FR"/>
        </w:rPr>
      </w:pPr>
      <w:r w:rsidRPr="00F35636">
        <w:rPr>
          <w:sz w:val="22"/>
          <w:szCs w:val="22"/>
          <w:lang w:val="fr-FR"/>
        </w:rPr>
        <w:t>Début avril 2014, le Secrétariat de l</w:t>
      </w:r>
      <w:r w:rsidR="00851849">
        <w:rPr>
          <w:sz w:val="22"/>
          <w:szCs w:val="22"/>
          <w:lang w:val="fr-FR"/>
        </w:rPr>
        <w:t>’</w:t>
      </w:r>
      <w:r w:rsidRPr="00F35636">
        <w:rPr>
          <w:sz w:val="22"/>
          <w:szCs w:val="22"/>
          <w:lang w:val="fr-FR"/>
        </w:rPr>
        <w:t>AEWA a reçu une fiche d</w:t>
      </w:r>
      <w:r w:rsidR="00851849">
        <w:rPr>
          <w:sz w:val="22"/>
          <w:szCs w:val="22"/>
          <w:lang w:val="fr-FR"/>
        </w:rPr>
        <w:t>’</w:t>
      </w:r>
      <w:r w:rsidRPr="00F35636">
        <w:rPr>
          <w:sz w:val="22"/>
          <w:szCs w:val="22"/>
          <w:lang w:val="fr-FR"/>
        </w:rPr>
        <w:t>information relative à un cas possible d</w:t>
      </w:r>
      <w:r w:rsidR="00851849">
        <w:rPr>
          <w:sz w:val="22"/>
          <w:szCs w:val="22"/>
          <w:lang w:val="fr-FR"/>
        </w:rPr>
        <w:t>’</w:t>
      </w:r>
      <w:r w:rsidRPr="00F35636">
        <w:rPr>
          <w:sz w:val="22"/>
          <w:szCs w:val="22"/>
          <w:lang w:val="fr-FR"/>
        </w:rPr>
        <w:t>IRP de la part de Fuglavernd – l</w:t>
      </w:r>
      <w:r w:rsidR="00851849">
        <w:rPr>
          <w:sz w:val="22"/>
          <w:szCs w:val="22"/>
          <w:lang w:val="fr-FR"/>
        </w:rPr>
        <w:t>’</w:t>
      </w:r>
      <w:r w:rsidRPr="00F35636">
        <w:rPr>
          <w:sz w:val="22"/>
          <w:szCs w:val="22"/>
          <w:lang w:val="fr-FR"/>
        </w:rPr>
        <w:t>organisation partenaire islandaise de BirdLife International.</w:t>
      </w:r>
      <w:r w:rsidR="00E7558E" w:rsidRPr="00A964AE">
        <w:rPr>
          <w:sz w:val="22"/>
          <w:szCs w:val="22"/>
          <w:lang w:val="fr-FR"/>
        </w:rPr>
        <w:t xml:space="preserve"> </w:t>
      </w:r>
      <w:r w:rsidRPr="00F35636">
        <w:rPr>
          <w:sz w:val="22"/>
          <w:szCs w:val="22"/>
          <w:lang w:val="fr-FR"/>
        </w:rPr>
        <w:t>Le problème concernait le reboisement à grande échelle de basses terres, subventionné par l</w:t>
      </w:r>
      <w:r w:rsidR="00851849">
        <w:rPr>
          <w:sz w:val="22"/>
          <w:szCs w:val="22"/>
          <w:lang w:val="fr-FR"/>
        </w:rPr>
        <w:t>’</w:t>
      </w:r>
      <w:r w:rsidRPr="00F35636">
        <w:rPr>
          <w:sz w:val="22"/>
          <w:szCs w:val="22"/>
          <w:lang w:val="fr-FR"/>
        </w:rPr>
        <w:t>État, qui représente une menace pour les habitats de reproduction d</w:t>
      </w:r>
      <w:r w:rsidR="00851849">
        <w:rPr>
          <w:sz w:val="22"/>
          <w:szCs w:val="22"/>
          <w:lang w:val="fr-FR"/>
        </w:rPr>
        <w:t>’</w:t>
      </w:r>
      <w:r w:rsidRPr="00F35636">
        <w:rPr>
          <w:sz w:val="22"/>
          <w:szCs w:val="22"/>
          <w:lang w:val="fr-FR"/>
        </w:rPr>
        <w:t>espèces figurant sur les listes de l</w:t>
      </w:r>
      <w:r w:rsidR="00851849">
        <w:rPr>
          <w:sz w:val="22"/>
          <w:szCs w:val="22"/>
          <w:lang w:val="fr-FR"/>
        </w:rPr>
        <w:t>’</w:t>
      </w:r>
      <w:r w:rsidRPr="00F35636">
        <w:rPr>
          <w:sz w:val="22"/>
          <w:szCs w:val="22"/>
          <w:lang w:val="fr-FR"/>
        </w:rPr>
        <w:t>AEWA.</w:t>
      </w:r>
      <w:r w:rsidR="00E7558E" w:rsidRPr="00A964AE">
        <w:rPr>
          <w:sz w:val="22"/>
          <w:szCs w:val="22"/>
          <w:lang w:val="fr-FR"/>
        </w:rPr>
        <w:t xml:space="preserve"> </w:t>
      </w:r>
      <w:r w:rsidRPr="00CD7AE9">
        <w:rPr>
          <w:sz w:val="22"/>
          <w:szCs w:val="22"/>
          <w:lang w:val="fr-FR"/>
        </w:rPr>
        <w:t>Selon les informations fournies, la politique forestière islandaise, en vertu de plusieurs lois adoptées dans les années 1990 et, plus récemment, en 2006, a posé un objectif de reboisement de 5 % pour les basses terres (terres situées en dessous de</w:t>
      </w:r>
      <w:r w:rsidR="00CD7AE9" w:rsidRPr="00CD7AE9">
        <w:rPr>
          <w:sz w:val="22"/>
          <w:szCs w:val="22"/>
          <w:lang w:val="fr-FR"/>
        </w:rPr>
        <w:t xml:space="preserve"> la ligne de niveau de</w:t>
      </w:r>
      <w:r w:rsidRPr="00CD7AE9">
        <w:rPr>
          <w:sz w:val="22"/>
          <w:szCs w:val="22"/>
          <w:lang w:val="fr-FR"/>
        </w:rPr>
        <w:t xml:space="preserve"> 400m) de </w:t>
      </w:r>
      <w:r w:rsidR="00CD7AE9" w:rsidRPr="00CD7AE9">
        <w:rPr>
          <w:sz w:val="22"/>
          <w:szCs w:val="22"/>
          <w:lang w:val="fr-FR"/>
        </w:rPr>
        <w:t>chaque</w:t>
      </w:r>
      <w:r w:rsidRPr="00CD7AE9">
        <w:rPr>
          <w:sz w:val="22"/>
          <w:szCs w:val="22"/>
          <w:lang w:val="fr-FR"/>
        </w:rPr>
        <w:t xml:space="preserve"> </w:t>
      </w:r>
      <w:r w:rsidR="00CD7AE9" w:rsidRPr="00CD7AE9">
        <w:rPr>
          <w:sz w:val="22"/>
          <w:szCs w:val="22"/>
          <w:lang w:val="fr-FR"/>
        </w:rPr>
        <w:t>région</w:t>
      </w:r>
      <w:r w:rsidRPr="00CD7AE9">
        <w:rPr>
          <w:sz w:val="22"/>
          <w:szCs w:val="22"/>
          <w:lang w:val="fr-FR"/>
        </w:rPr>
        <w:t xml:space="preserve">, objectif devant être </w:t>
      </w:r>
      <w:r w:rsidR="00CD7AE9" w:rsidRPr="00CD7AE9">
        <w:rPr>
          <w:sz w:val="22"/>
          <w:szCs w:val="22"/>
          <w:lang w:val="fr-FR"/>
        </w:rPr>
        <w:t>atteint</w:t>
      </w:r>
      <w:r w:rsidRPr="00CD7AE9">
        <w:rPr>
          <w:sz w:val="22"/>
          <w:szCs w:val="22"/>
          <w:lang w:val="fr-FR"/>
        </w:rPr>
        <w:t xml:space="preserve"> d</w:t>
      </w:r>
      <w:r w:rsidR="00851849">
        <w:rPr>
          <w:sz w:val="22"/>
          <w:szCs w:val="22"/>
          <w:lang w:val="fr-FR"/>
        </w:rPr>
        <w:t>’</w:t>
      </w:r>
      <w:r w:rsidRPr="00CD7AE9">
        <w:rPr>
          <w:sz w:val="22"/>
          <w:szCs w:val="22"/>
          <w:lang w:val="fr-FR"/>
        </w:rPr>
        <w:t xml:space="preserve">ici à 2040. Ce reboisement </w:t>
      </w:r>
      <w:r w:rsidR="00CD7AE9" w:rsidRPr="00CD7AE9">
        <w:rPr>
          <w:sz w:val="22"/>
          <w:szCs w:val="22"/>
          <w:lang w:val="fr-FR"/>
        </w:rPr>
        <w:t>implique en majorité</w:t>
      </w:r>
      <w:r w:rsidRPr="00CD7AE9">
        <w:rPr>
          <w:sz w:val="22"/>
          <w:szCs w:val="22"/>
          <w:lang w:val="fr-FR"/>
        </w:rPr>
        <w:t xml:space="preserve"> des espèces d</w:t>
      </w:r>
      <w:r w:rsidR="00851849">
        <w:rPr>
          <w:sz w:val="22"/>
          <w:szCs w:val="22"/>
          <w:lang w:val="fr-FR"/>
        </w:rPr>
        <w:t>’</w:t>
      </w:r>
      <w:r w:rsidRPr="00CD7AE9">
        <w:rPr>
          <w:sz w:val="22"/>
          <w:szCs w:val="22"/>
          <w:lang w:val="fr-FR"/>
        </w:rPr>
        <w:t>arbres non-indigènes destinés principalement à la production d</w:t>
      </w:r>
      <w:r w:rsidR="00CD7AE9" w:rsidRPr="00CD7AE9">
        <w:rPr>
          <w:sz w:val="22"/>
          <w:szCs w:val="22"/>
          <w:lang w:val="fr-FR"/>
        </w:rPr>
        <w:t>u</w:t>
      </w:r>
      <w:r w:rsidRPr="00CD7AE9">
        <w:rPr>
          <w:sz w:val="22"/>
          <w:szCs w:val="22"/>
          <w:lang w:val="fr-FR"/>
        </w:rPr>
        <w:t xml:space="preserve"> bois.</w:t>
      </w:r>
      <w:r w:rsidR="00E7558E" w:rsidRPr="00A964AE">
        <w:rPr>
          <w:sz w:val="22"/>
          <w:szCs w:val="22"/>
          <w:lang w:val="fr-FR"/>
        </w:rPr>
        <w:t xml:space="preserve"> </w:t>
      </w:r>
      <w:r w:rsidR="00CD7AE9" w:rsidRPr="00CD7AE9">
        <w:rPr>
          <w:sz w:val="22"/>
          <w:szCs w:val="22"/>
          <w:lang w:val="fr-FR"/>
        </w:rPr>
        <w:t>Des informations supplémentaires ont souligné qu</w:t>
      </w:r>
      <w:r w:rsidR="00851849">
        <w:rPr>
          <w:sz w:val="22"/>
          <w:szCs w:val="22"/>
          <w:lang w:val="fr-FR"/>
        </w:rPr>
        <w:t>’</w:t>
      </w:r>
      <w:r w:rsidR="00CD7AE9" w:rsidRPr="00CD7AE9">
        <w:rPr>
          <w:sz w:val="22"/>
          <w:szCs w:val="22"/>
          <w:lang w:val="fr-FR"/>
        </w:rPr>
        <w:t>en 2007 un comité mis en place par le ministère de l</w:t>
      </w:r>
      <w:r w:rsidR="00851849">
        <w:rPr>
          <w:sz w:val="22"/>
          <w:szCs w:val="22"/>
          <w:lang w:val="fr-FR"/>
        </w:rPr>
        <w:t>’</w:t>
      </w:r>
      <w:r w:rsidR="00CD7AE9" w:rsidRPr="00CD7AE9">
        <w:rPr>
          <w:sz w:val="22"/>
          <w:szCs w:val="22"/>
          <w:lang w:val="fr-FR"/>
        </w:rPr>
        <w:t>Environnement et des Ressources naturelles a recommandé l</w:t>
      </w:r>
      <w:r w:rsidR="00851849">
        <w:rPr>
          <w:sz w:val="22"/>
          <w:szCs w:val="22"/>
          <w:lang w:val="fr-FR"/>
        </w:rPr>
        <w:t>’</w:t>
      </w:r>
      <w:r w:rsidR="00CD7AE9" w:rsidRPr="00CD7AE9">
        <w:rPr>
          <w:sz w:val="22"/>
          <w:szCs w:val="22"/>
          <w:lang w:val="fr-FR"/>
        </w:rPr>
        <w:t>extension des forêts de bouleaux afin de couvrir 10 % de la surface des terres et, en 2013, un comité identique a élaboré une Stratégie nationale forestière proposant le nouvel objectif de 12 % de couverture forestière d</w:t>
      </w:r>
      <w:r w:rsidR="00851849">
        <w:rPr>
          <w:sz w:val="22"/>
          <w:szCs w:val="22"/>
          <w:lang w:val="fr-FR"/>
        </w:rPr>
        <w:t>’</w:t>
      </w:r>
      <w:r w:rsidR="00CD7AE9" w:rsidRPr="00CD7AE9">
        <w:rPr>
          <w:sz w:val="22"/>
          <w:szCs w:val="22"/>
          <w:lang w:val="fr-FR"/>
        </w:rPr>
        <w:t>ici à 2100.</w:t>
      </w:r>
    </w:p>
    <w:p w:rsidR="00091E9C" w:rsidRPr="00A964AE" w:rsidRDefault="00091E9C" w:rsidP="00E7558E">
      <w:pPr>
        <w:jc w:val="both"/>
        <w:rPr>
          <w:sz w:val="22"/>
          <w:szCs w:val="22"/>
          <w:lang w:val="fr-FR"/>
        </w:rPr>
      </w:pPr>
    </w:p>
    <w:p w:rsidR="00E7558E" w:rsidRPr="00A674BE" w:rsidRDefault="00CD7AE9" w:rsidP="00E7558E">
      <w:pPr>
        <w:jc w:val="both"/>
        <w:rPr>
          <w:sz w:val="22"/>
          <w:szCs w:val="22"/>
          <w:lang w:val="fr-FR"/>
        </w:rPr>
      </w:pPr>
      <w:r w:rsidRPr="00CD7AE9">
        <w:rPr>
          <w:sz w:val="22"/>
          <w:szCs w:val="22"/>
          <w:lang w:val="fr-FR"/>
        </w:rPr>
        <w:t>L</w:t>
      </w:r>
      <w:r w:rsidR="00851849">
        <w:rPr>
          <w:sz w:val="22"/>
          <w:szCs w:val="22"/>
          <w:lang w:val="fr-FR"/>
        </w:rPr>
        <w:t>’</w:t>
      </w:r>
      <w:r w:rsidRPr="00CD7AE9">
        <w:rPr>
          <w:sz w:val="22"/>
          <w:szCs w:val="22"/>
          <w:lang w:val="fr-FR"/>
        </w:rPr>
        <w:t xml:space="preserve">Islande est le second pays après la Russie pour son importance en tant que source </w:t>
      </w:r>
      <w:r w:rsidR="00892CFC">
        <w:rPr>
          <w:sz w:val="22"/>
          <w:szCs w:val="22"/>
          <w:lang w:val="fr-FR"/>
        </w:rPr>
        <w:t>d’</w:t>
      </w:r>
      <w:r w:rsidRPr="00CD7AE9">
        <w:rPr>
          <w:sz w:val="22"/>
          <w:szCs w:val="22"/>
          <w:lang w:val="fr-FR"/>
        </w:rPr>
        <w:t>oiseaux d</w:t>
      </w:r>
      <w:r w:rsidR="00851849">
        <w:rPr>
          <w:sz w:val="22"/>
          <w:szCs w:val="22"/>
          <w:lang w:val="fr-FR"/>
        </w:rPr>
        <w:t>’</w:t>
      </w:r>
      <w:r w:rsidRPr="00CD7AE9">
        <w:rPr>
          <w:sz w:val="22"/>
          <w:szCs w:val="22"/>
          <w:lang w:val="fr-FR"/>
        </w:rPr>
        <w:t xml:space="preserve">eau migrateurs </w:t>
      </w:r>
      <w:r>
        <w:rPr>
          <w:sz w:val="22"/>
          <w:szCs w:val="22"/>
          <w:lang w:val="fr-FR"/>
        </w:rPr>
        <w:t>reproducte</w:t>
      </w:r>
      <w:r w:rsidRPr="00CD7AE9">
        <w:rPr>
          <w:sz w:val="22"/>
          <w:szCs w:val="22"/>
          <w:lang w:val="fr-FR"/>
        </w:rPr>
        <w:t>urs dans la région de l</w:t>
      </w:r>
      <w:r w:rsidR="00851849">
        <w:rPr>
          <w:sz w:val="22"/>
          <w:szCs w:val="22"/>
          <w:lang w:val="fr-FR"/>
        </w:rPr>
        <w:t>’</w:t>
      </w:r>
      <w:r w:rsidRPr="00CD7AE9">
        <w:rPr>
          <w:sz w:val="22"/>
          <w:szCs w:val="22"/>
          <w:lang w:val="fr-FR"/>
        </w:rPr>
        <w:t>AEWA.</w:t>
      </w:r>
      <w:r w:rsidR="004961D7" w:rsidRPr="00A674BE">
        <w:rPr>
          <w:sz w:val="22"/>
          <w:szCs w:val="22"/>
          <w:lang w:val="fr-FR"/>
        </w:rPr>
        <w:t xml:space="preserve"> </w:t>
      </w:r>
      <w:r w:rsidRPr="00CA1FA9">
        <w:rPr>
          <w:sz w:val="22"/>
          <w:szCs w:val="22"/>
          <w:lang w:val="fr-FR"/>
        </w:rPr>
        <w:t xml:space="preserve">Elle subvient aux besoins des </w:t>
      </w:r>
      <w:r w:rsidR="00BD00F3">
        <w:rPr>
          <w:sz w:val="22"/>
          <w:szCs w:val="22"/>
          <w:lang w:val="fr-FR"/>
        </w:rPr>
        <w:t>principales</w:t>
      </w:r>
      <w:r w:rsidRPr="00CA1FA9">
        <w:rPr>
          <w:sz w:val="22"/>
          <w:szCs w:val="22"/>
          <w:lang w:val="fr-FR"/>
        </w:rPr>
        <w:t xml:space="preserve"> populations </w:t>
      </w:r>
      <w:r w:rsidR="00E57E67" w:rsidRPr="00CA1FA9">
        <w:rPr>
          <w:sz w:val="22"/>
          <w:szCs w:val="22"/>
          <w:lang w:val="fr-FR"/>
        </w:rPr>
        <w:t>reproductrices d</w:t>
      </w:r>
      <w:r w:rsidR="00851849">
        <w:rPr>
          <w:sz w:val="22"/>
          <w:szCs w:val="22"/>
          <w:lang w:val="fr-FR"/>
        </w:rPr>
        <w:t>’</w:t>
      </w:r>
      <w:r w:rsidRPr="00CA1FA9">
        <w:rPr>
          <w:sz w:val="22"/>
          <w:szCs w:val="22"/>
          <w:lang w:val="fr-FR"/>
        </w:rPr>
        <w:t xml:space="preserve">Europe </w:t>
      </w:r>
      <w:r w:rsidR="00E57E67" w:rsidRPr="00CA1FA9">
        <w:rPr>
          <w:sz w:val="22"/>
          <w:szCs w:val="22"/>
          <w:lang w:val="fr-FR"/>
        </w:rPr>
        <w:t>pour six espèces d</w:t>
      </w:r>
      <w:r w:rsidR="00851849">
        <w:rPr>
          <w:sz w:val="22"/>
          <w:szCs w:val="22"/>
          <w:lang w:val="fr-FR"/>
        </w:rPr>
        <w:t>’</w:t>
      </w:r>
      <w:r w:rsidR="00E57E67" w:rsidRPr="00CA1FA9">
        <w:rPr>
          <w:sz w:val="22"/>
          <w:szCs w:val="22"/>
          <w:lang w:val="fr-FR"/>
        </w:rPr>
        <w:t>oiseaux de rivage, étant</w:t>
      </w:r>
      <w:r w:rsidR="00CA1FA9" w:rsidRPr="00CA1FA9">
        <w:rPr>
          <w:sz w:val="22"/>
          <w:szCs w:val="22"/>
          <w:lang w:val="fr-FR"/>
        </w:rPr>
        <w:t xml:space="preserve"> le second </w:t>
      </w:r>
      <w:r w:rsidR="00BD00F3">
        <w:rPr>
          <w:sz w:val="22"/>
          <w:szCs w:val="22"/>
          <w:lang w:val="fr-FR"/>
        </w:rPr>
        <w:t xml:space="preserve">des pays les </w:t>
      </w:r>
      <w:r w:rsidR="00CA1FA9" w:rsidRPr="00CA1FA9">
        <w:rPr>
          <w:sz w:val="22"/>
          <w:szCs w:val="22"/>
          <w:lang w:val="fr-FR"/>
        </w:rPr>
        <w:t>plus important</w:t>
      </w:r>
      <w:r w:rsidR="00BD00F3">
        <w:rPr>
          <w:sz w:val="22"/>
          <w:szCs w:val="22"/>
          <w:lang w:val="fr-FR"/>
        </w:rPr>
        <w:t>s</w:t>
      </w:r>
      <w:r w:rsidR="00CA1FA9" w:rsidRPr="00CA1FA9">
        <w:rPr>
          <w:sz w:val="22"/>
          <w:szCs w:val="22"/>
          <w:lang w:val="fr-FR"/>
        </w:rPr>
        <w:t xml:space="preserve"> pour trois espèces</w:t>
      </w:r>
      <w:r w:rsidRPr="00CA1FA9">
        <w:rPr>
          <w:sz w:val="22"/>
          <w:szCs w:val="22"/>
          <w:lang w:val="fr-FR"/>
        </w:rPr>
        <w:t>.</w:t>
      </w:r>
      <w:r w:rsidR="004961D7" w:rsidRPr="00A674BE">
        <w:rPr>
          <w:sz w:val="22"/>
          <w:szCs w:val="22"/>
          <w:lang w:val="fr-FR"/>
        </w:rPr>
        <w:t xml:space="preserve"> </w:t>
      </w:r>
      <w:r w:rsidR="00CA1FA9" w:rsidRPr="00CA1FA9">
        <w:rPr>
          <w:sz w:val="22"/>
          <w:szCs w:val="22"/>
          <w:lang w:val="fr-FR"/>
        </w:rPr>
        <w:t xml:space="preserve">Les </w:t>
      </w:r>
      <w:r w:rsidR="002B2B8E" w:rsidRPr="00CA1FA9">
        <w:rPr>
          <w:sz w:val="22"/>
          <w:szCs w:val="22"/>
          <w:lang w:val="fr-FR"/>
        </w:rPr>
        <w:t>informations</w:t>
      </w:r>
      <w:r w:rsidR="00CA1FA9" w:rsidRPr="00CA1FA9">
        <w:rPr>
          <w:sz w:val="22"/>
          <w:szCs w:val="22"/>
          <w:lang w:val="fr-FR"/>
        </w:rPr>
        <w:t xml:space="preserve"> compilées en 2007 ont mis en avant que les plans de reboisement auraient un impact défavorable sur 10 espèces couvertes par l</w:t>
      </w:r>
      <w:r w:rsidR="00851849">
        <w:rPr>
          <w:sz w:val="22"/>
          <w:szCs w:val="22"/>
          <w:lang w:val="fr-FR"/>
        </w:rPr>
        <w:t>’</w:t>
      </w:r>
      <w:r w:rsidR="00CA1FA9" w:rsidRPr="00CA1FA9">
        <w:rPr>
          <w:sz w:val="22"/>
          <w:szCs w:val="22"/>
          <w:lang w:val="fr-FR"/>
        </w:rPr>
        <w:t>AEWA qui se reproduisent en Islande, principalement des échassiers se reproduisant dans les prairies, dont une espèce (</w:t>
      </w:r>
      <w:r w:rsidR="00892CFC">
        <w:rPr>
          <w:sz w:val="22"/>
          <w:szCs w:val="22"/>
          <w:lang w:val="fr-FR"/>
        </w:rPr>
        <w:t xml:space="preserve">la </w:t>
      </w:r>
      <w:r w:rsidR="00CA1FA9" w:rsidRPr="00CA1FA9">
        <w:rPr>
          <w:sz w:val="22"/>
          <w:szCs w:val="22"/>
          <w:lang w:val="fr-FR"/>
        </w:rPr>
        <w:t xml:space="preserve">Barge à queue noire </w:t>
      </w:r>
      <w:r w:rsidR="00CA1FA9" w:rsidRPr="00CA1FA9">
        <w:rPr>
          <w:i/>
          <w:sz w:val="22"/>
          <w:szCs w:val="22"/>
          <w:lang w:val="fr-FR"/>
        </w:rPr>
        <w:t>Limosa limosa</w:t>
      </w:r>
      <w:r w:rsidR="00CA1FA9" w:rsidRPr="00CA1FA9">
        <w:rPr>
          <w:sz w:val="22"/>
          <w:szCs w:val="22"/>
          <w:lang w:val="fr-FR"/>
        </w:rPr>
        <w:t>) appartenant à la catégorie Quasi menacée.</w:t>
      </w:r>
      <w:r w:rsidR="004961D7" w:rsidRPr="00A674BE">
        <w:rPr>
          <w:sz w:val="22"/>
          <w:szCs w:val="22"/>
          <w:lang w:val="fr-FR"/>
        </w:rPr>
        <w:t xml:space="preserve"> </w:t>
      </w:r>
    </w:p>
    <w:p w:rsidR="00E7558E" w:rsidRPr="00A674BE" w:rsidRDefault="00E7558E" w:rsidP="00E7558E">
      <w:pPr>
        <w:jc w:val="both"/>
        <w:rPr>
          <w:sz w:val="22"/>
          <w:szCs w:val="22"/>
          <w:lang w:val="fr-FR"/>
        </w:rPr>
      </w:pPr>
    </w:p>
    <w:p w:rsidR="00E7558E" w:rsidRPr="00A674BE" w:rsidRDefault="00CA1FA9" w:rsidP="00E7558E">
      <w:pPr>
        <w:jc w:val="both"/>
        <w:rPr>
          <w:b/>
          <w:sz w:val="22"/>
          <w:szCs w:val="22"/>
          <w:lang w:val="fr-FR"/>
        </w:rPr>
      </w:pPr>
      <w:r w:rsidRPr="00CA1FA9">
        <w:rPr>
          <w:b/>
          <w:sz w:val="22"/>
          <w:szCs w:val="22"/>
          <w:lang w:val="fr-FR"/>
        </w:rPr>
        <w:t>Consultations</w:t>
      </w:r>
    </w:p>
    <w:p w:rsidR="00E7558E" w:rsidRPr="00A674BE" w:rsidRDefault="00E7558E" w:rsidP="00E7558E">
      <w:pPr>
        <w:jc w:val="both"/>
        <w:rPr>
          <w:sz w:val="22"/>
          <w:szCs w:val="22"/>
          <w:lang w:val="fr-FR"/>
        </w:rPr>
      </w:pPr>
    </w:p>
    <w:p w:rsidR="00E7558E" w:rsidRPr="00A674BE" w:rsidRDefault="00CA1FA9" w:rsidP="00E7558E">
      <w:pPr>
        <w:jc w:val="both"/>
        <w:rPr>
          <w:sz w:val="22"/>
          <w:szCs w:val="22"/>
          <w:lang w:val="fr-FR"/>
        </w:rPr>
      </w:pPr>
      <w:r w:rsidRPr="00CA1FA9">
        <w:rPr>
          <w:snapToGrid w:val="0"/>
          <w:sz w:val="22"/>
          <w:szCs w:val="22"/>
          <w:lang w:val="fr-FR"/>
        </w:rPr>
        <w:t>Le Secrétariat a téléchargé la fiche d</w:t>
      </w:r>
      <w:r w:rsidR="00851849">
        <w:rPr>
          <w:snapToGrid w:val="0"/>
          <w:sz w:val="22"/>
          <w:szCs w:val="22"/>
          <w:lang w:val="fr-FR"/>
        </w:rPr>
        <w:t>’</w:t>
      </w:r>
      <w:r w:rsidRPr="00CA1FA9">
        <w:rPr>
          <w:snapToGrid w:val="0"/>
          <w:sz w:val="22"/>
          <w:szCs w:val="22"/>
          <w:lang w:val="fr-FR"/>
        </w:rPr>
        <w:t>information reçue sur l</w:t>
      </w:r>
      <w:r w:rsidR="00851849">
        <w:rPr>
          <w:snapToGrid w:val="0"/>
          <w:sz w:val="22"/>
          <w:szCs w:val="22"/>
          <w:lang w:val="fr-FR"/>
        </w:rPr>
        <w:t>’</w:t>
      </w:r>
      <w:r w:rsidRPr="00CA1FA9">
        <w:rPr>
          <w:snapToGrid w:val="0"/>
          <w:sz w:val="22"/>
          <w:szCs w:val="22"/>
          <w:lang w:val="fr-FR"/>
        </w:rPr>
        <w:t>espace de travail du Comité technique (TC) et demandé à ce dernier des conseils afin de les transmettre au Comité permanent (StC)</w:t>
      </w:r>
      <w:r w:rsidRPr="00CA1FA9">
        <w:rPr>
          <w:sz w:val="22"/>
          <w:szCs w:val="22"/>
          <w:lang w:val="fr-FR"/>
        </w:rPr>
        <w:t>.</w:t>
      </w:r>
      <w:r w:rsidR="00E7558E" w:rsidRPr="00A674BE">
        <w:rPr>
          <w:sz w:val="22"/>
          <w:szCs w:val="22"/>
          <w:lang w:val="fr-FR"/>
        </w:rPr>
        <w:t xml:space="preserve"> </w:t>
      </w:r>
      <w:r w:rsidRPr="00CA1FA9">
        <w:rPr>
          <w:snapToGrid w:val="0"/>
          <w:sz w:val="22"/>
          <w:szCs w:val="22"/>
          <w:lang w:val="fr-FR"/>
        </w:rPr>
        <w:t>Le TC a recommandé d</w:t>
      </w:r>
      <w:r w:rsidR="00851849">
        <w:rPr>
          <w:snapToGrid w:val="0"/>
          <w:sz w:val="22"/>
          <w:szCs w:val="22"/>
          <w:lang w:val="fr-FR"/>
        </w:rPr>
        <w:t>’</w:t>
      </w:r>
      <w:r w:rsidRPr="00CA1FA9">
        <w:rPr>
          <w:snapToGrid w:val="0"/>
          <w:sz w:val="22"/>
          <w:szCs w:val="22"/>
          <w:lang w:val="fr-FR"/>
        </w:rPr>
        <w:t>ouvrir une procédure IRP.</w:t>
      </w:r>
      <w:r w:rsidR="002B2B8E">
        <w:rPr>
          <w:snapToGrid w:val="0"/>
          <w:sz w:val="22"/>
          <w:szCs w:val="22"/>
          <w:lang w:val="fr-FR"/>
        </w:rPr>
        <w:t xml:space="preserve"> </w:t>
      </w:r>
      <w:r w:rsidRPr="00F62916">
        <w:rPr>
          <w:snapToGrid w:val="0"/>
          <w:sz w:val="22"/>
          <w:szCs w:val="22"/>
          <w:lang w:val="fr-FR"/>
        </w:rPr>
        <w:t>Suivant ce conseil et sur la base de sa propre évaluation des informations fournies, le StC a décidé d</w:t>
      </w:r>
      <w:r w:rsidR="00851849">
        <w:rPr>
          <w:snapToGrid w:val="0"/>
          <w:sz w:val="22"/>
          <w:szCs w:val="22"/>
          <w:lang w:val="fr-FR"/>
        </w:rPr>
        <w:t>’</w:t>
      </w:r>
      <w:r w:rsidRPr="00F62916">
        <w:rPr>
          <w:snapToGrid w:val="0"/>
          <w:sz w:val="22"/>
          <w:szCs w:val="22"/>
          <w:lang w:val="fr-FR"/>
        </w:rPr>
        <w:t>ouvrir une procédure en avril</w:t>
      </w:r>
      <w:r w:rsidRPr="00F62916">
        <w:rPr>
          <w:sz w:val="22"/>
          <w:szCs w:val="22"/>
          <w:lang w:val="fr-FR"/>
        </w:rPr>
        <w:t xml:space="preserve"> 2014.</w:t>
      </w:r>
      <w:r w:rsidR="002B2B8E" w:rsidRPr="00A674BE">
        <w:rPr>
          <w:sz w:val="22"/>
          <w:szCs w:val="22"/>
          <w:lang w:val="fr-FR"/>
        </w:rPr>
        <w:t xml:space="preserve"> </w:t>
      </w:r>
    </w:p>
    <w:p w:rsidR="00E7558E" w:rsidRPr="00A674BE" w:rsidRDefault="00E7558E" w:rsidP="00E7558E">
      <w:pPr>
        <w:jc w:val="both"/>
        <w:rPr>
          <w:sz w:val="22"/>
          <w:szCs w:val="22"/>
          <w:lang w:val="fr-FR"/>
        </w:rPr>
      </w:pPr>
    </w:p>
    <w:p w:rsidR="00E7558E" w:rsidRPr="00A674BE" w:rsidRDefault="00F62916" w:rsidP="00E7558E">
      <w:pPr>
        <w:jc w:val="both"/>
        <w:rPr>
          <w:b/>
          <w:sz w:val="22"/>
          <w:szCs w:val="22"/>
          <w:lang w:val="fr-FR"/>
        </w:rPr>
      </w:pPr>
      <w:r w:rsidRPr="00F62916">
        <w:rPr>
          <w:b/>
          <w:sz w:val="22"/>
          <w:szCs w:val="22"/>
          <w:lang w:val="fr-FR"/>
        </w:rPr>
        <w:t>Actions</w:t>
      </w:r>
    </w:p>
    <w:p w:rsidR="00E7558E" w:rsidRPr="00A674BE" w:rsidRDefault="00E7558E" w:rsidP="00E7558E">
      <w:pPr>
        <w:jc w:val="both"/>
        <w:rPr>
          <w:sz w:val="22"/>
          <w:szCs w:val="22"/>
          <w:lang w:val="fr-FR"/>
        </w:rPr>
      </w:pPr>
    </w:p>
    <w:p w:rsidR="00E7558E" w:rsidRPr="00A674BE" w:rsidRDefault="00F62916" w:rsidP="00E7558E">
      <w:pPr>
        <w:jc w:val="both"/>
        <w:rPr>
          <w:sz w:val="22"/>
          <w:szCs w:val="22"/>
          <w:lang w:val="fr-FR"/>
        </w:rPr>
      </w:pPr>
      <w:r w:rsidRPr="00F62916">
        <w:rPr>
          <w:sz w:val="22"/>
          <w:szCs w:val="22"/>
          <w:lang w:val="fr-FR"/>
        </w:rPr>
        <w:t>Le 22 mars 2012, le Président du Comité permanent de l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AEWA, M. Øystein Størkersen, a envoyé une lettre à</w:t>
      </w:r>
      <w:r w:rsidR="00A6067A">
        <w:rPr>
          <w:sz w:val="22"/>
          <w:szCs w:val="22"/>
          <w:lang w:val="fr-FR"/>
        </w:rPr>
        <w:t xml:space="preserve"> </w:t>
      </w:r>
      <w:r w:rsidR="00E7558E" w:rsidRPr="00A674BE">
        <w:rPr>
          <w:sz w:val="22"/>
          <w:szCs w:val="22"/>
          <w:lang w:val="fr-FR"/>
        </w:rPr>
        <w:t xml:space="preserve"> </w:t>
      </w:r>
      <w:r w:rsidR="00BD00F3" w:rsidRPr="00A674BE">
        <w:rPr>
          <w:sz w:val="22"/>
          <w:szCs w:val="22"/>
          <w:lang w:val="fr-FR"/>
        </w:rPr>
        <w:t xml:space="preserve">M. </w:t>
      </w:r>
      <w:r w:rsidRPr="00F62916">
        <w:rPr>
          <w:sz w:val="22"/>
          <w:szCs w:val="22"/>
          <w:lang w:val="fr-FR"/>
        </w:rPr>
        <w:t>Sigurður Ingi Jóhannsson, Ministre de l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Environnement et des Ressources naturelles, exprimant ses inquiétudes, demandant des informations officielles sur la question, l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informant sur la décision du StC de lancer une procédure et proposant une mission d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évaluation sur place.</w:t>
      </w:r>
      <w:r w:rsidR="00E7558E" w:rsidRPr="00A674BE">
        <w:rPr>
          <w:sz w:val="22"/>
          <w:szCs w:val="22"/>
          <w:lang w:val="fr-FR"/>
        </w:rPr>
        <w:t xml:space="preserve"> </w:t>
      </w:r>
      <w:r w:rsidRPr="00F62916">
        <w:rPr>
          <w:sz w:val="22"/>
          <w:szCs w:val="22"/>
          <w:lang w:val="fr-FR"/>
        </w:rPr>
        <w:t>La lettre a été envoyée en copie aux Secrétariats des Conventions de Ramsar et de Berne, ainsi qu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au Secrétariat du Conseil arctique pour la conservation de la flore et de la faune arctiques (CAFF), tenant compte notamment du fait que le Comité permanent de la Convention de Berne s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intéressait à cette question depuis 2001.</w:t>
      </w:r>
      <w:r w:rsidR="00E7558E" w:rsidRPr="00A674BE">
        <w:rPr>
          <w:sz w:val="22"/>
          <w:szCs w:val="22"/>
          <w:lang w:val="fr-FR"/>
        </w:rPr>
        <w:t xml:space="preserve"> </w:t>
      </w:r>
    </w:p>
    <w:p w:rsidR="00A664EC" w:rsidRPr="00A674BE" w:rsidRDefault="00A664EC" w:rsidP="00E7558E">
      <w:pPr>
        <w:jc w:val="both"/>
        <w:rPr>
          <w:sz w:val="22"/>
          <w:szCs w:val="22"/>
          <w:lang w:val="fr-FR"/>
        </w:rPr>
      </w:pPr>
    </w:p>
    <w:p w:rsidR="00A664EC" w:rsidRPr="00A674BE" w:rsidRDefault="00F62916" w:rsidP="00E7558E">
      <w:pPr>
        <w:jc w:val="both"/>
        <w:rPr>
          <w:sz w:val="22"/>
          <w:szCs w:val="22"/>
          <w:lang w:val="fr-FR"/>
        </w:rPr>
      </w:pPr>
      <w:r w:rsidRPr="00F62916">
        <w:rPr>
          <w:sz w:val="22"/>
          <w:szCs w:val="22"/>
          <w:lang w:val="fr-FR"/>
        </w:rPr>
        <w:t>Le 10 juillet 2014, M. Jón Geir Pétursson, Directeur général du département du patrimoine foncier et naturel du ministère de l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Environnement et des Ressources naturelles, a fait parvenir un courriel au Secrétariat de l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AEWA, confirmant la bonne réception de sa lettre, acceptant volontiers une mission d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évaluation sur place, demandant les informations de base ayant conduit à l</w:t>
      </w:r>
      <w:r w:rsidR="00851849">
        <w:rPr>
          <w:sz w:val="22"/>
          <w:szCs w:val="22"/>
          <w:lang w:val="fr-FR"/>
        </w:rPr>
        <w:t>’</w:t>
      </w:r>
      <w:r w:rsidRPr="00F62916">
        <w:rPr>
          <w:sz w:val="22"/>
          <w:szCs w:val="22"/>
          <w:lang w:val="fr-FR"/>
        </w:rPr>
        <w:t>ouverture de la procédure, désignant de leur côté un point focal.</w:t>
      </w:r>
    </w:p>
    <w:p w:rsidR="00E7558E" w:rsidRPr="00A674BE" w:rsidRDefault="00E7558E" w:rsidP="00BE76D2">
      <w:pPr>
        <w:jc w:val="both"/>
        <w:rPr>
          <w:sz w:val="22"/>
          <w:szCs w:val="22"/>
          <w:lang w:val="fr-FR"/>
        </w:rPr>
      </w:pPr>
    </w:p>
    <w:p w:rsidR="00A664EC" w:rsidRPr="00EA0472" w:rsidRDefault="00F62916" w:rsidP="00BE76D2">
      <w:pPr>
        <w:jc w:val="both"/>
        <w:rPr>
          <w:sz w:val="22"/>
          <w:szCs w:val="22"/>
          <w:lang w:val="fr-FR"/>
        </w:rPr>
      </w:pPr>
      <w:r w:rsidRPr="00527098">
        <w:rPr>
          <w:sz w:val="22"/>
          <w:szCs w:val="22"/>
          <w:lang w:val="fr-FR"/>
        </w:rPr>
        <w:t xml:space="preserve">En août, le Secrétariat a fait parvenir au ministère islandais les informations de base demandées et </w:t>
      </w:r>
      <w:r w:rsidR="002B2B8E">
        <w:rPr>
          <w:sz w:val="22"/>
          <w:szCs w:val="22"/>
          <w:lang w:val="fr-FR"/>
        </w:rPr>
        <w:t xml:space="preserve">réitéré sa demande </w:t>
      </w:r>
      <w:r w:rsidRPr="00527098">
        <w:rPr>
          <w:sz w:val="22"/>
          <w:szCs w:val="22"/>
          <w:lang w:val="fr-FR"/>
        </w:rPr>
        <w:t>de plus amples i</w:t>
      </w:r>
      <w:r w:rsidR="00527098" w:rsidRPr="00527098">
        <w:rPr>
          <w:sz w:val="22"/>
          <w:szCs w:val="22"/>
          <w:lang w:val="fr-FR"/>
        </w:rPr>
        <w:t>nformations</w:t>
      </w:r>
      <w:r w:rsidRPr="00527098">
        <w:rPr>
          <w:sz w:val="22"/>
          <w:szCs w:val="22"/>
          <w:lang w:val="fr-FR"/>
        </w:rPr>
        <w:t xml:space="preserve"> </w:t>
      </w:r>
      <w:r w:rsidR="00527098" w:rsidRPr="00527098">
        <w:rPr>
          <w:sz w:val="22"/>
          <w:szCs w:val="22"/>
          <w:lang w:val="fr-FR"/>
        </w:rPr>
        <w:t>officielles</w:t>
      </w:r>
      <w:r w:rsidRPr="00527098">
        <w:rPr>
          <w:sz w:val="22"/>
          <w:szCs w:val="22"/>
          <w:lang w:val="fr-FR"/>
        </w:rPr>
        <w:t xml:space="preserve"> </w:t>
      </w:r>
      <w:r w:rsidR="002B2B8E">
        <w:rPr>
          <w:sz w:val="22"/>
          <w:szCs w:val="22"/>
          <w:lang w:val="fr-FR"/>
        </w:rPr>
        <w:t>de la part du</w:t>
      </w:r>
      <w:r w:rsidRPr="00527098">
        <w:rPr>
          <w:sz w:val="22"/>
          <w:szCs w:val="22"/>
          <w:lang w:val="fr-FR"/>
        </w:rPr>
        <w:t xml:space="preserve"> ministère</w:t>
      </w:r>
      <w:r w:rsidR="002B2B8E">
        <w:rPr>
          <w:sz w:val="22"/>
          <w:szCs w:val="22"/>
          <w:lang w:val="fr-FR"/>
        </w:rPr>
        <w:t>. À</w:t>
      </w:r>
      <w:r w:rsidRPr="00527098">
        <w:rPr>
          <w:sz w:val="22"/>
          <w:szCs w:val="22"/>
          <w:lang w:val="fr-FR"/>
        </w:rPr>
        <w:t xml:space="preserve"> la </w:t>
      </w:r>
      <w:r w:rsidR="00527098" w:rsidRPr="00527098">
        <w:rPr>
          <w:sz w:val="22"/>
          <w:szCs w:val="22"/>
          <w:lang w:val="fr-FR"/>
        </w:rPr>
        <w:t>mi-septembre</w:t>
      </w:r>
      <w:r w:rsidRPr="00527098">
        <w:rPr>
          <w:sz w:val="22"/>
          <w:szCs w:val="22"/>
          <w:lang w:val="fr-FR"/>
        </w:rPr>
        <w:t xml:space="preserve"> 2014, l</w:t>
      </w:r>
      <w:r w:rsidR="00527098" w:rsidRPr="00527098">
        <w:rPr>
          <w:sz w:val="22"/>
          <w:szCs w:val="22"/>
          <w:lang w:val="fr-FR"/>
        </w:rPr>
        <w:t xml:space="preserve">e </w:t>
      </w:r>
      <w:r w:rsidR="002B2B8E" w:rsidRPr="00527098">
        <w:rPr>
          <w:sz w:val="22"/>
          <w:szCs w:val="22"/>
          <w:lang w:val="fr-FR"/>
        </w:rPr>
        <w:t>Secrétariat</w:t>
      </w:r>
      <w:r w:rsidRPr="00527098">
        <w:rPr>
          <w:sz w:val="22"/>
          <w:szCs w:val="22"/>
          <w:lang w:val="fr-FR"/>
        </w:rPr>
        <w:t xml:space="preserve"> </w:t>
      </w:r>
      <w:r w:rsidR="00527098" w:rsidRPr="00527098">
        <w:rPr>
          <w:sz w:val="22"/>
          <w:szCs w:val="22"/>
          <w:lang w:val="fr-FR"/>
        </w:rPr>
        <w:t>a reçu de la part ce dernier sa réponse au Comité permanent de la Convention de Berne</w:t>
      </w:r>
      <w:r w:rsidRPr="00527098">
        <w:rPr>
          <w:sz w:val="22"/>
          <w:szCs w:val="22"/>
          <w:lang w:val="fr-FR"/>
        </w:rPr>
        <w:t>.</w:t>
      </w:r>
      <w:r w:rsidR="000626A7" w:rsidRPr="00EA0472">
        <w:rPr>
          <w:sz w:val="22"/>
          <w:szCs w:val="22"/>
          <w:lang w:val="fr-FR"/>
        </w:rPr>
        <w:t xml:space="preserve"> </w:t>
      </w:r>
    </w:p>
    <w:p w:rsidR="000626A7" w:rsidRPr="00EA0472" w:rsidRDefault="000626A7" w:rsidP="00BE76D2">
      <w:pPr>
        <w:jc w:val="both"/>
        <w:rPr>
          <w:sz w:val="22"/>
          <w:szCs w:val="22"/>
          <w:lang w:val="fr-FR"/>
        </w:rPr>
      </w:pPr>
    </w:p>
    <w:p w:rsidR="000626A7" w:rsidRPr="00A674BE" w:rsidRDefault="00527098" w:rsidP="00BE76D2">
      <w:pPr>
        <w:jc w:val="both"/>
        <w:rPr>
          <w:sz w:val="22"/>
          <w:szCs w:val="22"/>
          <w:lang w:val="fr-FR"/>
        </w:rPr>
      </w:pPr>
      <w:r w:rsidRPr="00527098">
        <w:rPr>
          <w:sz w:val="22"/>
          <w:szCs w:val="22"/>
          <w:lang w:val="fr-FR"/>
        </w:rPr>
        <w:t>À la mi-janvier 2015, après avoir consulté les Secrétariats des Conventions de Ramsar et de Berne et celui du CAFF, le Secrétariat a envoyé au ministère le</w:t>
      </w:r>
      <w:r>
        <w:rPr>
          <w:sz w:val="22"/>
          <w:szCs w:val="22"/>
          <w:lang w:val="fr-FR"/>
        </w:rPr>
        <w:t xml:space="preserve">s termes de références (TDR) </w:t>
      </w:r>
      <w:r w:rsidRPr="00527098">
        <w:rPr>
          <w:sz w:val="22"/>
          <w:szCs w:val="22"/>
          <w:lang w:val="fr-FR"/>
        </w:rPr>
        <w:t>d</w:t>
      </w:r>
      <w:r w:rsidR="00851849">
        <w:rPr>
          <w:sz w:val="22"/>
          <w:szCs w:val="22"/>
          <w:lang w:val="fr-FR"/>
        </w:rPr>
        <w:t>’</w:t>
      </w:r>
      <w:r w:rsidRPr="00527098">
        <w:rPr>
          <w:sz w:val="22"/>
          <w:szCs w:val="22"/>
          <w:lang w:val="fr-FR"/>
        </w:rPr>
        <w:t>une mission d</w:t>
      </w:r>
      <w:r w:rsidR="00851849">
        <w:rPr>
          <w:sz w:val="22"/>
          <w:szCs w:val="22"/>
          <w:lang w:val="fr-FR"/>
        </w:rPr>
        <w:t>’</w:t>
      </w:r>
      <w:r w:rsidRPr="00527098">
        <w:rPr>
          <w:sz w:val="22"/>
          <w:szCs w:val="22"/>
          <w:lang w:val="fr-FR"/>
        </w:rPr>
        <w:t>évaluation d</w:t>
      </w:r>
      <w:r w:rsidR="00851849">
        <w:rPr>
          <w:sz w:val="22"/>
          <w:szCs w:val="22"/>
          <w:lang w:val="fr-FR"/>
        </w:rPr>
        <w:t>’</w:t>
      </w:r>
      <w:r w:rsidRPr="00527098">
        <w:rPr>
          <w:sz w:val="22"/>
          <w:szCs w:val="22"/>
          <w:lang w:val="fr-FR"/>
        </w:rPr>
        <w:t xml:space="preserve">IRP sur </w:t>
      </w:r>
      <w:r w:rsidR="002B2B8E">
        <w:rPr>
          <w:sz w:val="22"/>
          <w:szCs w:val="22"/>
          <w:lang w:val="fr-FR"/>
        </w:rPr>
        <w:t>place</w:t>
      </w:r>
      <w:r w:rsidRPr="00527098">
        <w:rPr>
          <w:sz w:val="22"/>
          <w:szCs w:val="22"/>
          <w:lang w:val="fr-FR"/>
        </w:rPr>
        <w:t xml:space="preserve"> de l</w:t>
      </w:r>
      <w:r w:rsidR="00851849">
        <w:rPr>
          <w:sz w:val="22"/>
          <w:szCs w:val="22"/>
          <w:lang w:val="fr-FR"/>
        </w:rPr>
        <w:t>’</w:t>
      </w:r>
      <w:r w:rsidRPr="00527098">
        <w:rPr>
          <w:sz w:val="22"/>
          <w:szCs w:val="22"/>
          <w:lang w:val="fr-FR"/>
        </w:rPr>
        <w:t xml:space="preserve">AEWA, à entreprendre avec la collaboration de la Convention de Ramsar, </w:t>
      </w:r>
      <w:r w:rsidR="002B2B8E">
        <w:rPr>
          <w:sz w:val="22"/>
          <w:szCs w:val="22"/>
          <w:lang w:val="fr-FR"/>
        </w:rPr>
        <w:t xml:space="preserve">la </w:t>
      </w:r>
      <w:r w:rsidRPr="00527098">
        <w:rPr>
          <w:sz w:val="22"/>
          <w:szCs w:val="22"/>
          <w:lang w:val="fr-FR"/>
        </w:rPr>
        <w:t>Convention de Berne et le CAFF.</w:t>
      </w:r>
      <w:r w:rsidR="000626A7" w:rsidRPr="00A674BE">
        <w:rPr>
          <w:sz w:val="22"/>
          <w:szCs w:val="22"/>
          <w:lang w:val="fr-FR"/>
        </w:rPr>
        <w:t xml:space="preserve"> </w:t>
      </w:r>
    </w:p>
    <w:p w:rsidR="007D7631" w:rsidRPr="00A674BE" w:rsidRDefault="007D7631" w:rsidP="00BE76D2">
      <w:pPr>
        <w:jc w:val="both"/>
        <w:rPr>
          <w:sz w:val="22"/>
          <w:szCs w:val="22"/>
          <w:lang w:val="fr-FR"/>
        </w:rPr>
      </w:pPr>
    </w:p>
    <w:p w:rsidR="000B175C" w:rsidRPr="00A674BE" w:rsidRDefault="00527098" w:rsidP="00BE76D2">
      <w:pPr>
        <w:jc w:val="both"/>
        <w:rPr>
          <w:sz w:val="22"/>
          <w:szCs w:val="22"/>
          <w:lang w:val="fr-FR"/>
        </w:rPr>
      </w:pPr>
      <w:r w:rsidRPr="00527098">
        <w:rPr>
          <w:sz w:val="22"/>
          <w:szCs w:val="22"/>
          <w:lang w:val="fr-FR"/>
        </w:rPr>
        <w:t>Au cours du mois de janvier et ensuite en mars 2015, il y a eu des échanges et</w:t>
      </w:r>
      <w:r w:rsidR="002B2B8E">
        <w:rPr>
          <w:sz w:val="22"/>
          <w:szCs w:val="22"/>
          <w:lang w:val="fr-FR"/>
        </w:rPr>
        <w:t xml:space="preserve"> </w:t>
      </w:r>
      <w:r w:rsidRPr="00527098">
        <w:rPr>
          <w:sz w:val="22"/>
          <w:szCs w:val="22"/>
          <w:lang w:val="fr-FR"/>
        </w:rPr>
        <w:t>des consultations entre le Secrétariat et le ministère au sujet de l</w:t>
      </w:r>
      <w:r w:rsidR="00851849">
        <w:rPr>
          <w:sz w:val="22"/>
          <w:szCs w:val="22"/>
          <w:lang w:val="fr-FR"/>
        </w:rPr>
        <w:t>’</w:t>
      </w:r>
      <w:r w:rsidRPr="00527098">
        <w:rPr>
          <w:sz w:val="22"/>
          <w:szCs w:val="22"/>
          <w:lang w:val="fr-FR"/>
        </w:rPr>
        <w:t xml:space="preserve">avant-projet de TDR et une date provisoire pour la mission IRP a été fixée </w:t>
      </w:r>
      <w:r w:rsidR="00C64722">
        <w:rPr>
          <w:sz w:val="22"/>
          <w:szCs w:val="22"/>
          <w:lang w:val="fr-FR"/>
        </w:rPr>
        <w:t xml:space="preserve">(du </w:t>
      </w:r>
      <w:r w:rsidRPr="00527098">
        <w:rPr>
          <w:sz w:val="22"/>
          <w:szCs w:val="22"/>
          <w:lang w:val="fr-FR"/>
        </w:rPr>
        <w:t>21</w:t>
      </w:r>
      <w:r w:rsidR="00C64722">
        <w:rPr>
          <w:sz w:val="22"/>
          <w:szCs w:val="22"/>
          <w:lang w:val="fr-FR"/>
        </w:rPr>
        <w:t xml:space="preserve"> au </w:t>
      </w:r>
      <w:r w:rsidRPr="00527098">
        <w:rPr>
          <w:sz w:val="22"/>
          <w:szCs w:val="22"/>
          <w:lang w:val="fr-FR"/>
        </w:rPr>
        <w:t>25 septembre 2015</w:t>
      </w:r>
      <w:r w:rsidR="00C64722">
        <w:rPr>
          <w:sz w:val="22"/>
          <w:szCs w:val="22"/>
          <w:lang w:val="fr-FR"/>
        </w:rPr>
        <w:t>)</w:t>
      </w:r>
      <w:r w:rsidRPr="00527098">
        <w:rPr>
          <w:sz w:val="22"/>
          <w:szCs w:val="22"/>
          <w:lang w:val="fr-FR"/>
        </w:rPr>
        <w:t>.</w:t>
      </w:r>
      <w:r w:rsidR="000B175C" w:rsidRPr="00A674BE">
        <w:rPr>
          <w:sz w:val="22"/>
          <w:szCs w:val="22"/>
          <w:lang w:val="fr-FR"/>
        </w:rPr>
        <w:t xml:space="preserve"> </w:t>
      </w:r>
    </w:p>
    <w:p w:rsidR="000B175C" w:rsidRPr="00A674BE" w:rsidRDefault="000B175C" w:rsidP="00BE76D2">
      <w:pPr>
        <w:jc w:val="both"/>
        <w:rPr>
          <w:sz w:val="22"/>
          <w:szCs w:val="22"/>
          <w:lang w:val="fr-FR"/>
        </w:rPr>
      </w:pPr>
    </w:p>
    <w:p w:rsidR="007D7631" w:rsidRPr="00A674BE" w:rsidRDefault="00527098" w:rsidP="00BE76D2">
      <w:pPr>
        <w:jc w:val="both"/>
        <w:rPr>
          <w:sz w:val="22"/>
          <w:szCs w:val="22"/>
          <w:lang w:val="fr-FR"/>
        </w:rPr>
      </w:pPr>
      <w:r w:rsidRPr="00527098">
        <w:rPr>
          <w:sz w:val="22"/>
          <w:szCs w:val="22"/>
          <w:lang w:val="fr-FR"/>
        </w:rPr>
        <w:t>En mai 2015, le ministère a fait savoir qu</w:t>
      </w:r>
      <w:r w:rsidR="00851849">
        <w:rPr>
          <w:sz w:val="22"/>
          <w:szCs w:val="22"/>
          <w:lang w:val="fr-FR"/>
        </w:rPr>
        <w:t>’</w:t>
      </w:r>
      <w:r w:rsidRPr="00527098">
        <w:rPr>
          <w:sz w:val="22"/>
          <w:szCs w:val="22"/>
          <w:lang w:val="fr-FR"/>
        </w:rPr>
        <w:t>étant donné que la mission IRP implique d</w:t>
      </w:r>
      <w:r w:rsidR="00851849">
        <w:rPr>
          <w:sz w:val="22"/>
          <w:szCs w:val="22"/>
          <w:lang w:val="fr-FR"/>
        </w:rPr>
        <w:t>’</w:t>
      </w:r>
      <w:r w:rsidRPr="00527098">
        <w:rPr>
          <w:sz w:val="22"/>
          <w:szCs w:val="22"/>
          <w:lang w:val="fr-FR"/>
        </w:rPr>
        <w:t>autre</w:t>
      </w:r>
      <w:r w:rsidR="002F4A81">
        <w:rPr>
          <w:sz w:val="22"/>
          <w:szCs w:val="22"/>
          <w:lang w:val="fr-FR"/>
        </w:rPr>
        <w:t>s</w:t>
      </w:r>
      <w:r w:rsidRPr="00527098">
        <w:rPr>
          <w:sz w:val="22"/>
          <w:szCs w:val="22"/>
          <w:lang w:val="fr-FR"/>
        </w:rPr>
        <w:t xml:space="preserve"> AME, il </w:t>
      </w:r>
      <w:r w:rsidR="002F4A81">
        <w:rPr>
          <w:sz w:val="22"/>
          <w:szCs w:val="22"/>
          <w:lang w:val="fr-FR"/>
        </w:rPr>
        <w:t>désirerait</w:t>
      </w:r>
      <w:r w:rsidRPr="00527098">
        <w:rPr>
          <w:sz w:val="22"/>
          <w:szCs w:val="22"/>
          <w:lang w:val="fr-FR"/>
        </w:rPr>
        <w:t xml:space="preserve"> les consulter séparément.</w:t>
      </w:r>
      <w:r w:rsidR="000B175C" w:rsidRPr="00A674BE">
        <w:rPr>
          <w:sz w:val="22"/>
          <w:szCs w:val="22"/>
          <w:lang w:val="fr-FR"/>
        </w:rPr>
        <w:t xml:space="preserve"> </w:t>
      </w:r>
      <w:r w:rsidR="00C64722">
        <w:rPr>
          <w:sz w:val="22"/>
          <w:szCs w:val="22"/>
          <w:lang w:val="fr-FR"/>
        </w:rPr>
        <w:t>À ces fins, l</w:t>
      </w:r>
      <w:r w:rsidRPr="008D1921">
        <w:rPr>
          <w:sz w:val="22"/>
          <w:szCs w:val="22"/>
          <w:lang w:val="fr-FR"/>
        </w:rPr>
        <w:t xml:space="preserve">e Secrétariat a fourni au ministère </w:t>
      </w:r>
      <w:r w:rsidR="008D1921" w:rsidRPr="008D1921">
        <w:rPr>
          <w:sz w:val="22"/>
          <w:szCs w:val="22"/>
          <w:lang w:val="fr-FR"/>
        </w:rPr>
        <w:t xml:space="preserve">les coordonnées des Secrétariats de </w:t>
      </w:r>
      <w:r w:rsidRPr="008D1921">
        <w:rPr>
          <w:sz w:val="22"/>
          <w:szCs w:val="22"/>
          <w:lang w:val="fr-FR"/>
        </w:rPr>
        <w:t xml:space="preserve">Ramsar, </w:t>
      </w:r>
      <w:r w:rsidR="008D1921" w:rsidRPr="008D1921">
        <w:rPr>
          <w:sz w:val="22"/>
          <w:szCs w:val="22"/>
          <w:lang w:val="fr-FR"/>
        </w:rPr>
        <w:t xml:space="preserve">de </w:t>
      </w:r>
      <w:r w:rsidRPr="008D1921">
        <w:rPr>
          <w:sz w:val="22"/>
          <w:szCs w:val="22"/>
          <w:lang w:val="fr-FR"/>
        </w:rPr>
        <w:t>Bern</w:t>
      </w:r>
      <w:r w:rsidR="008D1921" w:rsidRPr="008D1921">
        <w:rPr>
          <w:sz w:val="22"/>
          <w:szCs w:val="22"/>
          <w:lang w:val="fr-FR"/>
        </w:rPr>
        <w:t>e et du</w:t>
      </w:r>
      <w:r w:rsidRPr="008D1921">
        <w:rPr>
          <w:sz w:val="22"/>
          <w:szCs w:val="22"/>
          <w:lang w:val="fr-FR"/>
        </w:rPr>
        <w:t xml:space="preserve"> C</w:t>
      </w:r>
      <w:r w:rsidR="008D1921" w:rsidRPr="008D1921">
        <w:rPr>
          <w:sz w:val="22"/>
          <w:szCs w:val="22"/>
          <w:lang w:val="fr-FR"/>
        </w:rPr>
        <w:t>AFF</w:t>
      </w:r>
      <w:r w:rsidRPr="008D1921">
        <w:rPr>
          <w:sz w:val="22"/>
          <w:szCs w:val="22"/>
          <w:lang w:val="fr-FR"/>
        </w:rPr>
        <w:t>.</w:t>
      </w:r>
      <w:r w:rsidR="000B175C" w:rsidRPr="00A674BE">
        <w:rPr>
          <w:sz w:val="22"/>
          <w:szCs w:val="22"/>
          <w:lang w:val="fr-FR"/>
        </w:rPr>
        <w:t xml:space="preserve"> </w:t>
      </w:r>
    </w:p>
    <w:p w:rsidR="000B175C" w:rsidRPr="00A674BE" w:rsidRDefault="000B175C" w:rsidP="00BE76D2">
      <w:pPr>
        <w:jc w:val="both"/>
        <w:rPr>
          <w:sz w:val="22"/>
          <w:szCs w:val="22"/>
          <w:lang w:val="fr-FR"/>
        </w:rPr>
      </w:pPr>
    </w:p>
    <w:p w:rsidR="00EE0228" w:rsidRPr="00A674BE" w:rsidRDefault="008D1921" w:rsidP="00BE76D2">
      <w:pPr>
        <w:jc w:val="both"/>
        <w:rPr>
          <w:sz w:val="22"/>
          <w:szCs w:val="22"/>
          <w:lang w:val="fr-FR"/>
        </w:rPr>
      </w:pPr>
      <w:r w:rsidRPr="008D1921">
        <w:rPr>
          <w:sz w:val="22"/>
          <w:szCs w:val="22"/>
          <w:lang w:val="fr-FR"/>
        </w:rPr>
        <w:t>Le 1</w:t>
      </w:r>
      <w:r w:rsidRPr="008D1921">
        <w:rPr>
          <w:sz w:val="22"/>
          <w:szCs w:val="22"/>
          <w:vertAlign w:val="superscript"/>
          <w:lang w:val="fr-FR"/>
        </w:rPr>
        <w:t>er</w:t>
      </w:r>
      <w:r w:rsidRPr="008D1921">
        <w:rPr>
          <w:sz w:val="22"/>
          <w:szCs w:val="22"/>
          <w:lang w:val="fr-FR"/>
        </w:rPr>
        <w:t xml:space="preserve"> septembre 2015, le Secrétariat a reçu une version révisée des TDR de la part du ministère, réduisant la portée et les objectifs de la mission et limitant également le rôle d</w:t>
      </w:r>
      <w:r w:rsidR="00851849">
        <w:rPr>
          <w:sz w:val="22"/>
          <w:szCs w:val="22"/>
          <w:lang w:val="fr-FR"/>
        </w:rPr>
        <w:t>’</w:t>
      </w:r>
      <w:r w:rsidRPr="008D1921">
        <w:rPr>
          <w:sz w:val="22"/>
          <w:szCs w:val="22"/>
          <w:lang w:val="fr-FR"/>
        </w:rPr>
        <w:t>autres accords en excluant la Convention de Ramsar et le CAFF.</w:t>
      </w:r>
    </w:p>
    <w:p w:rsidR="00EE0228" w:rsidRPr="00A674BE" w:rsidRDefault="00EE0228" w:rsidP="00BE76D2">
      <w:pPr>
        <w:jc w:val="both"/>
        <w:rPr>
          <w:sz w:val="22"/>
          <w:szCs w:val="22"/>
          <w:lang w:val="fr-FR"/>
        </w:rPr>
      </w:pPr>
    </w:p>
    <w:p w:rsidR="002A2B5E" w:rsidRPr="00A674BE" w:rsidRDefault="008D1921" w:rsidP="00BE76D2">
      <w:pPr>
        <w:jc w:val="both"/>
        <w:rPr>
          <w:b/>
          <w:sz w:val="22"/>
          <w:szCs w:val="22"/>
          <w:lang w:val="fr-FR"/>
        </w:rPr>
      </w:pPr>
      <w:r w:rsidRPr="008D1921">
        <w:rPr>
          <w:b/>
          <w:sz w:val="22"/>
          <w:szCs w:val="22"/>
          <w:lang w:val="fr-FR"/>
        </w:rPr>
        <w:t>Suivi</w:t>
      </w:r>
    </w:p>
    <w:p w:rsidR="002A2B5E" w:rsidRPr="00A674BE" w:rsidRDefault="002A2B5E" w:rsidP="00BE76D2">
      <w:pPr>
        <w:jc w:val="both"/>
        <w:rPr>
          <w:sz w:val="22"/>
          <w:szCs w:val="22"/>
          <w:lang w:val="fr-FR"/>
        </w:rPr>
      </w:pPr>
    </w:p>
    <w:p w:rsidR="002A2B5E" w:rsidRPr="00A674BE" w:rsidRDefault="008D1921" w:rsidP="00BE76D2">
      <w:pPr>
        <w:jc w:val="both"/>
        <w:rPr>
          <w:sz w:val="22"/>
          <w:szCs w:val="22"/>
          <w:lang w:val="fr-FR"/>
        </w:rPr>
      </w:pPr>
      <w:r w:rsidRPr="008D1921">
        <w:rPr>
          <w:sz w:val="22"/>
          <w:szCs w:val="22"/>
          <w:lang w:val="fr-FR"/>
        </w:rPr>
        <w:t>Au moment de la rédaction de ce document, le Comité permanent de l</w:t>
      </w:r>
      <w:r w:rsidR="00851849">
        <w:rPr>
          <w:sz w:val="22"/>
          <w:szCs w:val="22"/>
          <w:lang w:val="fr-FR"/>
        </w:rPr>
        <w:t>’</w:t>
      </w:r>
      <w:r w:rsidRPr="008D1921">
        <w:rPr>
          <w:sz w:val="22"/>
          <w:szCs w:val="22"/>
          <w:lang w:val="fr-FR"/>
        </w:rPr>
        <w:t>AEWA doit examiner la réaction du ministère et se prononcer sur la version proposée et la réduction de la portée.</w:t>
      </w:r>
      <w:r w:rsidR="002A2B5E" w:rsidRPr="00A674BE">
        <w:rPr>
          <w:sz w:val="22"/>
          <w:szCs w:val="22"/>
          <w:lang w:val="fr-FR"/>
        </w:rPr>
        <w:t xml:space="preserve"> </w:t>
      </w:r>
      <w:r w:rsidRPr="008D1921">
        <w:rPr>
          <w:sz w:val="22"/>
          <w:szCs w:val="22"/>
          <w:lang w:val="fr-FR"/>
        </w:rPr>
        <w:t>La mission est reprogrammée pour le deuxième trimestre de 2016, car la date de 2015 n</w:t>
      </w:r>
      <w:r w:rsidR="00851849">
        <w:rPr>
          <w:sz w:val="22"/>
          <w:szCs w:val="22"/>
          <w:lang w:val="fr-FR"/>
        </w:rPr>
        <w:t>’</w:t>
      </w:r>
      <w:r w:rsidRPr="008D1921">
        <w:rPr>
          <w:sz w:val="22"/>
          <w:szCs w:val="22"/>
          <w:lang w:val="fr-FR"/>
        </w:rPr>
        <w:t>est plus réalisable.</w:t>
      </w:r>
      <w:r w:rsidR="002A2B5E" w:rsidRPr="00A674BE">
        <w:rPr>
          <w:sz w:val="22"/>
          <w:szCs w:val="22"/>
          <w:lang w:val="fr-FR"/>
        </w:rPr>
        <w:t xml:space="preserve"> </w:t>
      </w:r>
    </w:p>
    <w:p w:rsidR="002A2B5E" w:rsidRPr="00A674BE" w:rsidRDefault="002A2B5E" w:rsidP="00BE76D2">
      <w:pPr>
        <w:jc w:val="both"/>
        <w:rPr>
          <w:sz w:val="22"/>
          <w:szCs w:val="22"/>
          <w:lang w:val="fr-FR"/>
        </w:rPr>
      </w:pPr>
    </w:p>
    <w:p w:rsidR="002A2B5E" w:rsidRPr="00A674BE" w:rsidRDefault="002A2B5E" w:rsidP="00BE76D2">
      <w:pPr>
        <w:jc w:val="both"/>
        <w:rPr>
          <w:sz w:val="22"/>
          <w:szCs w:val="22"/>
          <w:lang w:val="fr-FR"/>
        </w:rPr>
      </w:pPr>
    </w:p>
    <w:p w:rsidR="000B175C" w:rsidRPr="00A674BE" w:rsidRDefault="00EE0228" w:rsidP="00BE76D2">
      <w:pPr>
        <w:jc w:val="both"/>
        <w:rPr>
          <w:sz w:val="22"/>
          <w:szCs w:val="22"/>
          <w:lang w:val="fr-FR"/>
        </w:rPr>
      </w:pPr>
      <w:r w:rsidRPr="00A674BE">
        <w:rPr>
          <w:sz w:val="22"/>
          <w:szCs w:val="22"/>
          <w:lang w:val="fr-FR"/>
        </w:rPr>
        <w:t xml:space="preserve"> </w:t>
      </w:r>
    </w:p>
    <w:sectPr w:rsidR="000B175C" w:rsidRPr="00A674BE" w:rsidSect="00251ED6">
      <w:headerReference w:type="default" r:id="rId13"/>
      <w:footerReference w:type="default" r:id="rId14"/>
      <w:pgSz w:w="11907" w:h="16840" w:code="9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49" w:rsidRDefault="00851849" w:rsidP="00797EA2">
      <w:r>
        <w:separator/>
      </w:r>
    </w:p>
  </w:endnote>
  <w:endnote w:type="continuationSeparator" w:id="0">
    <w:p w:rsidR="00851849" w:rsidRDefault="00851849" w:rsidP="007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9" w:rsidRPr="00DA6C08" w:rsidRDefault="00851849">
    <w:pPr>
      <w:pStyle w:val="Footer"/>
      <w:jc w:val="center"/>
      <w:rPr>
        <w:sz w:val="20"/>
        <w:szCs w:val="20"/>
      </w:rPr>
    </w:pPr>
  </w:p>
  <w:p w:rsidR="00851849" w:rsidRDefault="00851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04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51849" w:rsidRPr="00DA6C08" w:rsidRDefault="000A4F54">
        <w:pPr>
          <w:pStyle w:val="Footer"/>
          <w:jc w:val="center"/>
          <w:rPr>
            <w:sz w:val="20"/>
            <w:szCs w:val="20"/>
          </w:rPr>
        </w:pPr>
        <w:r w:rsidRPr="00DA6C08">
          <w:rPr>
            <w:sz w:val="20"/>
            <w:szCs w:val="20"/>
          </w:rPr>
          <w:fldChar w:fldCharType="begin"/>
        </w:r>
        <w:r w:rsidR="00851849" w:rsidRPr="00DA6C08">
          <w:rPr>
            <w:sz w:val="20"/>
            <w:szCs w:val="20"/>
          </w:rPr>
          <w:instrText xml:space="preserve"> PAGE   \* MERGEFORMAT </w:instrText>
        </w:r>
        <w:r w:rsidRPr="00DA6C08">
          <w:rPr>
            <w:sz w:val="20"/>
            <w:szCs w:val="20"/>
          </w:rPr>
          <w:fldChar w:fldCharType="separate"/>
        </w:r>
        <w:r w:rsidR="00A674BE">
          <w:rPr>
            <w:noProof/>
            <w:sz w:val="20"/>
            <w:szCs w:val="20"/>
          </w:rPr>
          <w:t>2</w:t>
        </w:r>
        <w:r w:rsidRPr="00DA6C08">
          <w:rPr>
            <w:noProof/>
            <w:sz w:val="20"/>
            <w:szCs w:val="20"/>
          </w:rPr>
          <w:fldChar w:fldCharType="end"/>
        </w:r>
      </w:p>
    </w:sdtContent>
  </w:sdt>
  <w:p w:rsidR="00851849" w:rsidRDefault="00851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9" w:rsidRPr="003638F1" w:rsidRDefault="000A4F54" w:rsidP="00807DF2">
    <w:pPr>
      <w:pStyle w:val="Footer"/>
      <w:jc w:val="center"/>
      <w:rPr>
        <w:sz w:val="20"/>
        <w:szCs w:val="20"/>
      </w:rPr>
    </w:pPr>
    <w:r w:rsidRPr="003638F1">
      <w:rPr>
        <w:sz w:val="20"/>
        <w:szCs w:val="20"/>
      </w:rPr>
      <w:fldChar w:fldCharType="begin"/>
    </w:r>
    <w:r w:rsidR="00851849" w:rsidRPr="003638F1">
      <w:rPr>
        <w:sz w:val="20"/>
        <w:szCs w:val="20"/>
      </w:rPr>
      <w:instrText xml:space="preserve"> PAGE   \* MERGEFORMAT </w:instrText>
    </w:r>
    <w:r w:rsidRPr="003638F1">
      <w:rPr>
        <w:sz w:val="20"/>
        <w:szCs w:val="20"/>
      </w:rPr>
      <w:fldChar w:fldCharType="separate"/>
    </w:r>
    <w:r w:rsidR="00A674BE">
      <w:rPr>
        <w:noProof/>
        <w:sz w:val="20"/>
        <w:szCs w:val="20"/>
      </w:rPr>
      <w:t>11</w:t>
    </w:r>
    <w:r w:rsidRPr="003638F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49" w:rsidRDefault="00851849" w:rsidP="00797EA2">
      <w:r>
        <w:separator/>
      </w:r>
    </w:p>
  </w:footnote>
  <w:footnote w:type="continuationSeparator" w:id="0">
    <w:p w:rsidR="00851849" w:rsidRDefault="00851849" w:rsidP="0079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245"/>
      <w:gridCol w:w="2409"/>
    </w:tblGrid>
    <w:tr w:rsidR="0079465E" w:rsidTr="00DF42E5">
      <w:trPr>
        <w:trHeight w:val="1256"/>
      </w:trPr>
      <w:tc>
        <w:tcPr>
          <w:tcW w:w="1985" w:type="dxa"/>
        </w:tcPr>
        <w:p w:rsidR="0079465E" w:rsidRDefault="0079465E" w:rsidP="00DF42E5">
          <w:r>
            <w:rPr>
              <w:noProof/>
            </w:rPr>
            <w:drawing>
              <wp:inline distT="0" distB="0" distL="0" distR="0">
                <wp:extent cx="838200" cy="685800"/>
                <wp:effectExtent l="0" t="0" r="0" b="0"/>
                <wp:docPr id="2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79465E" w:rsidRPr="00A674BE" w:rsidRDefault="0079465E" w:rsidP="00DF42E5">
          <w:pPr>
            <w:jc w:val="center"/>
            <w:rPr>
              <w:i/>
              <w:caps/>
              <w:lang w:val="fr-FR"/>
            </w:rPr>
          </w:pPr>
          <w:r w:rsidRPr="00A674BE">
            <w:rPr>
              <w:i/>
              <w:caps/>
              <w:sz w:val="22"/>
              <w:szCs w:val="22"/>
              <w:lang w:val="fr-FR"/>
            </w:rPr>
            <w:t>A</w:t>
          </w:r>
          <w:r w:rsidR="00EA0472" w:rsidRPr="00A674BE">
            <w:rPr>
              <w:i/>
              <w:caps/>
              <w:sz w:val="22"/>
              <w:szCs w:val="22"/>
              <w:lang w:val="fr-FR"/>
            </w:rPr>
            <w:t>CCord sur la Conservation des oiseaux</w:t>
          </w:r>
          <w:r w:rsidRPr="00A674BE">
            <w:rPr>
              <w:i/>
              <w:caps/>
              <w:sz w:val="22"/>
              <w:szCs w:val="22"/>
              <w:lang w:val="fr-FR"/>
            </w:rPr>
            <w:t xml:space="preserve"> </w:t>
          </w:r>
        </w:p>
        <w:p w:rsidR="0079465E" w:rsidRPr="007E1121" w:rsidRDefault="00EA0472" w:rsidP="00DF42E5">
          <w:pPr>
            <w:tabs>
              <w:tab w:val="left" w:pos="2415"/>
            </w:tabs>
            <w:jc w:val="center"/>
          </w:pPr>
          <w:r>
            <w:rPr>
              <w:i/>
              <w:caps/>
              <w:sz w:val="22"/>
              <w:szCs w:val="22"/>
            </w:rPr>
            <w:t>Migrateurs d'afrique-Eurasie</w:t>
          </w:r>
        </w:p>
      </w:tc>
      <w:tc>
        <w:tcPr>
          <w:tcW w:w="2409" w:type="dxa"/>
        </w:tcPr>
        <w:p w:rsidR="0079465E" w:rsidRPr="00A674BE" w:rsidRDefault="0079465E" w:rsidP="00DF42E5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A674BE">
            <w:rPr>
              <w:i/>
              <w:iCs/>
              <w:sz w:val="20"/>
              <w:szCs w:val="20"/>
              <w:lang w:val="fr-FR"/>
            </w:rPr>
            <w:t xml:space="preserve">Doc: </w:t>
          </w:r>
          <w:r w:rsidRPr="00A674BE">
            <w:rPr>
              <w:bCs/>
              <w:i/>
              <w:iCs/>
              <w:sz w:val="20"/>
              <w:szCs w:val="20"/>
              <w:lang w:val="fr-FR"/>
            </w:rPr>
            <w:t>AEWA/MOP 6.17</w:t>
          </w:r>
        </w:p>
        <w:p w:rsidR="0079465E" w:rsidRPr="00A674BE" w:rsidRDefault="00EA0472" w:rsidP="00DF42E5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A674BE">
            <w:rPr>
              <w:i/>
              <w:iCs/>
              <w:sz w:val="20"/>
              <w:szCs w:val="20"/>
              <w:lang w:val="fr-FR"/>
            </w:rPr>
            <w:t xml:space="preserve">Point </w:t>
          </w:r>
          <w:r w:rsidR="0079465E" w:rsidRPr="00A674BE">
            <w:rPr>
              <w:i/>
              <w:iCs/>
              <w:sz w:val="20"/>
              <w:szCs w:val="20"/>
              <w:lang w:val="fr-FR"/>
            </w:rPr>
            <w:t>16</w:t>
          </w:r>
          <w:r w:rsidRPr="00A674BE">
            <w:rPr>
              <w:i/>
              <w:iCs/>
              <w:sz w:val="20"/>
              <w:szCs w:val="20"/>
              <w:lang w:val="fr-FR"/>
            </w:rPr>
            <w:t xml:space="preserve"> de l'ordre du jour</w:t>
          </w:r>
        </w:p>
        <w:p w:rsidR="0079465E" w:rsidRDefault="0079465E" w:rsidP="00DF42E5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 xml:space="preserve">Original: </w:t>
          </w:r>
          <w:r w:rsidR="00EA0472">
            <w:rPr>
              <w:bCs/>
              <w:i/>
              <w:iCs/>
              <w:sz w:val="20"/>
              <w:szCs w:val="20"/>
            </w:rPr>
            <w:t>Anglais</w:t>
          </w:r>
        </w:p>
        <w:p w:rsidR="0079465E" w:rsidRDefault="0079465E" w:rsidP="00DF42E5">
          <w:pPr>
            <w:jc w:val="right"/>
            <w:rPr>
              <w:bCs/>
              <w:i/>
              <w:iCs/>
              <w:sz w:val="20"/>
              <w:szCs w:val="20"/>
            </w:rPr>
          </w:pPr>
        </w:p>
        <w:p w:rsidR="0079465E" w:rsidRDefault="0079465E" w:rsidP="00EA0472">
          <w:pPr>
            <w:jc w:val="right"/>
            <w:rPr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 xml:space="preserve">Date: </w:t>
          </w:r>
          <w:r w:rsidR="00A674BE">
            <w:rPr>
              <w:i/>
              <w:iCs/>
              <w:sz w:val="20"/>
              <w:szCs w:val="20"/>
            </w:rPr>
            <w:t>10 septembre</w:t>
          </w:r>
          <w:r>
            <w:rPr>
              <w:i/>
              <w:iCs/>
              <w:sz w:val="20"/>
              <w:szCs w:val="20"/>
            </w:rPr>
            <w:t xml:space="preserve"> </w:t>
          </w:r>
          <w:r w:rsidRPr="00D801A7">
            <w:rPr>
              <w:i/>
              <w:iCs/>
              <w:sz w:val="20"/>
              <w:szCs w:val="20"/>
            </w:rPr>
            <w:t>20</w:t>
          </w:r>
          <w:r>
            <w:rPr>
              <w:i/>
              <w:iCs/>
              <w:sz w:val="20"/>
              <w:szCs w:val="20"/>
            </w:rPr>
            <w:t>15</w:t>
          </w:r>
        </w:p>
        <w:p w:rsidR="00EA0472" w:rsidRDefault="00EA0472" w:rsidP="00EA0472">
          <w:pPr>
            <w:jc w:val="right"/>
          </w:pPr>
        </w:p>
      </w:tc>
    </w:tr>
    <w:tr w:rsidR="0079465E" w:rsidTr="00DF42E5">
      <w:tc>
        <w:tcPr>
          <w:tcW w:w="9639" w:type="dxa"/>
          <w:gridSpan w:val="3"/>
        </w:tcPr>
        <w:p w:rsidR="0079465E" w:rsidRPr="00A674BE" w:rsidRDefault="0079465E" w:rsidP="00DF42E5">
          <w:pPr>
            <w:pStyle w:val="BodyText2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A674BE">
            <w:rPr>
              <w:b/>
              <w:bCs/>
              <w:sz w:val="26"/>
              <w:szCs w:val="26"/>
              <w:lang w:val="fr-FR"/>
            </w:rPr>
            <w:t>6</w:t>
          </w:r>
          <w:r w:rsidR="00EA0472" w:rsidRPr="00EA0472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674BE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A674BE">
            <w:rPr>
              <w:b/>
              <w:bCs/>
              <w:caps/>
              <w:sz w:val="26"/>
              <w:szCs w:val="26"/>
              <w:lang w:val="fr-FR"/>
            </w:rPr>
            <w:t xml:space="preserve">Session </w:t>
          </w:r>
          <w:r w:rsidR="00EA0472" w:rsidRPr="00A674BE">
            <w:rPr>
              <w:b/>
              <w:bCs/>
              <w:caps/>
              <w:sz w:val="26"/>
              <w:szCs w:val="26"/>
              <w:lang w:val="fr-FR"/>
            </w:rPr>
            <w:t>de la r</w:t>
          </w:r>
          <w:r w:rsidR="00EA0472" w:rsidRPr="00424FB6">
            <w:rPr>
              <w:b/>
              <w:bCs/>
              <w:caps/>
              <w:sz w:val="26"/>
              <w:szCs w:val="26"/>
              <w:lang w:val="fr-FR"/>
            </w:rPr>
            <w:t>É</w:t>
          </w:r>
          <w:r w:rsidR="00EA0472">
            <w:rPr>
              <w:b/>
              <w:bCs/>
              <w:caps/>
              <w:sz w:val="26"/>
              <w:szCs w:val="26"/>
              <w:lang w:val="fr-FR"/>
            </w:rPr>
            <w:t xml:space="preserve">union des </w:t>
          </w:r>
          <w:r w:rsidRPr="00A674BE">
            <w:rPr>
              <w:b/>
              <w:bCs/>
              <w:caps/>
              <w:sz w:val="26"/>
              <w:szCs w:val="26"/>
              <w:lang w:val="fr-FR"/>
            </w:rPr>
            <w:t>Parties</w:t>
          </w:r>
          <w:r w:rsidR="00EA0472" w:rsidRPr="00A674BE">
            <w:rPr>
              <w:b/>
              <w:bCs/>
              <w:caps/>
              <w:sz w:val="26"/>
              <w:szCs w:val="26"/>
              <w:lang w:val="fr-FR"/>
            </w:rPr>
            <w:t xml:space="preserve"> contractantes</w:t>
          </w:r>
        </w:p>
        <w:p w:rsidR="0079465E" w:rsidRDefault="0079465E" w:rsidP="00EA0472">
          <w:pPr>
            <w:jc w:val="center"/>
            <w:rPr>
              <w:i/>
              <w:iCs/>
            </w:rPr>
          </w:pPr>
          <w:r>
            <w:rPr>
              <w:i/>
              <w:iCs/>
            </w:rPr>
            <w:t>9-</w:t>
          </w:r>
          <w:r w:rsidRPr="00644611">
            <w:rPr>
              <w:i/>
              <w:iCs/>
            </w:rPr>
            <w:t>1</w:t>
          </w:r>
          <w:r>
            <w:rPr>
              <w:i/>
              <w:iCs/>
            </w:rPr>
            <w:t>4</w:t>
          </w:r>
          <w:r w:rsidRPr="00644611">
            <w:rPr>
              <w:i/>
              <w:iCs/>
            </w:rPr>
            <w:t xml:space="preserve"> </w:t>
          </w:r>
          <w:r w:rsidR="00EA0472">
            <w:rPr>
              <w:i/>
              <w:iCs/>
            </w:rPr>
            <w:t>novembre</w:t>
          </w:r>
          <w:r>
            <w:rPr>
              <w:i/>
              <w:iCs/>
            </w:rPr>
            <w:t xml:space="preserve"> </w:t>
          </w:r>
          <w:r w:rsidRPr="00644611">
            <w:rPr>
              <w:i/>
              <w:iCs/>
            </w:rPr>
            <w:t>201</w:t>
          </w:r>
          <w:r>
            <w:rPr>
              <w:i/>
              <w:iCs/>
            </w:rPr>
            <w:t>5</w:t>
          </w:r>
          <w:r w:rsidRPr="00644611">
            <w:rPr>
              <w:i/>
              <w:iCs/>
            </w:rPr>
            <w:t xml:space="preserve">, </w:t>
          </w:r>
          <w:r>
            <w:rPr>
              <w:i/>
              <w:iCs/>
            </w:rPr>
            <w:t>Bonn</w:t>
          </w:r>
          <w:r w:rsidRPr="00644611">
            <w:rPr>
              <w:i/>
              <w:iCs/>
            </w:rPr>
            <w:t xml:space="preserve">, </w:t>
          </w:r>
          <w:r w:rsidR="00EA0472">
            <w:rPr>
              <w:i/>
              <w:iCs/>
            </w:rPr>
            <w:t>Allemagne</w:t>
          </w:r>
        </w:p>
        <w:p w:rsidR="00EA0472" w:rsidRPr="009E3956" w:rsidRDefault="00EA0472" w:rsidP="00EA0472">
          <w:pPr>
            <w:jc w:val="center"/>
            <w:rPr>
              <w:i/>
            </w:rPr>
          </w:pPr>
        </w:p>
      </w:tc>
    </w:tr>
    <w:tr w:rsidR="00EA0472" w:rsidRPr="00A674BE" w:rsidTr="005D244B">
      <w:trPr>
        <w:trHeight w:val="702"/>
      </w:trPr>
      <w:tc>
        <w:tcPr>
          <w:tcW w:w="9639" w:type="dxa"/>
          <w:gridSpan w:val="3"/>
          <w:tcBorders>
            <w:bottom w:val="single" w:sz="8" w:space="0" w:color="auto"/>
          </w:tcBorders>
        </w:tcPr>
        <w:p w:rsidR="00EA0472" w:rsidRPr="00A674BE" w:rsidRDefault="00EA0472" w:rsidP="00EA0472">
          <w:pPr>
            <w:jc w:val="center"/>
            <w:rPr>
              <w:lang w:val="fr-FR"/>
            </w:rPr>
          </w:pPr>
          <w:r w:rsidRPr="006C53D0">
            <w:rPr>
              <w:bCs/>
              <w:i/>
              <w:lang w:val="fr-FR"/>
            </w:rPr>
            <w:t>« Concrétiser la conservation au niveau de la voie de migration »</w:t>
          </w:r>
        </w:p>
      </w:tc>
    </w:tr>
  </w:tbl>
  <w:p w:rsidR="00851849" w:rsidRPr="00A674BE" w:rsidRDefault="00851849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9" w:rsidRDefault="00851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9" w:rsidRDefault="00851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022B"/>
    <w:multiLevelType w:val="hybridMultilevel"/>
    <w:tmpl w:val="B75CF7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61CC"/>
    <w:multiLevelType w:val="hybridMultilevel"/>
    <w:tmpl w:val="02D874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ID" w:val="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_x000d__x000a_1D33D7eqdm8821596750 (cca.nl) Catherine"/>
    <w:docVar w:name="WfLastSegment" w:val="55071 n"/>
    <w:docVar w:name="WfMT" w:val="0"/>
    <w:docVar w:name="WfProtection" w:val="1"/>
    <w:docVar w:name="WfStyles" w:val=" 265   no"/>
  </w:docVars>
  <w:rsids>
    <w:rsidRoot w:val="0037097E"/>
    <w:rsid w:val="0000003C"/>
    <w:rsid w:val="000003B5"/>
    <w:rsid w:val="0000322A"/>
    <w:rsid w:val="000049AA"/>
    <w:rsid w:val="00005DDC"/>
    <w:rsid w:val="00007CB6"/>
    <w:rsid w:val="00010216"/>
    <w:rsid w:val="00010798"/>
    <w:rsid w:val="0001309F"/>
    <w:rsid w:val="00014DC2"/>
    <w:rsid w:val="00020DD7"/>
    <w:rsid w:val="00021D0C"/>
    <w:rsid w:val="00023CE0"/>
    <w:rsid w:val="000265AB"/>
    <w:rsid w:val="0003013E"/>
    <w:rsid w:val="0003218D"/>
    <w:rsid w:val="000332EB"/>
    <w:rsid w:val="00033FA4"/>
    <w:rsid w:val="000368BE"/>
    <w:rsid w:val="00040250"/>
    <w:rsid w:val="00041649"/>
    <w:rsid w:val="00041795"/>
    <w:rsid w:val="000420C9"/>
    <w:rsid w:val="00044698"/>
    <w:rsid w:val="0004721A"/>
    <w:rsid w:val="000500DA"/>
    <w:rsid w:val="000515EE"/>
    <w:rsid w:val="000516CC"/>
    <w:rsid w:val="0005283B"/>
    <w:rsid w:val="00054556"/>
    <w:rsid w:val="00054BED"/>
    <w:rsid w:val="00054DAD"/>
    <w:rsid w:val="00055AA0"/>
    <w:rsid w:val="0005611A"/>
    <w:rsid w:val="000569B4"/>
    <w:rsid w:val="00057243"/>
    <w:rsid w:val="000573BC"/>
    <w:rsid w:val="0005767B"/>
    <w:rsid w:val="00057B65"/>
    <w:rsid w:val="000603D4"/>
    <w:rsid w:val="000623CB"/>
    <w:rsid w:val="000626A7"/>
    <w:rsid w:val="0006290A"/>
    <w:rsid w:val="00062FF5"/>
    <w:rsid w:val="00064121"/>
    <w:rsid w:val="0006611A"/>
    <w:rsid w:val="00067445"/>
    <w:rsid w:val="000700DA"/>
    <w:rsid w:val="00071098"/>
    <w:rsid w:val="000714FD"/>
    <w:rsid w:val="00071D0E"/>
    <w:rsid w:val="00071F88"/>
    <w:rsid w:val="00072F5F"/>
    <w:rsid w:val="00074454"/>
    <w:rsid w:val="0007499B"/>
    <w:rsid w:val="00075163"/>
    <w:rsid w:val="00076D6E"/>
    <w:rsid w:val="00077A8F"/>
    <w:rsid w:val="0008039B"/>
    <w:rsid w:val="00080BE8"/>
    <w:rsid w:val="000817EF"/>
    <w:rsid w:val="00084A43"/>
    <w:rsid w:val="000917DE"/>
    <w:rsid w:val="00091E9C"/>
    <w:rsid w:val="00091EF2"/>
    <w:rsid w:val="00093EC8"/>
    <w:rsid w:val="00095AF3"/>
    <w:rsid w:val="0009693D"/>
    <w:rsid w:val="00097A00"/>
    <w:rsid w:val="000A0898"/>
    <w:rsid w:val="000A2376"/>
    <w:rsid w:val="000A277A"/>
    <w:rsid w:val="000A2C48"/>
    <w:rsid w:val="000A3F7A"/>
    <w:rsid w:val="000A4F4C"/>
    <w:rsid w:val="000A4F54"/>
    <w:rsid w:val="000B175C"/>
    <w:rsid w:val="000B3FF1"/>
    <w:rsid w:val="000B5E61"/>
    <w:rsid w:val="000B6395"/>
    <w:rsid w:val="000C1250"/>
    <w:rsid w:val="000C51D8"/>
    <w:rsid w:val="000C5B8A"/>
    <w:rsid w:val="000C6BB0"/>
    <w:rsid w:val="000D0C1C"/>
    <w:rsid w:val="000D1062"/>
    <w:rsid w:val="000D4C5D"/>
    <w:rsid w:val="000D67FD"/>
    <w:rsid w:val="000E0804"/>
    <w:rsid w:val="000E3A27"/>
    <w:rsid w:val="000E3B1B"/>
    <w:rsid w:val="000E7C6D"/>
    <w:rsid w:val="000F19FF"/>
    <w:rsid w:val="000F4341"/>
    <w:rsid w:val="000F6B17"/>
    <w:rsid w:val="000F7135"/>
    <w:rsid w:val="001019EF"/>
    <w:rsid w:val="00102C21"/>
    <w:rsid w:val="00103A80"/>
    <w:rsid w:val="00105651"/>
    <w:rsid w:val="001079D8"/>
    <w:rsid w:val="00107A86"/>
    <w:rsid w:val="00107DD2"/>
    <w:rsid w:val="00112450"/>
    <w:rsid w:val="00113FA1"/>
    <w:rsid w:val="00116D98"/>
    <w:rsid w:val="00116FB2"/>
    <w:rsid w:val="001177B9"/>
    <w:rsid w:val="001222A4"/>
    <w:rsid w:val="00126CED"/>
    <w:rsid w:val="00127278"/>
    <w:rsid w:val="001279B8"/>
    <w:rsid w:val="0013037A"/>
    <w:rsid w:val="00131A3D"/>
    <w:rsid w:val="001354B0"/>
    <w:rsid w:val="00135CE3"/>
    <w:rsid w:val="00140C01"/>
    <w:rsid w:val="00141AEA"/>
    <w:rsid w:val="0014497A"/>
    <w:rsid w:val="00144F0B"/>
    <w:rsid w:val="00145474"/>
    <w:rsid w:val="00145483"/>
    <w:rsid w:val="00145540"/>
    <w:rsid w:val="001465B2"/>
    <w:rsid w:val="0014727C"/>
    <w:rsid w:val="00150F72"/>
    <w:rsid w:val="00151639"/>
    <w:rsid w:val="001518E4"/>
    <w:rsid w:val="00151A42"/>
    <w:rsid w:val="00157DCD"/>
    <w:rsid w:val="00160732"/>
    <w:rsid w:val="00161B5A"/>
    <w:rsid w:val="0016266F"/>
    <w:rsid w:val="001633A6"/>
    <w:rsid w:val="001707B6"/>
    <w:rsid w:val="00170D09"/>
    <w:rsid w:val="00173E2B"/>
    <w:rsid w:val="00176B0B"/>
    <w:rsid w:val="001778D6"/>
    <w:rsid w:val="00180F6E"/>
    <w:rsid w:val="0018533A"/>
    <w:rsid w:val="00185F95"/>
    <w:rsid w:val="00186083"/>
    <w:rsid w:val="00187495"/>
    <w:rsid w:val="00192337"/>
    <w:rsid w:val="0019306B"/>
    <w:rsid w:val="001A0C2B"/>
    <w:rsid w:val="001A1C31"/>
    <w:rsid w:val="001A535E"/>
    <w:rsid w:val="001A5740"/>
    <w:rsid w:val="001A70EE"/>
    <w:rsid w:val="001B2E07"/>
    <w:rsid w:val="001B4099"/>
    <w:rsid w:val="001C1C44"/>
    <w:rsid w:val="001C2C9F"/>
    <w:rsid w:val="001C3701"/>
    <w:rsid w:val="001C6A7B"/>
    <w:rsid w:val="001C6DCB"/>
    <w:rsid w:val="001D1953"/>
    <w:rsid w:val="001D626D"/>
    <w:rsid w:val="001D7C24"/>
    <w:rsid w:val="001E1660"/>
    <w:rsid w:val="001E2215"/>
    <w:rsid w:val="001E27BF"/>
    <w:rsid w:val="001E31BF"/>
    <w:rsid w:val="001E3390"/>
    <w:rsid w:val="001E3A79"/>
    <w:rsid w:val="001E5873"/>
    <w:rsid w:val="001E75C2"/>
    <w:rsid w:val="001F0615"/>
    <w:rsid w:val="001F0659"/>
    <w:rsid w:val="001F1130"/>
    <w:rsid w:val="001F1FE7"/>
    <w:rsid w:val="001F5B2E"/>
    <w:rsid w:val="001F6CA4"/>
    <w:rsid w:val="001F6D5E"/>
    <w:rsid w:val="00202A4C"/>
    <w:rsid w:val="00203371"/>
    <w:rsid w:val="00205518"/>
    <w:rsid w:val="00205FB5"/>
    <w:rsid w:val="0020737D"/>
    <w:rsid w:val="002078B3"/>
    <w:rsid w:val="002079B8"/>
    <w:rsid w:val="00213721"/>
    <w:rsid w:val="0021454E"/>
    <w:rsid w:val="00222FD1"/>
    <w:rsid w:val="0022367D"/>
    <w:rsid w:val="00226311"/>
    <w:rsid w:val="00230DAC"/>
    <w:rsid w:val="002353E9"/>
    <w:rsid w:val="00237B47"/>
    <w:rsid w:val="002412BB"/>
    <w:rsid w:val="00241530"/>
    <w:rsid w:val="00242262"/>
    <w:rsid w:val="00244320"/>
    <w:rsid w:val="002454A0"/>
    <w:rsid w:val="0024553E"/>
    <w:rsid w:val="0024789A"/>
    <w:rsid w:val="002479FA"/>
    <w:rsid w:val="0025124B"/>
    <w:rsid w:val="00251ED6"/>
    <w:rsid w:val="00251F6D"/>
    <w:rsid w:val="002534BC"/>
    <w:rsid w:val="00253C16"/>
    <w:rsid w:val="002545D2"/>
    <w:rsid w:val="00255365"/>
    <w:rsid w:val="00255D43"/>
    <w:rsid w:val="002564A7"/>
    <w:rsid w:val="00256D7D"/>
    <w:rsid w:val="00257DB1"/>
    <w:rsid w:val="002670AD"/>
    <w:rsid w:val="0027010B"/>
    <w:rsid w:val="00272114"/>
    <w:rsid w:val="002734CB"/>
    <w:rsid w:val="00274136"/>
    <w:rsid w:val="00274210"/>
    <w:rsid w:val="002742C9"/>
    <w:rsid w:val="002765D4"/>
    <w:rsid w:val="00276FA0"/>
    <w:rsid w:val="00277471"/>
    <w:rsid w:val="00277C81"/>
    <w:rsid w:val="002814A7"/>
    <w:rsid w:val="00283BC6"/>
    <w:rsid w:val="00284D42"/>
    <w:rsid w:val="00286528"/>
    <w:rsid w:val="002938F9"/>
    <w:rsid w:val="00293936"/>
    <w:rsid w:val="00295238"/>
    <w:rsid w:val="002956CE"/>
    <w:rsid w:val="0029581F"/>
    <w:rsid w:val="002A2487"/>
    <w:rsid w:val="002A2B5E"/>
    <w:rsid w:val="002A3794"/>
    <w:rsid w:val="002A394F"/>
    <w:rsid w:val="002A4097"/>
    <w:rsid w:val="002B0258"/>
    <w:rsid w:val="002B062F"/>
    <w:rsid w:val="002B1951"/>
    <w:rsid w:val="002B296A"/>
    <w:rsid w:val="002B2B8E"/>
    <w:rsid w:val="002B38A0"/>
    <w:rsid w:val="002B60B1"/>
    <w:rsid w:val="002C0A5D"/>
    <w:rsid w:val="002C173D"/>
    <w:rsid w:val="002C3198"/>
    <w:rsid w:val="002C589A"/>
    <w:rsid w:val="002C5BC8"/>
    <w:rsid w:val="002D0321"/>
    <w:rsid w:val="002D041F"/>
    <w:rsid w:val="002D0BE0"/>
    <w:rsid w:val="002D0E0B"/>
    <w:rsid w:val="002D154E"/>
    <w:rsid w:val="002D30BA"/>
    <w:rsid w:val="002D5182"/>
    <w:rsid w:val="002E0522"/>
    <w:rsid w:val="002E072A"/>
    <w:rsid w:val="002E0AB2"/>
    <w:rsid w:val="002F086E"/>
    <w:rsid w:val="002F2633"/>
    <w:rsid w:val="002F427C"/>
    <w:rsid w:val="002F4A81"/>
    <w:rsid w:val="002F4BB1"/>
    <w:rsid w:val="002F5650"/>
    <w:rsid w:val="002F6F90"/>
    <w:rsid w:val="003015DE"/>
    <w:rsid w:val="00304C67"/>
    <w:rsid w:val="00305DF8"/>
    <w:rsid w:val="00306908"/>
    <w:rsid w:val="00310393"/>
    <w:rsid w:val="00310AAB"/>
    <w:rsid w:val="00310DA4"/>
    <w:rsid w:val="00312186"/>
    <w:rsid w:val="0031334A"/>
    <w:rsid w:val="0031363B"/>
    <w:rsid w:val="0031486C"/>
    <w:rsid w:val="00314A97"/>
    <w:rsid w:val="00316179"/>
    <w:rsid w:val="003242A4"/>
    <w:rsid w:val="00325920"/>
    <w:rsid w:val="003317EF"/>
    <w:rsid w:val="0033266C"/>
    <w:rsid w:val="00333E4A"/>
    <w:rsid w:val="00334223"/>
    <w:rsid w:val="00336884"/>
    <w:rsid w:val="00341524"/>
    <w:rsid w:val="00341D57"/>
    <w:rsid w:val="00343D91"/>
    <w:rsid w:val="0034783F"/>
    <w:rsid w:val="00350EF2"/>
    <w:rsid w:val="00351D64"/>
    <w:rsid w:val="0035203A"/>
    <w:rsid w:val="00352BC7"/>
    <w:rsid w:val="0035689F"/>
    <w:rsid w:val="00357DFA"/>
    <w:rsid w:val="00360788"/>
    <w:rsid w:val="003638F1"/>
    <w:rsid w:val="00365423"/>
    <w:rsid w:val="00366071"/>
    <w:rsid w:val="0036738A"/>
    <w:rsid w:val="003706BF"/>
    <w:rsid w:val="0037097E"/>
    <w:rsid w:val="0037311E"/>
    <w:rsid w:val="00373532"/>
    <w:rsid w:val="003765A8"/>
    <w:rsid w:val="00376D5C"/>
    <w:rsid w:val="00377DEE"/>
    <w:rsid w:val="0038106F"/>
    <w:rsid w:val="003810BE"/>
    <w:rsid w:val="003857D1"/>
    <w:rsid w:val="003872F6"/>
    <w:rsid w:val="00391C9E"/>
    <w:rsid w:val="00395527"/>
    <w:rsid w:val="003961EE"/>
    <w:rsid w:val="003A1B7F"/>
    <w:rsid w:val="003A3EAA"/>
    <w:rsid w:val="003A6408"/>
    <w:rsid w:val="003A7A60"/>
    <w:rsid w:val="003A7BC0"/>
    <w:rsid w:val="003B086E"/>
    <w:rsid w:val="003B0886"/>
    <w:rsid w:val="003B088D"/>
    <w:rsid w:val="003B3591"/>
    <w:rsid w:val="003B35D5"/>
    <w:rsid w:val="003B70BD"/>
    <w:rsid w:val="003C1B46"/>
    <w:rsid w:val="003C47C7"/>
    <w:rsid w:val="003D0576"/>
    <w:rsid w:val="003D2C60"/>
    <w:rsid w:val="003D34DC"/>
    <w:rsid w:val="003D4DFA"/>
    <w:rsid w:val="003D58F8"/>
    <w:rsid w:val="003D63ED"/>
    <w:rsid w:val="003D668F"/>
    <w:rsid w:val="003D797C"/>
    <w:rsid w:val="003D7EA9"/>
    <w:rsid w:val="003E0438"/>
    <w:rsid w:val="003E4928"/>
    <w:rsid w:val="003F0F66"/>
    <w:rsid w:val="003F143B"/>
    <w:rsid w:val="003F2B0B"/>
    <w:rsid w:val="003F2C9A"/>
    <w:rsid w:val="003F308B"/>
    <w:rsid w:val="003F5C56"/>
    <w:rsid w:val="003F6D47"/>
    <w:rsid w:val="004004BB"/>
    <w:rsid w:val="0040156D"/>
    <w:rsid w:val="0040629F"/>
    <w:rsid w:val="0041033F"/>
    <w:rsid w:val="00411A5D"/>
    <w:rsid w:val="00414360"/>
    <w:rsid w:val="00416919"/>
    <w:rsid w:val="00416EE0"/>
    <w:rsid w:val="00417CC1"/>
    <w:rsid w:val="00424FB6"/>
    <w:rsid w:val="00425BE9"/>
    <w:rsid w:val="00431543"/>
    <w:rsid w:val="0043418A"/>
    <w:rsid w:val="00437047"/>
    <w:rsid w:val="0043706E"/>
    <w:rsid w:val="0043723C"/>
    <w:rsid w:val="004411CA"/>
    <w:rsid w:val="00445A25"/>
    <w:rsid w:val="004511B5"/>
    <w:rsid w:val="00452D95"/>
    <w:rsid w:val="00453EDB"/>
    <w:rsid w:val="00463502"/>
    <w:rsid w:val="00465742"/>
    <w:rsid w:val="00467145"/>
    <w:rsid w:val="0047076B"/>
    <w:rsid w:val="00472DA8"/>
    <w:rsid w:val="004734FB"/>
    <w:rsid w:val="00475A6E"/>
    <w:rsid w:val="00477EBF"/>
    <w:rsid w:val="0048176A"/>
    <w:rsid w:val="00481FC5"/>
    <w:rsid w:val="00483861"/>
    <w:rsid w:val="0048627F"/>
    <w:rsid w:val="004874F0"/>
    <w:rsid w:val="0049001D"/>
    <w:rsid w:val="004919AE"/>
    <w:rsid w:val="004931E5"/>
    <w:rsid w:val="00493D7C"/>
    <w:rsid w:val="004961D7"/>
    <w:rsid w:val="004966BC"/>
    <w:rsid w:val="004A10E2"/>
    <w:rsid w:val="004A37C6"/>
    <w:rsid w:val="004A3987"/>
    <w:rsid w:val="004A5CE8"/>
    <w:rsid w:val="004A66A0"/>
    <w:rsid w:val="004A7157"/>
    <w:rsid w:val="004B35CB"/>
    <w:rsid w:val="004C4EFF"/>
    <w:rsid w:val="004C5431"/>
    <w:rsid w:val="004C54E1"/>
    <w:rsid w:val="004D2155"/>
    <w:rsid w:val="004D6B5A"/>
    <w:rsid w:val="004D6B91"/>
    <w:rsid w:val="004E054C"/>
    <w:rsid w:val="004F0352"/>
    <w:rsid w:val="004F0780"/>
    <w:rsid w:val="004F0DC4"/>
    <w:rsid w:val="004F0F1C"/>
    <w:rsid w:val="004F5905"/>
    <w:rsid w:val="004F750F"/>
    <w:rsid w:val="00500B7A"/>
    <w:rsid w:val="0050599F"/>
    <w:rsid w:val="00505BE3"/>
    <w:rsid w:val="0050794E"/>
    <w:rsid w:val="0050799A"/>
    <w:rsid w:val="005130F6"/>
    <w:rsid w:val="005145F6"/>
    <w:rsid w:val="005166C4"/>
    <w:rsid w:val="00520821"/>
    <w:rsid w:val="00521193"/>
    <w:rsid w:val="005214E9"/>
    <w:rsid w:val="00522FA3"/>
    <w:rsid w:val="00526352"/>
    <w:rsid w:val="0052651F"/>
    <w:rsid w:val="00527098"/>
    <w:rsid w:val="005307D0"/>
    <w:rsid w:val="005318FF"/>
    <w:rsid w:val="00533651"/>
    <w:rsid w:val="005404D0"/>
    <w:rsid w:val="0054084C"/>
    <w:rsid w:val="005410D8"/>
    <w:rsid w:val="00542EFD"/>
    <w:rsid w:val="0055091F"/>
    <w:rsid w:val="0055096B"/>
    <w:rsid w:val="00551FF6"/>
    <w:rsid w:val="005523C7"/>
    <w:rsid w:val="0055429B"/>
    <w:rsid w:val="005555BE"/>
    <w:rsid w:val="00561E02"/>
    <w:rsid w:val="00562602"/>
    <w:rsid w:val="005642E6"/>
    <w:rsid w:val="005648F4"/>
    <w:rsid w:val="00564A66"/>
    <w:rsid w:val="0056565B"/>
    <w:rsid w:val="00566B80"/>
    <w:rsid w:val="00567FE1"/>
    <w:rsid w:val="0057191C"/>
    <w:rsid w:val="00573912"/>
    <w:rsid w:val="0058221A"/>
    <w:rsid w:val="0058378A"/>
    <w:rsid w:val="00587D6F"/>
    <w:rsid w:val="005903DC"/>
    <w:rsid w:val="005912A1"/>
    <w:rsid w:val="00592CB4"/>
    <w:rsid w:val="00592D3C"/>
    <w:rsid w:val="00594225"/>
    <w:rsid w:val="00594A22"/>
    <w:rsid w:val="0059555A"/>
    <w:rsid w:val="005955D2"/>
    <w:rsid w:val="00596953"/>
    <w:rsid w:val="00596D82"/>
    <w:rsid w:val="005972B4"/>
    <w:rsid w:val="005A1098"/>
    <w:rsid w:val="005A1135"/>
    <w:rsid w:val="005A1A9F"/>
    <w:rsid w:val="005A20D9"/>
    <w:rsid w:val="005A22FE"/>
    <w:rsid w:val="005A2555"/>
    <w:rsid w:val="005A5DA1"/>
    <w:rsid w:val="005A6004"/>
    <w:rsid w:val="005A638B"/>
    <w:rsid w:val="005B053F"/>
    <w:rsid w:val="005B0610"/>
    <w:rsid w:val="005B22F4"/>
    <w:rsid w:val="005B24AC"/>
    <w:rsid w:val="005B3BA0"/>
    <w:rsid w:val="005C0C79"/>
    <w:rsid w:val="005C12D2"/>
    <w:rsid w:val="005C138B"/>
    <w:rsid w:val="005C2D2F"/>
    <w:rsid w:val="005C6FC1"/>
    <w:rsid w:val="005C77BD"/>
    <w:rsid w:val="005D0F90"/>
    <w:rsid w:val="005D2615"/>
    <w:rsid w:val="005D2D64"/>
    <w:rsid w:val="005D390A"/>
    <w:rsid w:val="005D46F8"/>
    <w:rsid w:val="005D6446"/>
    <w:rsid w:val="005D76D4"/>
    <w:rsid w:val="005E057A"/>
    <w:rsid w:val="005E16BA"/>
    <w:rsid w:val="005E4C8D"/>
    <w:rsid w:val="005F1206"/>
    <w:rsid w:val="005F7329"/>
    <w:rsid w:val="006004DE"/>
    <w:rsid w:val="00600F27"/>
    <w:rsid w:val="00607596"/>
    <w:rsid w:val="00612DCD"/>
    <w:rsid w:val="00614C79"/>
    <w:rsid w:val="00615F6B"/>
    <w:rsid w:val="00616450"/>
    <w:rsid w:val="00617ECB"/>
    <w:rsid w:val="00620CFA"/>
    <w:rsid w:val="00624109"/>
    <w:rsid w:val="00624AD8"/>
    <w:rsid w:val="00625020"/>
    <w:rsid w:val="00625DEC"/>
    <w:rsid w:val="00626D69"/>
    <w:rsid w:val="0062780D"/>
    <w:rsid w:val="00636A67"/>
    <w:rsid w:val="0064340F"/>
    <w:rsid w:val="00644611"/>
    <w:rsid w:val="0064545D"/>
    <w:rsid w:val="00645753"/>
    <w:rsid w:val="0064718C"/>
    <w:rsid w:val="00650F93"/>
    <w:rsid w:val="006527C8"/>
    <w:rsid w:val="00653BA8"/>
    <w:rsid w:val="00654A7F"/>
    <w:rsid w:val="00661087"/>
    <w:rsid w:val="006619FA"/>
    <w:rsid w:val="00661A0D"/>
    <w:rsid w:val="00662ABD"/>
    <w:rsid w:val="0066300B"/>
    <w:rsid w:val="00663A5B"/>
    <w:rsid w:val="006643F2"/>
    <w:rsid w:val="0066519F"/>
    <w:rsid w:val="00667906"/>
    <w:rsid w:val="00670733"/>
    <w:rsid w:val="006765CE"/>
    <w:rsid w:val="006777E4"/>
    <w:rsid w:val="00683B48"/>
    <w:rsid w:val="00685742"/>
    <w:rsid w:val="00686629"/>
    <w:rsid w:val="00687318"/>
    <w:rsid w:val="006873C8"/>
    <w:rsid w:val="00693F70"/>
    <w:rsid w:val="00697169"/>
    <w:rsid w:val="00697C50"/>
    <w:rsid w:val="006A0882"/>
    <w:rsid w:val="006A3280"/>
    <w:rsid w:val="006A3A91"/>
    <w:rsid w:val="006A3B8F"/>
    <w:rsid w:val="006A4D29"/>
    <w:rsid w:val="006A5D5F"/>
    <w:rsid w:val="006B17CC"/>
    <w:rsid w:val="006B2914"/>
    <w:rsid w:val="006B60B6"/>
    <w:rsid w:val="006B6B79"/>
    <w:rsid w:val="006C6041"/>
    <w:rsid w:val="006C67EB"/>
    <w:rsid w:val="006C6874"/>
    <w:rsid w:val="006C7CCC"/>
    <w:rsid w:val="006D094A"/>
    <w:rsid w:val="006D2046"/>
    <w:rsid w:val="006D3C5E"/>
    <w:rsid w:val="006D7C14"/>
    <w:rsid w:val="006E0064"/>
    <w:rsid w:val="006E35FF"/>
    <w:rsid w:val="006E77E6"/>
    <w:rsid w:val="006F5D53"/>
    <w:rsid w:val="006F6563"/>
    <w:rsid w:val="006F6944"/>
    <w:rsid w:val="00700518"/>
    <w:rsid w:val="0070358B"/>
    <w:rsid w:val="0070601A"/>
    <w:rsid w:val="0071299B"/>
    <w:rsid w:val="00712BE3"/>
    <w:rsid w:val="00716FF8"/>
    <w:rsid w:val="00721CF1"/>
    <w:rsid w:val="00721FC1"/>
    <w:rsid w:val="00722957"/>
    <w:rsid w:val="0072361E"/>
    <w:rsid w:val="00726CE8"/>
    <w:rsid w:val="007278EF"/>
    <w:rsid w:val="00732864"/>
    <w:rsid w:val="00733AF4"/>
    <w:rsid w:val="00734B43"/>
    <w:rsid w:val="00736F0C"/>
    <w:rsid w:val="00737D5B"/>
    <w:rsid w:val="007404A4"/>
    <w:rsid w:val="00740EC6"/>
    <w:rsid w:val="0074112B"/>
    <w:rsid w:val="0074113A"/>
    <w:rsid w:val="00741217"/>
    <w:rsid w:val="00741BB0"/>
    <w:rsid w:val="0074344F"/>
    <w:rsid w:val="00747E86"/>
    <w:rsid w:val="007506BA"/>
    <w:rsid w:val="007511BA"/>
    <w:rsid w:val="00752220"/>
    <w:rsid w:val="00752AD5"/>
    <w:rsid w:val="007551FD"/>
    <w:rsid w:val="00757D27"/>
    <w:rsid w:val="007609CF"/>
    <w:rsid w:val="00760AEC"/>
    <w:rsid w:val="00760FF6"/>
    <w:rsid w:val="007613A6"/>
    <w:rsid w:val="007639A9"/>
    <w:rsid w:val="007640AE"/>
    <w:rsid w:val="0076494E"/>
    <w:rsid w:val="007665CE"/>
    <w:rsid w:val="00766DC1"/>
    <w:rsid w:val="00766F6D"/>
    <w:rsid w:val="007676CB"/>
    <w:rsid w:val="0077200C"/>
    <w:rsid w:val="007722EB"/>
    <w:rsid w:val="00774F3A"/>
    <w:rsid w:val="00775337"/>
    <w:rsid w:val="00777034"/>
    <w:rsid w:val="007770F8"/>
    <w:rsid w:val="007811F7"/>
    <w:rsid w:val="00781F9E"/>
    <w:rsid w:val="0078239D"/>
    <w:rsid w:val="00782600"/>
    <w:rsid w:val="007831F5"/>
    <w:rsid w:val="00783972"/>
    <w:rsid w:val="00784914"/>
    <w:rsid w:val="00784990"/>
    <w:rsid w:val="0078664B"/>
    <w:rsid w:val="0078719B"/>
    <w:rsid w:val="0079023B"/>
    <w:rsid w:val="00792E02"/>
    <w:rsid w:val="00793958"/>
    <w:rsid w:val="0079465E"/>
    <w:rsid w:val="00794D57"/>
    <w:rsid w:val="00795DA1"/>
    <w:rsid w:val="007969A6"/>
    <w:rsid w:val="00797D08"/>
    <w:rsid w:val="00797EA2"/>
    <w:rsid w:val="00797FEC"/>
    <w:rsid w:val="007A20BC"/>
    <w:rsid w:val="007A4956"/>
    <w:rsid w:val="007A559D"/>
    <w:rsid w:val="007A63F4"/>
    <w:rsid w:val="007A6498"/>
    <w:rsid w:val="007B26AD"/>
    <w:rsid w:val="007B4D89"/>
    <w:rsid w:val="007B50D6"/>
    <w:rsid w:val="007B576E"/>
    <w:rsid w:val="007B601F"/>
    <w:rsid w:val="007B61CA"/>
    <w:rsid w:val="007B6213"/>
    <w:rsid w:val="007B79CB"/>
    <w:rsid w:val="007C1879"/>
    <w:rsid w:val="007C2330"/>
    <w:rsid w:val="007C436C"/>
    <w:rsid w:val="007C5D0A"/>
    <w:rsid w:val="007D6054"/>
    <w:rsid w:val="007D7457"/>
    <w:rsid w:val="007D7631"/>
    <w:rsid w:val="007E0956"/>
    <w:rsid w:val="007E1121"/>
    <w:rsid w:val="007E27EB"/>
    <w:rsid w:val="007E3F22"/>
    <w:rsid w:val="007E4154"/>
    <w:rsid w:val="007E47AB"/>
    <w:rsid w:val="007E5D92"/>
    <w:rsid w:val="007E79A6"/>
    <w:rsid w:val="007F46D5"/>
    <w:rsid w:val="007F67AA"/>
    <w:rsid w:val="00804F98"/>
    <w:rsid w:val="0080547C"/>
    <w:rsid w:val="00807DF2"/>
    <w:rsid w:val="00810909"/>
    <w:rsid w:val="00812329"/>
    <w:rsid w:val="008129A4"/>
    <w:rsid w:val="00814136"/>
    <w:rsid w:val="008178A5"/>
    <w:rsid w:val="00820431"/>
    <w:rsid w:val="00824A50"/>
    <w:rsid w:val="00833A9A"/>
    <w:rsid w:val="00836FDF"/>
    <w:rsid w:val="008370AE"/>
    <w:rsid w:val="0084018F"/>
    <w:rsid w:val="00841F89"/>
    <w:rsid w:val="00846861"/>
    <w:rsid w:val="00846F90"/>
    <w:rsid w:val="0085040F"/>
    <w:rsid w:val="00851849"/>
    <w:rsid w:val="00852973"/>
    <w:rsid w:val="00852F05"/>
    <w:rsid w:val="00854804"/>
    <w:rsid w:val="00854995"/>
    <w:rsid w:val="00856A29"/>
    <w:rsid w:val="00856D32"/>
    <w:rsid w:val="0086073D"/>
    <w:rsid w:val="00863287"/>
    <w:rsid w:val="00864117"/>
    <w:rsid w:val="00865BB9"/>
    <w:rsid w:val="008664D5"/>
    <w:rsid w:val="00870FDD"/>
    <w:rsid w:val="00871442"/>
    <w:rsid w:val="0087615A"/>
    <w:rsid w:val="0087667D"/>
    <w:rsid w:val="0087693E"/>
    <w:rsid w:val="008778BB"/>
    <w:rsid w:val="00881A43"/>
    <w:rsid w:val="00882F0F"/>
    <w:rsid w:val="008857A9"/>
    <w:rsid w:val="00886F2F"/>
    <w:rsid w:val="0088725A"/>
    <w:rsid w:val="008873F7"/>
    <w:rsid w:val="00891035"/>
    <w:rsid w:val="00891ABE"/>
    <w:rsid w:val="00891D46"/>
    <w:rsid w:val="00892CFC"/>
    <w:rsid w:val="00893534"/>
    <w:rsid w:val="00894C95"/>
    <w:rsid w:val="00896D5C"/>
    <w:rsid w:val="00897A10"/>
    <w:rsid w:val="008A1559"/>
    <w:rsid w:val="008A54E4"/>
    <w:rsid w:val="008A6277"/>
    <w:rsid w:val="008A7E36"/>
    <w:rsid w:val="008B194E"/>
    <w:rsid w:val="008B20AA"/>
    <w:rsid w:val="008B244B"/>
    <w:rsid w:val="008B39D2"/>
    <w:rsid w:val="008B4A44"/>
    <w:rsid w:val="008B5085"/>
    <w:rsid w:val="008B50F9"/>
    <w:rsid w:val="008B58A4"/>
    <w:rsid w:val="008B6136"/>
    <w:rsid w:val="008C0188"/>
    <w:rsid w:val="008C11ED"/>
    <w:rsid w:val="008C25B3"/>
    <w:rsid w:val="008C42BC"/>
    <w:rsid w:val="008C4735"/>
    <w:rsid w:val="008C49EF"/>
    <w:rsid w:val="008C72DE"/>
    <w:rsid w:val="008D124C"/>
    <w:rsid w:val="008D1921"/>
    <w:rsid w:val="008D4A71"/>
    <w:rsid w:val="008D7614"/>
    <w:rsid w:val="008E2419"/>
    <w:rsid w:val="008E4156"/>
    <w:rsid w:val="008E615F"/>
    <w:rsid w:val="008E63F2"/>
    <w:rsid w:val="008E7E25"/>
    <w:rsid w:val="008F3EE1"/>
    <w:rsid w:val="008F50FA"/>
    <w:rsid w:val="008F5CE6"/>
    <w:rsid w:val="009026DC"/>
    <w:rsid w:val="009035DD"/>
    <w:rsid w:val="00903CC3"/>
    <w:rsid w:val="00906BF3"/>
    <w:rsid w:val="00907FB2"/>
    <w:rsid w:val="00911D10"/>
    <w:rsid w:val="00911D64"/>
    <w:rsid w:val="009122F6"/>
    <w:rsid w:val="009125E0"/>
    <w:rsid w:val="009151A0"/>
    <w:rsid w:val="009154E8"/>
    <w:rsid w:val="00915F46"/>
    <w:rsid w:val="00916685"/>
    <w:rsid w:val="00916D25"/>
    <w:rsid w:val="00917685"/>
    <w:rsid w:val="009176EA"/>
    <w:rsid w:val="0091780F"/>
    <w:rsid w:val="009222AC"/>
    <w:rsid w:val="0092322C"/>
    <w:rsid w:val="00927440"/>
    <w:rsid w:val="00931F10"/>
    <w:rsid w:val="00934059"/>
    <w:rsid w:val="009340EB"/>
    <w:rsid w:val="00934836"/>
    <w:rsid w:val="00936F2D"/>
    <w:rsid w:val="00937F34"/>
    <w:rsid w:val="00945603"/>
    <w:rsid w:val="009461BF"/>
    <w:rsid w:val="00955AD2"/>
    <w:rsid w:val="00956F46"/>
    <w:rsid w:val="009639D7"/>
    <w:rsid w:val="00963CF7"/>
    <w:rsid w:val="00964EF6"/>
    <w:rsid w:val="00965AAD"/>
    <w:rsid w:val="009661E6"/>
    <w:rsid w:val="00967B3C"/>
    <w:rsid w:val="00974581"/>
    <w:rsid w:val="009755AF"/>
    <w:rsid w:val="00976223"/>
    <w:rsid w:val="009762D8"/>
    <w:rsid w:val="009816D1"/>
    <w:rsid w:val="0098206A"/>
    <w:rsid w:val="0098216A"/>
    <w:rsid w:val="00983BF3"/>
    <w:rsid w:val="00985399"/>
    <w:rsid w:val="0098644A"/>
    <w:rsid w:val="0098674D"/>
    <w:rsid w:val="009930E7"/>
    <w:rsid w:val="00995E1E"/>
    <w:rsid w:val="00997A5C"/>
    <w:rsid w:val="009A00A4"/>
    <w:rsid w:val="009A00C6"/>
    <w:rsid w:val="009A0801"/>
    <w:rsid w:val="009A2C31"/>
    <w:rsid w:val="009A5E54"/>
    <w:rsid w:val="009B0BFC"/>
    <w:rsid w:val="009B1386"/>
    <w:rsid w:val="009B32D8"/>
    <w:rsid w:val="009B401B"/>
    <w:rsid w:val="009B4468"/>
    <w:rsid w:val="009B5767"/>
    <w:rsid w:val="009B67B9"/>
    <w:rsid w:val="009B77CD"/>
    <w:rsid w:val="009C2DE2"/>
    <w:rsid w:val="009C780D"/>
    <w:rsid w:val="009D29E2"/>
    <w:rsid w:val="009D62D1"/>
    <w:rsid w:val="009D6865"/>
    <w:rsid w:val="009E0D11"/>
    <w:rsid w:val="009E26B0"/>
    <w:rsid w:val="009E3956"/>
    <w:rsid w:val="009E586B"/>
    <w:rsid w:val="009E6B74"/>
    <w:rsid w:val="009E7502"/>
    <w:rsid w:val="009E7A4D"/>
    <w:rsid w:val="009E7AB1"/>
    <w:rsid w:val="009E7AF1"/>
    <w:rsid w:val="009F0CE8"/>
    <w:rsid w:val="009F0D87"/>
    <w:rsid w:val="009F4518"/>
    <w:rsid w:val="009F4CEA"/>
    <w:rsid w:val="00A006A1"/>
    <w:rsid w:val="00A01329"/>
    <w:rsid w:val="00A020AA"/>
    <w:rsid w:val="00A03AB2"/>
    <w:rsid w:val="00A03F48"/>
    <w:rsid w:val="00A0447B"/>
    <w:rsid w:val="00A106B0"/>
    <w:rsid w:val="00A10916"/>
    <w:rsid w:val="00A156FB"/>
    <w:rsid w:val="00A15EA3"/>
    <w:rsid w:val="00A22106"/>
    <w:rsid w:val="00A23187"/>
    <w:rsid w:val="00A26B36"/>
    <w:rsid w:val="00A31287"/>
    <w:rsid w:val="00A360B4"/>
    <w:rsid w:val="00A378B3"/>
    <w:rsid w:val="00A420F4"/>
    <w:rsid w:val="00A43D75"/>
    <w:rsid w:val="00A46277"/>
    <w:rsid w:val="00A46C02"/>
    <w:rsid w:val="00A470C5"/>
    <w:rsid w:val="00A527C6"/>
    <w:rsid w:val="00A530C4"/>
    <w:rsid w:val="00A54D24"/>
    <w:rsid w:val="00A553C6"/>
    <w:rsid w:val="00A56F5E"/>
    <w:rsid w:val="00A6027F"/>
    <w:rsid w:val="00A604AC"/>
    <w:rsid w:val="00A6067A"/>
    <w:rsid w:val="00A60C4C"/>
    <w:rsid w:val="00A638F0"/>
    <w:rsid w:val="00A664EC"/>
    <w:rsid w:val="00A674BE"/>
    <w:rsid w:val="00A679CB"/>
    <w:rsid w:val="00A713E5"/>
    <w:rsid w:val="00A730B0"/>
    <w:rsid w:val="00A766D6"/>
    <w:rsid w:val="00A81082"/>
    <w:rsid w:val="00A81775"/>
    <w:rsid w:val="00A817EB"/>
    <w:rsid w:val="00A819C1"/>
    <w:rsid w:val="00A81E87"/>
    <w:rsid w:val="00A835FD"/>
    <w:rsid w:val="00A87E78"/>
    <w:rsid w:val="00A9278E"/>
    <w:rsid w:val="00A92B3B"/>
    <w:rsid w:val="00A93108"/>
    <w:rsid w:val="00A952C6"/>
    <w:rsid w:val="00A962A8"/>
    <w:rsid w:val="00A964AE"/>
    <w:rsid w:val="00A96AA5"/>
    <w:rsid w:val="00A96D95"/>
    <w:rsid w:val="00AA102C"/>
    <w:rsid w:val="00AA23CF"/>
    <w:rsid w:val="00AB4CF5"/>
    <w:rsid w:val="00AB503B"/>
    <w:rsid w:val="00AC31F4"/>
    <w:rsid w:val="00AC46B1"/>
    <w:rsid w:val="00AC5F85"/>
    <w:rsid w:val="00AD1746"/>
    <w:rsid w:val="00AD3A50"/>
    <w:rsid w:val="00AD3BB7"/>
    <w:rsid w:val="00AD48B1"/>
    <w:rsid w:val="00AE1C58"/>
    <w:rsid w:val="00AE3459"/>
    <w:rsid w:val="00AE50FB"/>
    <w:rsid w:val="00AE5DA0"/>
    <w:rsid w:val="00AE766E"/>
    <w:rsid w:val="00AF0190"/>
    <w:rsid w:val="00AF0600"/>
    <w:rsid w:val="00AF309E"/>
    <w:rsid w:val="00AF4098"/>
    <w:rsid w:val="00AF41B9"/>
    <w:rsid w:val="00AF49C0"/>
    <w:rsid w:val="00AF4D96"/>
    <w:rsid w:val="00AF52D7"/>
    <w:rsid w:val="00AF685B"/>
    <w:rsid w:val="00B00119"/>
    <w:rsid w:val="00B0033E"/>
    <w:rsid w:val="00B00BBA"/>
    <w:rsid w:val="00B00F77"/>
    <w:rsid w:val="00B0580C"/>
    <w:rsid w:val="00B05E1E"/>
    <w:rsid w:val="00B0714B"/>
    <w:rsid w:val="00B07681"/>
    <w:rsid w:val="00B10C76"/>
    <w:rsid w:val="00B12CF2"/>
    <w:rsid w:val="00B13860"/>
    <w:rsid w:val="00B13D50"/>
    <w:rsid w:val="00B1426A"/>
    <w:rsid w:val="00B14600"/>
    <w:rsid w:val="00B2300F"/>
    <w:rsid w:val="00B23D0B"/>
    <w:rsid w:val="00B23F03"/>
    <w:rsid w:val="00B2749B"/>
    <w:rsid w:val="00B27CB3"/>
    <w:rsid w:val="00B27E4E"/>
    <w:rsid w:val="00B32909"/>
    <w:rsid w:val="00B32C48"/>
    <w:rsid w:val="00B3317B"/>
    <w:rsid w:val="00B339D2"/>
    <w:rsid w:val="00B3541D"/>
    <w:rsid w:val="00B37ABC"/>
    <w:rsid w:val="00B40727"/>
    <w:rsid w:val="00B4212C"/>
    <w:rsid w:val="00B45530"/>
    <w:rsid w:val="00B45835"/>
    <w:rsid w:val="00B46322"/>
    <w:rsid w:val="00B46CBE"/>
    <w:rsid w:val="00B50DF9"/>
    <w:rsid w:val="00B51E59"/>
    <w:rsid w:val="00B53353"/>
    <w:rsid w:val="00B53DC7"/>
    <w:rsid w:val="00B5502F"/>
    <w:rsid w:val="00B56056"/>
    <w:rsid w:val="00B56D60"/>
    <w:rsid w:val="00B614D4"/>
    <w:rsid w:val="00B6175D"/>
    <w:rsid w:val="00B627DE"/>
    <w:rsid w:val="00B62BC8"/>
    <w:rsid w:val="00B63F3E"/>
    <w:rsid w:val="00B64306"/>
    <w:rsid w:val="00B65A00"/>
    <w:rsid w:val="00B662A7"/>
    <w:rsid w:val="00B705EF"/>
    <w:rsid w:val="00B71AC7"/>
    <w:rsid w:val="00B74E9E"/>
    <w:rsid w:val="00B750FD"/>
    <w:rsid w:val="00B75D77"/>
    <w:rsid w:val="00B77664"/>
    <w:rsid w:val="00B776CD"/>
    <w:rsid w:val="00B82121"/>
    <w:rsid w:val="00B8319B"/>
    <w:rsid w:val="00B849DF"/>
    <w:rsid w:val="00B8522D"/>
    <w:rsid w:val="00B8533C"/>
    <w:rsid w:val="00B9155B"/>
    <w:rsid w:val="00B91E88"/>
    <w:rsid w:val="00B91F03"/>
    <w:rsid w:val="00B945CA"/>
    <w:rsid w:val="00B94DBE"/>
    <w:rsid w:val="00B94F11"/>
    <w:rsid w:val="00BA0D63"/>
    <w:rsid w:val="00BA2395"/>
    <w:rsid w:val="00BA518A"/>
    <w:rsid w:val="00BA7E18"/>
    <w:rsid w:val="00BB095D"/>
    <w:rsid w:val="00BB1A25"/>
    <w:rsid w:val="00BB24A6"/>
    <w:rsid w:val="00BB43D2"/>
    <w:rsid w:val="00BB47C1"/>
    <w:rsid w:val="00BB5EC3"/>
    <w:rsid w:val="00BC046F"/>
    <w:rsid w:val="00BC19B3"/>
    <w:rsid w:val="00BC275C"/>
    <w:rsid w:val="00BC2830"/>
    <w:rsid w:val="00BC4B42"/>
    <w:rsid w:val="00BC620E"/>
    <w:rsid w:val="00BD00F3"/>
    <w:rsid w:val="00BD37FA"/>
    <w:rsid w:val="00BD6E98"/>
    <w:rsid w:val="00BE18D1"/>
    <w:rsid w:val="00BE1F2F"/>
    <w:rsid w:val="00BE4B95"/>
    <w:rsid w:val="00BE5668"/>
    <w:rsid w:val="00BE65F6"/>
    <w:rsid w:val="00BE66C5"/>
    <w:rsid w:val="00BE76D2"/>
    <w:rsid w:val="00BF0288"/>
    <w:rsid w:val="00BF2EE1"/>
    <w:rsid w:val="00BF3A30"/>
    <w:rsid w:val="00C010BC"/>
    <w:rsid w:val="00C037AD"/>
    <w:rsid w:val="00C04012"/>
    <w:rsid w:val="00C065A5"/>
    <w:rsid w:val="00C10442"/>
    <w:rsid w:val="00C1380A"/>
    <w:rsid w:val="00C1478C"/>
    <w:rsid w:val="00C14DBC"/>
    <w:rsid w:val="00C15D09"/>
    <w:rsid w:val="00C169FD"/>
    <w:rsid w:val="00C17C4C"/>
    <w:rsid w:val="00C204E4"/>
    <w:rsid w:val="00C20B95"/>
    <w:rsid w:val="00C20C8F"/>
    <w:rsid w:val="00C23695"/>
    <w:rsid w:val="00C23842"/>
    <w:rsid w:val="00C2444B"/>
    <w:rsid w:val="00C31213"/>
    <w:rsid w:val="00C32CF1"/>
    <w:rsid w:val="00C36937"/>
    <w:rsid w:val="00C37543"/>
    <w:rsid w:val="00C42A86"/>
    <w:rsid w:val="00C4326A"/>
    <w:rsid w:val="00C468AB"/>
    <w:rsid w:val="00C46968"/>
    <w:rsid w:val="00C5214C"/>
    <w:rsid w:val="00C53A06"/>
    <w:rsid w:val="00C549F3"/>
    <w:rsid w:val="00C60DEF"/>
    <w:rsid w:val="00C61468"/>
    <w:rsid w:val="00C61D01"/>
    <w:rsid w:val="00C61E6D"/>
    <w:rsid w:val="00C64393"/>
    <w:rsid w:val="00C64722"/>
    <w:rsid w:val="00C64F41"/>
    <w:rsid w:val="00C66F43"/>
    <w:rsid w:val="00C67DB4"/>
    <w:rsid w:val="00C70640"/>
    <w:rsid w:val="00C710C8"/>
    <w:rsid w:val="00C72BA2"/>
    <w:rsid w:val="00C736B7"/>
    <w:rsid w:val="00C73A0A"/>
    <w:rsid w:val="00C73EFA"/>
    <w:rsid w:val="00C772F3"/>
    <w:rsid w:val="00C8034D"/>
    <w:rsid w:val="00C8281B"/>
    <w:rsid w:val="00C83C3A"/>
    <w:rsid w:val="00C9156B"/>
    <w:rsid w:val="00C91A1D"/>
    <w:rsid w:val="00C93806"/>
    <w:rsid w:val="00C9490B"/>
    <w:rsid w:val="00C94D74"/>
    <w:rsid w:val="00C97791"/>
    <w:rsid w:val="00C97DC3"/>
    <w:rsid w:val="00CA1FA9"/>
    <w:rsid w:val="00CA4067"/>
    <w:rsid w:val="00CA5AF5"/>
    <w:rsid w:val="00CB0E0F"/>
    <w:rsid w:val="00CB606E"/>
    <w:rsid w:val="00CB7E37"/>
    <w:rsid w:val="00CC0E70"/>
    <w:rsid w:val="00CC16FC"/>
    <w:rsid w:val="00CC2BCF"/>
    <w:rsid w:val="00CC5AE9"/>
    <w:rsid w:val="00CC636F"/>
    <w:rsid w:val="00CC65A4"/>
    <w:rsid w:val="00CC6C8A"/>
    <w:rsid w:val="00CD0FC1"/>
    <w:rsid w:val="00CD7AE9"/>
    <w:rsid w:val="00CE0018"/>
    <w:rsid w:val="00CE390E"/>
    <w:rsid w:val="00CE3951"/>
    <w:rsid w:val="00CE479E"/>
    <w:rsid w:val="00CF15B3"/>
    <w:rsid w:val="00CF3CF3"/>
    <w:rsid w:val="00CF48E7"/>
    <w:rsid w:val="00CF5010"/>
    <w:rsid w:val="00CF63C7"/>
    <w:rsid w:val="00D032B1"/>
    <w:rsid w:val="00D05BC0"/>
    <w:rsid w:val="00D1007D"/>
    <w:rsid w:val="00D102A6"/>
    <w:rsid w:val="00D11564"/>
    <w:rsid w:val="00D11D8A"/>
    <w:rsid w:val="00D11F1A"/>
    <w:rsid w:val="00D12D82"/>
    <w:rsid w:val="00D13ABF"/>
    <w:rsid w:val="00D2071C"/>
    <w:rsid w:val="00D25429"/>
    <w:rsid w:val="00D305E8"/>
    <w:rsid w:val="00D3063F"/>
    <w:rsid w:val="00D331D8"/>
    <w:rsid w:val="00D334C9"/>
    <w:rsid w:val="00D429AA"/>
    <w:rsid w:val="00D44F34"/>
    <w:rsid w:val="00D45FE2"/>
    <w:rsid w:val="00D55124"/>
    <w:rsid w:val="00D5521F"/>
    <w:rsid w:val="00D55E28"/>
    <w:rsid w:val="00D57244"/>
    <w:rsid w:val="00D5775D"/>
    <w:rsid w:val="00D62A17"/>
    <w:rsid w:val="00D63024"/>
    <w:rsid w:val="00D63097"/>
    <w:rsid w:val="00D644B1"/>
    <w:rsid w:val="00D6473E"/>
    <w:rsid w:val="00D6587A"/>
    <w:rsid w:val="00D66B2F"/>
    <w:rsid w:val="00D71935"/>
    <w:rsid w:val="00D7506D"/>
    <w:rsid w:val="00D750FD"/>
    <w:rsid w:val="00D76DB3"/>
    <w:rsid w:val="00D77387"/>
    <w:rsid w:val="00D775FF"/>
    <w:rsid w:val="00D801A7"/>
    <w:rsid w:val="00D8436A"/>
    <w:rsid w:val="00D84766"/>
    <w:rsid w:val="00D849D5"/>
    <w:rsid w:val="00D864F6"/>
    <w:rsid w:val="00D875B8"/>
    <w:rsid w:val="00D87C35"/>
    <w:rsid w:val="00D92467"/>
    <w:rsid w:val="00DA0E02"/>
    <w:rsid w:val="00DA0E98"/>
    <w:rsid w:val="00DA32B1"/>
    <w:rsid w:val="00DA5B7B"/>
    <w:rsid w:val="00DA5C79"/>
    <w:rsid w:val="00DA6C08"/>
    <w:rsid w:val="00DB01B9"/>
    <w:rsid w:val="00DB092E"/>
    <w:rsid w:val="00DB1026"/>
    <w:rsid w:val="00DC4FB5"/>
    <w:rsid w:val="00DC585D"/>
    <w:rsid w:val="00DC6DC4"/>
    <w:rsid w:val="00DD35DF"/>
    <w:rsid w:val="00DD55B9"/>
    <w:rsid w:val="00DD607F"/>
    <w:rsid w:val="00DD72D3"/>
    <w:rsid w:val="00DD78AF"/>
    <w:rsid w:val="00DD78BA"/>
    <w:rsid w:val="00DE2E78"/>
    <w:rsid w:val="00DE3F17"/>
    <w:rsid w:val="00DE4FD9"/>
    <w:rsid w:val="00DE5779"/>
    <w:rsid w:val="00DE5FB4"/>
    <w:rsid w:val="00DE6266"/>
    <w:rsid w:val="00DF3439"/>
    <w:rsid w:val="00DF4825"/>
    <w:rsid w:val="00E02F11"/>
    <w:rsid w:val="00E03DF1"/>
    <w:rsid w:val="00E03E3E"/>
    <w:rsid w:val="00E04067"/>
    <w:rsid w:val="00E056A6"/>
    <w:rsid w:val="00E11FFB"/>
    <w:rsid w:val="00E123BA"/>
    <w:rsid w:val="00E129C2"/>
    <w:rsid w:val="00E12B1F"/>
    <w:rsid w:val="00E13886"/>
    <w:rsid w:val="00E16E41"/>
    <w:rsid w:val="00E1791E"/>
    <w:rsid w:val="00E20DC6"/>
    <w:rsid w:val="00E20F48"/>
    <w:rsid w:val="00E2132A"/>
    <w:rsid w:val="00E222C2"/>
    <w:rsid w:val="00E2658D"/>
    <w:rsid w:val="00E271C7"/>
    <w:rsid w:val="00E33C60"/>
    <w:rsid w:val="00E33F3F"/>
    <w:rsid w:val="00E34078"/>
    <w:rsid w:val="00E37243"/>
    <w:rsid w:val="00E37983"/>
    <w:rsid w:val="00E37EEE"/>
    <w:rsid w:val="00E40299"/>
    <w:rsid w:val="00E40BA1"/>
    <w:rsid w:val="00E41DD6"/>
    <w:rsid w:val="00E4211F"/>
    <w:rsid w:val="00E43AC2"/>
    <w:rsid w:val="00E453E5"/>
    <w:rsid w:val="00E45692"/>
    <w:rsid w:val="00E46CCF"/>
    <w:rsid w:val="00E5011C"/>
    <w:rsid w:val="00E5676C"/>
    <w:rsid w:val="00E57E67"/>
    <w:rsid w:val="00E6128B"/>
    <w:rsid w:val="00E6222A"/>
    <w:rsid w:val="00E63900"/>
    <w:rsid w:val="00E71812"/>
    <w:rsid w:val="00E71AF2"/>
    <w:rsid w:val="00E7258C"/>
    <w:rsid w:val="00E73CA9"/>
    <w:rsid w:val="00E748B4"/>
    <w:rsid w:val="00E74D97"/>
    <w:rsid w:val="00E7558E"/>
    <w:rsid w:val="00E7598F"/>
    <w:rsid w:val="00E76C6C"/>
    <w:rsid w:val="00E804B5"/>
    <w:rsid w:val="00E81347"/>
    <w:rsid w:val="00E82C54"/>
    <w:rsid w:val="00E87228"/>
    <w:rsid w:val="00E873C7"/>
    <w:rsid w:val="00E91600"/>
    <w:rsid w:val="00E935F0"/>
    <w:rsid w:val="00E93FE8"/>
    <w:rsid w:val="00E95298"/>
    <w:rsid w:val="00E95992"/>
    <w:rsid w:val="00EA0472"/>
    <w:rsid w:val="00EA1BF4"/>
    <w:rsid w:val="00EA2BCA"/>
    <w:rsid w:val="00EA3608"/>
    <w:rsid w:val="00EA3B2D"/>
    <w:rsid w:val="00EA3B42"/>
    <w:rsid w:val="00EA4743"/>
    <w:rsid w:val="00EA4F53"/>
    <w:rsid w:val="00EB1309"/>
    <w:rsid w:val="00EB2219"/>
    <w:rsid w:val="00EB2FCA"/>
    <w:rsid w:val="00EB4C4A"/>
    <w:rsid w:val="00EB6107"/>
    <w:rsid w:val="00EB67B3"/>
    <w:rsid w:val="00EB718E"/>
    <w:rsid w:val="00EB7C59"/>
    <w:rsid w:val="00EC184C"/>
    <w:rsid w:val="00EC36D6"/>
    <w:rsid w:val="00EC6450"/>
    <w:rsid w:val="00EC7F6E"/>
    <w:rsid w:val="00ED30EE"/>
    <w:rsid w:val="00ED39CF"/>
    <w:rsid w:val="00ED3E93"/>
    <w:rsid w:val="00ED63C2"/>
    <w:rsid w:val="00ED7D17"/>
    <w:rsid w:val="00EE0228"/>
    <w:rsid w:val="00EE14B3"/>
    <w:rsid w:val="00EE2307"/>
    <w:rsid w:val="00EE4079"/>
    <w:rsid w:val="00EE45E9"/>
    <w:rsid w:val="00EE5C26"/>
    <w:rsid w:val="00EF2C0D"/>
    <w:rsid w:val="00F0078A"/>
    <w:rsid w:val="00F02077"/>
    <w:rsid w:val="00F02D2F"/>
    <w:rsid w:val="00F03869"/>
    <w:rsid w:val="00F05412"/>
    <w:rsid w:val="00F05E85"/>
    <w:rsid w:val="00F07601"/>
    <w:rsid w:val="00F07AD1"/>
    <w:rsid w:val="00F10079"/>
    <w:rsid w:val="00F13A36"/>
    <w:rsid w:val="00F14896"/>
    <w:rsid w:val="00F14E7C"/>
    <w:rsid w:val="00F15025"/>
    <w:rsid w:val="00F15AA0"/>
    <w:rsid w:val="00F176F9"/>
    <w:rsid w:val="00F21DED"/>
    <w:rsid w:val="00F239FA"/>
    <w:rsid w:val="00F2537E"/>
    <w:rsid w:val="00F30B04"/>
    <w:rsid w:val="00F3205D"/>
    <w:rsid w:val="00F32999"/>
    <w:rsid w:val="00F33ED9"/>
    <w:rsid w:val="00F352D2"/>
    <w:rsid w:val="00F35636"/>
    <w:rsid w:val="00F411CC"/>
    <w:rsid w:val="00F41DA4"/>
    <w:rsid w:val="00F42365"/>
    <w:rsid w:val="00F50F45"/>
    <w:rsid w:val="00F52173"/>
    <w:rsid w:val="00F56C21"/>
    <w:rsid w:val="00F577B5"/>
    <w:rsid w:val="00F57A9D"/>
    <w:rsid w:val="00F60E3A"/>
    <w:rsid w:val="00F611CC"/>
    <w:rsid w:val="00F6204C"/>
    <w:rsid w:val="00F625FB"/>
    <w:rsid w:val="00F62916"/>
    <w:rsid w:val="00F63295"/>
    <w:rsid w:val="00F64160"/>
    <w:rsid w:val="00F652D8"/>
    <w:rsid w:val="00F674AE"/>
    <w:rsid w:val="00F67532"/>
    <w:rsid w:val="00F708AC"/>
    <w:rsid w:val="00F722B2"/>
    <w:rsid w:val="00F74C05"/>
    <w:rsid w:val="00F761EC"/>
    <w:rsid w:val="00F85DE1"/>
    <w:rsid w:val="00F86F38"/>
    <w:rsid w:val="00F973D0"/>
    <w:rsid w:val="00F97600"/>
    <w:rsid w:val="00FA15D7"/>
    <w:rsid w:val="00FA2D92"/>
    <w:rsid w:val="00FA56BB"/>
    <w:rsid w:val="00FA59E6"/>
    <w:rsid w:val="00FA695A"/>
    <w:rsid w:val="00FA7022"/>
    <w:rsid w:val="00FA7E42"/>
    <w:rsid w:val="00FB0C39"/>
    <w:rsid w:val="00FB22E8"/>
    <w:rsid w:val="00FB5D6F"/>
    <w:rsid w:val="00FC00AE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1372"/>
    <w:rsid w:val="00FD2128"/>
    <w:rsid w:val="00FD22C1"/>
    <w:rsid w:val="00FD50A0"/>
    <w:rsid w:val="00FD6CCB"/>
    <w:rsid w:val="00FD70ED"/>
    <w:rsid w:val="00FD7B09"/>
    <w:rsid w:val="00FD7ED8"/>
    <w:rsid w:val="00FD7F7E"/>
    <w:rsid w:val="00FE2E7D"/>
    <w:rsid w:val="00FE3C09"/>
    <w:rsid w:val="00FE416A"/>
    <w:rsid w:val="00FE663B"/>
    <w:rsid w:val="00FF147F"/>
    <w:rsid w:val="00FF63DD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4EF596EB-C2F0-4BD4-A464-AE86820C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9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873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7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EA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7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EA2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6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3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B3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51ED6"/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4F54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1E87"/>
    <w:rPr>
      <w:color w:val="800080" w:themeColor="followedHyperlink"/>
      <w:u w:val="single"/>
    </w:rPr>
  </w:style>
  <w:style w:type="character" w:customStyle="1" w:styleId="tw4winMark">
    <w:name w:val="tw4winMark"/>
    <w:basedOn w:val="DefaultParagraphFont"/>
    <w:rsid w:val="007511BA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nep-aewa.org/sites/default/files/basic_page_documents/final_aewa_syria_irp_repor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nep-aewa.org/sites/default/files/basic_page_documents/aewa_irp_info_sheet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5314</Words>
  <Characters>29040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REVIEW PROCESS – REPORT TO MOP5</vt:lpstr>
      <vt:lpstr>IMPLEMENTATION REVIEW PROCESS – REPORT TO MOP5</vt:lpstr>
    </vt:vector>
  </TitlesOfParts>
  <Company>UNEP</Company>
  <LinksUpToDate>false</LinksUpToDate>
  <CharactersWithSpaces>34286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REVIEW PROCESS – REPORT TO MOP5</dc:title>
  <dc:creator>Sergey Dereliev (UNEP/AEWA Secretariat)</dc:creator>
  <cp:lastModifiedBy>Jolanta Kremer</cp:lastModifiedBy>
  <cp:revision>2</cp:revision>
  <cp:lastPrinted>2015-09-24T13:45:00Z</cp:lastPrinted>
  <dcterms:created xsi:type="dcterms:W3CDTF">2015-10-12T10:56:00Z</dcterms:created>
  <dcterms:modified xsi:type="dcterms:W3CDTF">2015-10-12T10:56:00Z</dcterms:modified>
</cp:coreProperties>
</file>