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C2" w:rsidRPr="00183F00" w:rsidRDefault="003209C2" w:rsidP="003209C2">
      <w:pPr>
        <w:rPr>
          <w:b/>
          <w:sz w:val="28"/>
          <w:szCs w:val="28"/>
          <w:lang w:val="fr-FR"/>
        </w:rPr>
      </w:pPr>
    </w:p>
    <w:p w:rsidR="00B50B65" w:rsidRPr="00183F00" w:rsidRDefault="00AF6378" w:rsidP="00B50B65">
      <w:pPr>
        <w:jc w:val="center"/>
        <w:rPr>
          <w:b/>
          <w:caps/>
          <w:lang w:val="fr-FR"/>
        </w:rPr>
      </w:pPr>
      <w:r w:rsidRPr="00183F00">
        <w:rPr>
          <w:b/>
          <w:caps/>
          <w:lang w:val="fr-FR"/>
        </w:rPr>
        <w:t>rapport du pr</w:t>
      </w:r>
      <w:r w:rsidR="00165D09" w:rsidRPr="00183F00">
        <w:rPr>
          <w:b/>
          <w:caps/>
          <w:lang w:val="fr-FR"/>
        </w:rPr>
        <w:t>É</w:t>
      </w:r>
      <w:r w:rsidRPr="00183F00">
        <w:rPr>
          <w:b/>
          <w:caps/>
          <w:lang w:val="fr-FR"/>
        </w:rPr>
        <w:t>sident du COMITÉ TECHNIQUE DE L’AEWA À LA 5</w:t>
      </w:r>
      <w:r w:rsidR="001348BF" w:rsidRPr="00183F00">
        <w:rPr>
          <w:b/>
          <w:vertAlign w:val="superscript"/>
          <w:lang w:val="fr-FR"/>
        </w:rPr>
        <w:t>ème</w:t>
      </w:r>
      <w:r w:rsidR="001348BF" w:rsidRPr="00183F00">
        <w:rPr>
          <w:b/>
          <w:lang w:val="fr-FR"/>
        </w:rPr>
        <w:t xml:space="preserve"> </w:t>
      </w:r>
      <w:r w:rsidRPr="00183F00">
        <w:rPr>
          <w:b/>
          <w:caps/>
          <w:lang w:val="fr-FR"/>
        </w:rPr>
        <w:t xml:space="preserve">SESSION DE </w:t>
      </w:r>
      <w:smartTag w:uri="urn:schemas-microsoft-com:office:smarttags" w:element="PersonName">
        <w:smartTagPr>
          <w:attr w:name="ProductID" w:val="LA R￉UNION DES PARTIES"/>
        </w:smartTagPr>
        <w:r w:rsidRPr="00183F00">
          <w:rPr>
            <w:b/>
            <w:caps/>
            <w:lang w:val="fr-FR"/>
          </w:rPr>
          <w:t>LA RÉUNION DES PARTIES</w:t>
        </w:r>
      </w:smartTag>
    </w:p>
    <w:p w:rsidR="00B50B65" w:rsidRPr="00183F00" w:rsidRDefault="00B50B65" w:rsidP="00B50B65">
      <w:pPr>
        <w:rPr>
          <w:lang w:val="fr-FR"/>
        </w:rPr>
      </w:pPr>
    </w:p>
    <w:p w:rsidR="00C27D84" w:rsidRPr="00183F00" w:rsidRDefault="00C27D84" w:rsidP="00B50B65">
      <w:pPr>
        <w:rPr>
          <w:sz w:val="28"/>
          <w:szCs w:val="28"/>
          <w:lang w:val="fr-FR"/>
        </w:rPr>
      </w:pPr>
    </w:p>
    <w:p w:rsidR="00B50B65" w:rsidRPr="00183F00" w:rsidRDefault="00AF6378" w:rsidP="00B50B65">
      <w:pPr>
        <w:pStyle w:val="berschrift1"/>
        <w:numPr>
          <w:ilvl w:val="0"/>
          <w:numId w:val="0"/>
        </w:numPr>
        <w:rPr>
          <w:lang w:val="fr-FR"/>
        </w:rPr>
      </w:pPr>
      <w:r w:rsidRPr="00183F00">
        <w:rPr>
          <w:lang w:val="fr-FR"/>
        </w:rPr>
        <w:t>Introduction</w:t>
      </w:r>
    </w:p>
    <w:p w:rsidR="00B50B65" w:rsidRPr="00183F00" w:rsidRDefault="00B50B65" w:rsidP="00B50B65">
      <w:pPr>
        <w:rPr>
          <w:lang w:val="fr-FR"/>
        </w:rPr>
      </w:pPr>
    </w:p>
    <w:p w:rsidR="00B50B65" w:rsidRPr="00183F00" w:rsidRDefault="00AF6378" w:rsidP="00B50B65">
      <w:pPr>
        <w:jc w:val="both"/>
        <w:rPr>
          <w:sz w:val="22"/>
          <w:szCs w:val="22"/>
          <w:lang w:val="fr-FR"/>
        </w:rPr>
      </w:pPr>
      <w:r w:rsidRPr="00183F00">
        <w:rPr>
          <w:sz w:val="22"/>
          <w:szCs w:val="22"/>
          <w:lang w:val="fr-FR"/>
        </w:rPr>
        <w:t>Le présent rapport est soumis à la 5</w:t>
      </w:r>
      <w:r w:rsidRPr="00183F00">
        <w:rPr>
          <w:sz w:val="22"/>
          <w:szCs w:val="22"/>
          <w:vertAlign w:val="superscript"/>
          <w:lang w:val="fr-FR"/>
        </w:rPr>
        <w:t>ème</w:t>
      </w:r>
      <w:r w:rsidRPr="00183F00">
        <w:rPr>
          <w:sz w:val="22"/>
          <w:szCs w:val="22"/>
          <w:lang w:val="fr-FR"/>
        </w:rPr>
        <w:t xml:space="preserve"> session de la Réunion des Parties (MOP5) par le Comité technique (</w:t>
      </w:r>
      <w:r w:rsidR="001348BF">
        <w:rPr>
          <w:sz w:val="22"/>
          <w:szCs w:val="22"/>
          <w:lang w:val="fr-FR"/>
        </w:rPr>
        <w:t>CT</w:t>
      </w:r>
      <w:r w:rsidRPr="00183F00">
        <w:rPr>
          <w:sz w:val="22"/>
          <w:szCs w:val="22"/>
          <w:lang w:val="fr-FR"/>
        </w:rPr>
        <w:t xml:space="preserve">) conformément </w:t>
      </w:r>
      <w:r w:rsidR="005619EC" w:rsidRPr="00183F00">
        <w:rPr>
          <w:sz w:val="22"/>
          <w:szCs w:val="22"/>
          <w:lang w:val="fr-FR"/>
        </w:rPr>
        <w:t>à</w:t>
      </w:r>
      <w:r w:rsidRPr="00183F00">
        <w:rPr>
          <w:sz w:val="22"/>
          <w:szCs w:val="22"/>
          <w:lang w:val="fr-FR"/>
        </w:rPr>
        <w:t xml:space="preserve"> l’Article V</w:t>
      </w:r>
      <w:r w:rsidR="005619EC" w:rsidRPr="00183F00">
        <w:rPr>
          <w:sz w:val="22"/>
          <w:szCs w:val="22"/>
          <w:lang w:val="fr-FR"/>
        </w:rPr>
        <w:t>II</w:t>
      </w:r>
      <w:r w:rsidRPr="00183F00">
        <w:rPr>
          <w:sz w:val="22"/>
          <w:szCs w:val="22"/>
          <w:lang w:val="fr-FR"/>
        </w:rPr>
        <w:t>, paragraphe 3 (c) de l’Accord.</w:t>
      </w:r>
      <w:r w:rsidR="00EF0159" w:rsidRPr="00183F00">
        <w:rPr>
          <w:sz w:val="22"/>
          <w:szCs w:val="22"/>
          <w:lang w:val="fr-FR"/>
        </w:rPr>
        <w:t xml:space="preserve"> </w:t>
      </w:r>
      <w:r w:rsidR="00684BEA" w:rsidRPr="00183F00">
        <w:rPr>
          <w:sz w:val="22"/>
          <w:szCs w:val="22"/>
          <w:lang w:val="fr-FR"/>
        </w:rPr>
        <w:t>Le rapport</w:t>
      </w:r>
      <w:r w:rsidRPr="00183F00">
        <w:rPr>
          <w:sz w:val="22"/>
          <w:szCs w:val="22"/>
          <w:lang w:val="fr-FR"/>
        </w:rPr>
        <w:t xml:space="preserve"> décrit les activités </w:t>
      </w:r>
      <w:r w:rsidR="00684BEA" w:rsidRPr="00183F00">
        <w:rPr>
          <w:sz w:val="22"/>
          <w:szCs w:val="22"/>
          <w:lang w:val="fr-FR"/>
        </w:rPr>
        <w:t>entreprises par le</w:t>
      </w:r>
      <w:r w:rsidRPr="00183F00">
        <w:rPr>
          <w:sz w:val="22"/>
          <w:szCs w:val="22"/>
          <w:lang w:val="fr-FR"/>
        </w:rPr>
        <w:t xml:space="preserve"> </w:t>
      </w:r>
      <w:r w:rsidR="001348BF">
        <w:rPr>
          <w:sz w:val="22"/>
          <w:szCs w:val="22"/>
          <w:lang w:val="fr-FR"/>
        </w:rPr>
        <w:t>CT</w:t>
      </w:r>
      <w:r w:rsidRPr="00183F00">
        <w:rPr>
          <w:sz w:val="22"/>
          <w:szCs w:val="22"/>
          <w:lang w:val="fr-FR"/>
        </w:rPr>
        <w:t xml:space="preserve"> pour mettre en œuvre son plan de travail pour la période 2009-2012, ainsi que les résultats obtenus.</w:t>
      </w:r>
      <w:r w:rsidR="00DC62BB" w:rsidRPr="00183F00">
        <w:rPr>
          <w:rFonts w:ascii="TimesNewRomanPSMT" w:hAnsi="TimesNewRomanPSMT" w:cs="TimesNewRomanPSMT"/>
          <w:sz w:val="22"/>
          <w:szCs w:val="22"/>
          <w:lang w:val="fr-FR"/>
        </w:rPr>
        <w:t xml:space="preserve"> </w:t>
      </w:r>
      <w:r w:rsidR="00684BEA" w:rsidRPr="00183F00">
        <w:rPr>
          <w:rFonts w:ascii="TimesNewRomanPSMT" w:hAnsi="TimesNewRomanPSMT" w:cs="TimesNewRomanPSMT"/>
          <w:sz w:val="22"/>
          <w:szCs w:val="22"/>
          <w:lang w:val="fr-FR"/>
        </w:rPr>
        <w:t xml:space="preserve">Selon le plan de travail, dix questions majeures (constituées chacune de plusieurs tâches) devaient être </w:t>
      </w:r>
      <w:r w:rsidR="00165D09" w:rsidRPr="00183F00">
        <w:rPr>
          <w:rFonts w:ascii="TimesNewRomanPSMT" w:hAnsi="TimesNewRomanPSMT" w:cs="TimesNewRomanPSMT"/>
          <w:sz w:val="22"/>
          <w:szCs w:val="22"/>
          <w:lang w:val="fr-FR"/>
        </w:rPr>
        <w:t>menées à bien</w:t>
      </w:r>
      <w:r w:rsidR="00684BEA" w:rsidRPr="00183F00">
        <w:rPr>
          <w:rFonts w:ascii="TimesNewRomanPSMT" w:hAnsi="TimesNewRomanPSMT" w:cs="TimesNewRomanPSMT"/>
          <w:sz w:val="22"/>
          <w:szCs w:val="22"/>
          <w:lang w:val="fr-FR"/>
        </w:rPr>
        <w:t xml:space="preserve"> au cours de la dernière période quadriennale.</w:t>
      </w:r>
      <w:r w:rsidR="00DC62BB" w:rsidRPr="00183F00">
        <w:rPr>
          <w:rFonts w:ascii="TimesNewRomanPSMT" w:hAnsi="TimesNewRomanPSMT" w:cs="TimesNewRomanPSMT"/>
          <w:sz w:val="22"/>
          <w:szCs w:val="22"/>
          <w:lang w:val="fr-FR"/>
        </w:rPr>
        <w:t xml:space="preserve"> </w:t>
      </w:r>
      <w:r w:rsidR="00684BEA" w:rsidRPr="00183F00">
        <w:rPr>
          <w:rFonts w:ascii="TimesNewRomanPSMT" w:hAnsi="TimesNewRomanPSMT" w:cs="TimesNewRomanPSMT"/>
          <w:sz w:val="22"/>
          <w:szCs w:val="22"/>
          <w:lang w:val="fr-FR"/>
        </w:rPr>
        <w:t xml:space="preserve">Chacune de ces questions a été déléguée à une groupe de travail constitué de plusieurs représentants </w:t>
      </w:r>
      <w:r w:rsidR="00436D54" w:rsidRPr="00183F00">
        <w:rPr>
          <w:rFonts w:ascii="TimesNewRomanPSMT" w:hAnsi="TimesNewRomanPSMT" w:cs="TimesNewRomanPSMT"/>
          <w:sz w:val="22"/>
          <w:szCs w:val="22"/>
          <w:lang w:val="fr-FR"/>
        </w:rPr>
        <w:t>régionaux</w:t>
      </w:r>
      <w:r w:rsidR="00684BEA" w:rsidRPr="00183F00">
        <w:rPr>
          <w:rFonts w:ascii="TimesNewRomanPSMT" w:hAnsi="TimesNewRomanPSMT" w:cs="TimesNewRomanPSMT"/>
          <w:sz w:val="22"/>
          <w:szCs w:val="22"/>
          <w:lang w:val="fr-FR"/>
        </w:rPr>
        <w:t>, d’experts thématiques, de représentants</w:t>
      </w:r>
      <w:r w:rsidR="005619EC" w:rsidRPr="00183F00">
        <w:rPr>
          <w:rFonts w:ascii="TimesNewRomanPSMT" w:hAnsi="TimesNewRomanPSMT" w:cs="TimesNewRomanPSMT"/>
          <w:sz w:val="22"/>
          <w:szCs w:val="22"/>
          <w:lang w:val="fr-FR"/>
        </w:rPr>
        <w:t xml:space="preserve"> </w:t>
      </w:r>
      <w:r w:rsidR="00684BEA" w:rsidRPr="00183F00">
        <w:rPr>
          <w:rFonts w:ascii="TimesNewRomanPSMT" w:hAnsi="TimesNewRomanPSMT" w:cs="TimesNewRomanPSMT"/>
          <w:sz w:val="22"/>
          <w:szCs w:val="22"/>
          <w:lang w:val="fr-FR"/>
        </w:rPr>
        <w:t>ou d’observateurs d’ONG, ainsi que d’un représentant du Secrétariat.</w:t>
      </w:r>
      <w:r w:rsidR="00DC62BB" w:rsidRPr="00183F00">
        <w:rPr>
          <w:rFonts w:ascii="TimesNewRomanPSMT" w:hAnsi="TimesNewRomanPSMT" w:cs="TimesNewRomanPSMT"/>
          <w:sz w:val="22"/>
          <w:szCs w:val="22"/>
          <w:lang w:val="fr-FR"/>
        </w:rPr>
        <w:t xml:space="preserve"> </w:t>
      </w:r>
      <w:r w:rsidR="00684BEA" w:rsidRPr="00183F00">
        <w:rPr>
          <w:rFonts w:ascii="TimesNewRomanPSMT" w:hAnsi="TimesNewRomanPSMT" w:cs="TimesNewRomanPSMT"/>
          <w:sz w:val="22"/>
          <w:szCs w:val="22"/>
          <w:lang w:val="fr-FR"/>
        </w:rPr>
        <w:t>Chaque groupe de travail a</w:t>
      </w:r>
      <w:r w:rsidR="005619EC" w:rsidRPr="00183F00">
        <w:rPr>
          <w:rFonts w:ascii="TimesNewRomanPSMT" w:hAnsi="TimesNewRomanPSMT" w:cs="TimesNewRomanPSMT"/>
          <w:sz w:val="22"/>
          <w:szCs w:val="22"/>
          <w:lang w:val="fr-FR"/>
        </w:rPr>
        <w:t>vait</w:t>
      </w:r>
      <w:r w:rsidR="00684BEA" w:rsidRPr="00183F00">
        <w:rPr>
          <w:rFonts w:ascii="TimesNewRomanPSMT" w:hAnsi="TimesNewRomanPSMT" w:cs="TimesNewRomanPSMT"/>
          <w:sz w:val="22"/>
          <w:szCs w:val="22"/>
          <w:lang w:val="fr-FR"/>
        </w:rPr>
        <w:t xml:space="preserve"> un président désigné, </w:t>
      </w:r>
      <w:r w:rsidR="005220B4" w:rsidRPr="00183F00">
        <w:rPr>
          <w:rFonts w:ascii="TimesNewRomanPSMT" w:hAnsi="TimesNewRomanPSMT" w:cs="TimesNewRomanPSMT"/>
          <w:sz w:val="22"/>
          <w:szCs w:val="22"/>
          <w:lang w:val="fr-FR"/>
        </w:rPr>
        <w:t>qui a initié et surveillé le travail</w:t>
      </w:r>
      <w:r w:rsidR="00684BEA" w:rsidRPr="00183F00">
        <w:rPr>
          <w:rFonts w:ascii="TimesNewRomanPSMT" w:hAnsi="TimesNewRomanPSMT" w:cs="TimesNewRomanPSMT"/>
          <w:sz w:val="22"/>
          <w:szCs w:val="22"/>
          <w:lang w:val="fr-FR"/>
        </w:rPr>
        <w:t xml:space="preserve">, </w:t>
      </w:r>
      <w:r w:rsidR="005220B4" w:rsidRPr="00183F00">
        <w:rPr>
          <w:rFonts w:ascii="TimesNewRomanPSMT" w:hAnsi="TimesNewRomanPSMT" w:cs="TimesNewRomanPSMT"/>
          <w:sz w:val="22"/>
          <w:szCs w:val="22"/>
          <w:lang w:val="fr-FR"/>
        </w:rPr>
        <w:t>a présidé le groupe de travail et s’est chargé de la remise des résultats</w:t>
      </w:r>
      <w:r w:rsidR="00684BEA" w:rsidRPr="00183F00">
        <w:rPr>
          <w:rFonts w:ascii="TimesNewRomanPSMT" w:hAnsi="TimesNewRomanPSMT" w:cs="TimesNewRomanPSMT"/>
          <w:sz w:val="22"/>
          <w:szCs w:val="22"/>
          <w:lang w:val="fr-FR"/>
        </w:rPr>
        <w:t>.</w:t>
      </w:r>
    </w:p>
    <w:p w:rsidR="00B50B65" w:rsidRPr="00183F00" w:rsidRDefault="00B50B65" w:rsidP="00B50B65">
      <w:pPr>
        <w:jc w:val="both"/>
        <w:rPr>
          <w:sz w:val="22"/>
          <w:szCs w:val="22"/>
          <w:lang w:val="fr-FR"/>
        </w:rPr>
      </w:pPr>
    </w:p>
    <w:p w:rsidR="00B50B65" w:rsidRPr="00183F00" w:rsidRDefault="005220B4" w:rsidP="00B50B65">
      <w:pPr>
        <w:jc w:val="both"/>
        <w:rPr>
          <w:color w:val="000080"/>
          <w:sz w:val="22"/>
          <w:szCs w:val="22"/>
          <w:lang w:val="fr-FR"/>
        </w:rPr>
      </w:pPr>
      <w:r w:rsidRPr="00183F00">
        <w:rPr>
          <w:sz w:val="22"/>
          <w:szCs w:val="22"/>
          <w:lang w:val="fr-FR"/>
        </w:rPr>
        <w:t>Au cours de la période quadriennale 2009-2012, le Comité technique s’est réuni deux fois, sous la pr</w:t>
      </w:r>
      <w:r w:rsidR="00E84EF7" w:rsidRPr="00183F00">
        <w:rPr>
          <w:sz w:val="22"/>
          <w:szCs w:val="22"/>
          <w:lang w:val="fr-FR"/>
        </w:rPr>
        <w:t>é</w:t>
      </w:r>
      <w:r w:rsidRPr="00183F00">
        <w:rPr>
          <w:sz w:val="22"/>
          <w:szCs w:val="22"/>
          <w:lang w:val="fr-FR"/>
        </w:rPr>
        <w:t>sidence de Jelena Kralj (Croatie), représentante régionale de l’Europe centrale.</w:t>
      </w:r>
      <w:r w:rsidR="00B50B65" w:rsidRPr="00183F00">
        <w:rPr>
          <w:sz w:val="22"/>
          <w:szCs w:val="22"/>
          <w:lang w:val="fr-FR"/>
        </w:rPr>
        <w:t xml:space="preserve"> </w:t>
      </w:r>
      <w:r w:rsidRPr="00183F00">
        <w:rPr>
          <w:sz w:val="22"/>
          <w:szCs w:val="22"/>
          <w:lang w:val="fr-FR"/>
        </w:rPr>
        <w:t>La neuvième réunion (</w:t>
      </w:r>
      <w:r w:rsidR="001348BF">
        <w:rPr>
          <w:sz w:val="22"/>
          <w:szCs w:val="22"/>
          <w:lang w:val="fr-FR"/>
        </w:rPr>
        <w:t>CT</w:t>
      </w:r>
      <w:r w:rsidRPr="00183F00">
        <w:rPr>
          <w:sz w:val="22"/>
          <w:szCs w:val="22"/>
          <w:lang w:val="fr-FR"/>
        </w:rPr>
        <w:t xml:space="preserve">9) s’est tenue du 20 au 23 avril 2009 à Zagreb, Croatie, </w:t>
      </w:r>
      <w:r w:rsidR="004D6156" w:rsidRPr="00183F00">
        <w:rPr>
          <w:sz w:val="22"/>
          <w:szCs w:val="22"/>
          <w:lang w:val="fr-FR"/>
        </w:rPr>
        <w:t xml:space="preserve">où elle était </w:t>
      </w:r>
      <w:r w:rsidR="00165D09" w:rsidRPr="00183F00">
        <w:rPr>
          <w:sz w:val="22"/>
          <w:szCs w:val="22"/>
          <w:lang w:val="fr-FR"/>
        </w:rPr>
        <w:t>organisée</w:t>
      </w:r>
      <w:r w:rsidR="004D6156" w:rsidRPr="00183F00">
        <w:rPr>
          <w:sz w:val="22"/>
          <w:szCs w:val="22"/>
          <w:lang w:val="fr-FR"/>
        </w:rPr>
        <w:t xml:space="preserve"> par le ministère de la culture du gouvernement de </w:t>
      </w:r>
      <w:smartTag w:uri="urn:schemas-microsoft-com:office:smarttags" w:element="PersonName">
        <w:smartTagPr>
          <w:attr w:name="ProductID" w:val="la Croatie. La"/>
        </w:smartTagPr>
        <w:r w:rsidR="004D6156" w:rsidRPr="00183F00">
          <w:rPr>
            <w:sz w:val="22"/>
            <w:szCs w:val="22"/>
            <w:lang w:val="fr-FR"/>
          </w:rPr>
          <w:t>la</w:t>
        </w:r>
        <w:r w:rsidRPr="00183F00">
          <w:rPr>
            <w:sz w:val="22"/>
            <w:szCs w:val="22"/>
            <w:lang w:val="fr-FR"/>
          </w:rPr>
          <w:t xml:space="preserve"> Croati</w:t>
        </w:r>
        <w:r w:rsidR="004D6156" w:rsidRPr="00183F00">
          <w:rPr>
            <w:sz w:val="22"/>
            <w:szCs w:val="22"/>
            <w:lang w:val="fr-FR"/>
          </w:rPr>
          <w:t>e</w:t>
        </w:r>
        <w:r w:rsidRPr="00183F00">
          <w:rPr>
            <w:sz w:val="22"/>
            <w:szCs w:val="22"/>
            <w:lang w:val="fr-FR"/>
          </w:rPr>
          <w:t>.</w:t>
        </w:r>
        <w:r w:rsidR="00CB47A3" w:rsidRPr="00183F00">
          <w:rPr>
            <w:sz w:val="22"/>
            <w:szCs w:val="22"/>
            <w:lang w:val="fr-FR"/>
          </w:rPr>
          <w:t xml:space="preserve"> </w:t>
        </w:r>
        <w:r w:rsidR="004D6156" w:rsidRPr="00183F00">
          <w:rPr>
            <w:sz w:val="22"/>
            <w:szCs w:val="22"/>
            <w:lang w:val="fr-FR"/>
          </w:rPr>
          <w:t>La</w:t>
        </w:r>
      </w:smartTag>
      <w:r w:rsidR="004D6156" w:rsidRPr="00183F00">
        <w:rPr>
          <w:sz w:val="22"/>
          <w:szCs w:val="22"/>
          <w:lang w:val="fr-FR"/>
        </w:rPr>
        <w:t xml:space="preserve"> dixième réunion (</w:t>
      </w:r>
      <w:r w:rsidR="001348BF">
        <w:rPr>
          <w:sz w:val="22"/>
          <w:szCs w:val="22"/>
          <w:lang w:val="fr-FR"/>
        </w:rPr>
        <w:t>CT</w:t>
      </w:r>
      <w:r w:rsidR="004D6156" w:rsidRPr="00183F00">
        <w:rPr>
          <w:sz w:val="22"/>
          <w:szCs w:val="22"/>
          <w:lang w:val="fr-FR"/>
        </w:rPr>
        <w:t xml:space="preserve">10) s’est tenue du 12 au 16 septembre 2011 à Naivasha, Kenya, où elle était </w:t>
      </w:r>
      <w:r w:rsidR="00165D09" w:rsidRPr="00183F00">
        <w:rPr>
          <w:sz w:val="22"/>
          <w:szCs w:val="22"/>
          <w:lang w:val="fr-FR"/>
        </w:rPr>
        <w:t>organisée</w:t>
      </w:r>
      <w:r w:rsidR="004D6156" w:rsidRPr="00183F00">
        <w:rPr>
          <w:sz w:val="22"/>
          <w:szCs w:val="22"/>
          <w:lang w:val="fr-FR"/>
        </w:rPr>
        <w:t xml:space="preserve"> par le gouvernement du </w:t>
      </w:r>
      <w:r w:rsidR="00E84EF7" w:rsidRPr="00183F00">
        <w:rPr>
          <w:sz w:val="22"/>
          <w:szCs w:val="22"/>
          <w:lang w:val="fr-FR"/>
        </w:rPr>
        <w:t>Ken</w:t>
      </w:r>
      <w:r w:rsidR="00F23AD0" w:rsidRPr="00183F00">
        <w:rPr>
          <w:sz w:val="22"/>
          <w:szCs w:val="22"/>
          <w:lang w:val="fr-FR"/>
        </w:rPr>
        <w:t>y</w:t>
      </w:r>
      <w:r w:rsidR="00E84EF7" w:rsidRPr="00183F00">
        <w:rPr>
          <w:sz w:val="22"/>
          <w:szCs w:val="22"/>
          <w:lang w:val="fr-FR"/>
        </w:rPr>
        <w:t xml:space="preserve">a </w:t>
      </w:r>
      <w:r w:rsidR="004D6156" w:rsidRPr="00183F00">
        <w:rPr>
          <w:sz w:val="22"/>
          <w:szCs w:val="22"/>
          <w:lang w:val="fr-FR"/>
        </w:rPr>
        <w:t>et le Service k</w:t>
      </w:r>
      <w:r w:rsidR="00F23AD0" w:rsidRPr="00183F00">
        <w:rPr>
          <w:sz w:val="22"/>
          <w:szCs w:val="22"/>
          <w:lang w:val="fr-FR"/>
        </w:rPr>
        <w:t>ény</w:t>
      </w:r>
      <w:r w:rsidR="004D6156" w:rsidRPr="00183F00">
        <w:rPr>
          <w:sz w:val="22"/>
          <w:szCs w:val="22"/>
          <w:lang w:val="fr-FR"/>
        </w:rPr>
        <w:t>an de la vie sauvage.</w:t>
      </w:r>
      <w:r w:rsidR="00B50B65" w:rsidRPr="00183F00">
        <w:rPr>
          <w:sz w:val="22"/>
          <w:szCs w:val="22"/>
          <w:lang w:val="fr-FR"/>
        </w:rPr>
        <w:t xml:space="preserve"> </w:t>
      </w:r>
      <w:r w:rsidR="00AA30B0" w:rsidRPr="00183F00">
        <w:rPr>
          <w:sz w:val="22"/>
          <w:szCs w:val="22"/>
          <w:lang w:val="fr-FR"/>
        </w:rPr>
        <w:t xml:space="preserve">Nous désirons exprimer </w:t>
      </w:r>
      <w:r w:rsidR="00E84EF7" w:rsidRPr="00183F00">
        <w:rPr>
          <w:sz w:val="22"/>
          <w:szCs w:val="22"/>
          <w:lang w:val="fr-FR"/>
        </w:rPr>
        <w:t xml:space="preserve">à nos hôtes </w:t>
      </w:r>
      <w:r w:rsidR="00AA30B0" w:rsidRPr="00183F00">
        <w:rPr>
          <w:sz w:val="22"/>
          <w:szCs w:val="22"/>
          <w:lang w:val="fr-FR"/>
        </w:rPr>
        <w:t xml:space="preserve">notre sincère gratitude </w:t>
      </w:r>
      <w:r w:rsidR="00E84EF7" w:rsidRPr="00183F00">
        <w:rPr>
          <w:sz w:val="22"/>
          <w:szCs w:val="22"/>
          <w:lang w:val="fr-FR"/>
        </w:rPr>
        <w:t xml:space="preserve">et nos remerciements pour </w:t>
      </w:r>
      <w:r w:rsidR="00AA30B0" w:rsidRPr="00183F00">
        <w:rPr>
          <w:sz w:val="22"/>
          <w:szCs w:val="22"/>
          <w:lang w:val="fr-FR"/>
        </w:rPr>
        <w:t>leur généreuse invitation, les excellents services logistiques et les conditions fournies, qui ont fortement contribué au succès de ces deux réunions.</w:t>
      </w:r>
      <w:r w:rsidR="00B50B65" w:rsidRPr="00183F00">
        <w:rPr>
          <w:color w:val="000080"/>
          <w:sz w:val="22"/>
          <w:szCs w:val="22"/>
          <w:lang w:val="fr-FR"/>
        </w:rPr>
        <w:t xml:space="preserve"> </w:t>
      </w:r>
    </w:p>
    <w:p w:rsidR="00B50B65" w:rsidRPr="00183F00" w:rsidRDefault="00B50B65" w:rsidP="00B50B65">
      <w:pPr>
        <w:ind w:right="-1768"/>
        <w:jc w:val="both"/>
        <w:rPr>
          <w:color w:val="000080"/>
          <w:sz w:val="22"/>
          <w:szCs w:val="22"/>
          <w:lang w:val="fr-FR"/>
        </w:rPr>
      </w:pPr>
    </w:p>
    <w:p w:rsidR="00D462A6" w:rsidRPr="00183F00" w:rsidRDefault="00AA30B0" w:rsidP="00DC62BB">
      <w:pPr>
        <w:jc w:val="both"/>
        <w:rPr>
          <w:rFonts w:ascii="TimesNewRomanPSMT" w:hAnsi="TimesNewRomanPSMT" w:cs="TimesNewRomanPSMT"/>
          <w:sz w:val="22"/>
          <w:szCs w:val="22"/>
          <w:lang w:val="fr-FR"/>
        </w:rPr>
      </w:pPr>
      <w:r w:rsidRPr="00183F00">
        <w:rPr>
          <w:sz w:val="22"/>
          <w:szCs w:val="22"/>
          <w:lang w:val="fr-FR"/>
        </w:rPr>
        <w:t xml:space="preserve">Avant le </w:t>
      </w:r>
      <w:r w:rsidR="001348BF">
        <w:rPr>
          <w:sz w:val="22"/>
          <w:szCs w:val="22"/>
          <w:lang w:val="fr-FR"/>
        </w:rPr>
        <w:t>CT</w:t>
      </w:r>
      <w:r w:rsidRPr="00183F00">
        <w:rPr>
          <w:sz w:val="22"/>
          <w:szCs w:val="22"/>
          <w:lang w:val="fr-FR"/>
        </w:rPr>
        <w:t xml:space="preserve">9, le plan de travail 2009-2012 du </w:t>
      </w:r>
      <w:r w:rsidR="001348BF">
        <w:rPr>
          <w:sz w:val="22"/>
          <w:szCs w:val="22"/>
          <w:lang w:val="fr-FR"/>
        </w:rPr>
        <w:t>CT</w:t>
      </w:r>
      <w:r w:rsidRPr="00183F00">
        <w:rPr>
          <w:sz w:val="22"/>
          <w:szCs w:val="22"/>
          <w:lang w:val="fr-FR"/>
        </w:rPr>
        <w:t xml:space="preserve"> a été développé et </w:t>
      </w:r>
      <w:r w:rsidR="00165D09" w:rsidRPr="00183F00">
        <w:rPr>
          <w:sz w:val="22"/>
          <w:szCs w:val="22"/>
          <w:lang w:val="fr-FR"/>
        </w:rPr>
        <w:t>accepté</w:t>
      </w:r>
      <w:r w:rsidRPr="00183F00">
        <w:rPr>
          <w:sz w:val="22"/>
          <w:szCs w:val="22"/>
          <w:lang w:val="fr-FR"/>
        </w:rPr>
        <w:t xml:space="preserve">, </w:t>
      </w:r>
      <w:r w:rsidR="00AD37B5" w:rsidRPr="00183F00">
        <w:rPr>
          <w:sz w:val="22"/>
          <w:szCs w:val="22"/>
          <w:lang w:val="fr-FR"/>
        </w:rPr>
        <w:t>et les groupes de travail ont été établis</w:t>
      </w:r>
      <w:r w:rsidRPr="00183F00">
        <w:rPr>
          <w:sz w:val="22"/>
          <w:szCs w:val="22"/>
          <w:lang w:val="fr-FR"/>
        </w:rPr>
        <w:t>.</w:t>
      </w:r>
      <w:r w:rsidR="00BE7F98" w:rsidRPr="00183F00">
        <w:rPr>
          <w:sz w:val="22"/>
          <w:szCs w:val="22"/>
          <w:lang w:val="fr-FR"/>
        </w:rPr>
        <w:t xml:space="preserve"> </w:t>
      </w:r>
      <w:r w:rsidR="00AD37B5" w:rsidRPr="00183F00">
        <w:rPr>
          <w:sz w:val="22"/>
          <w:szCs w:val="22"/>
          <w:lang w:val="fr-FR"/>
        </w:rPr>
        <w:t xml:space="preserve">Lors de la </w:t>
      </w:r>
      <w:r w:rsidR="001348BF">
        <w:rPr>
          <w:sz w:val="22"/>
          <w:szCs w:val="22"/>
          <w:lang w:val="fr-FR"/>
        </w:rPr>
        <w:t>CT</w:t>
      </w:r>
      <w:r w:rsidR="00AD37B5" w:rsidRPr="00183F00">
        <w:rPr>
          <w:sz w:val="22"/>
          <w:szCs w:val="22"/>
          <w:lang w:val="fr-FR"/>
        </w:rPr>
        <w:t>9, la majorité du travail a été réalisée au sein de groupes de travail, ce qui s’est avéré très productif pour l</w:t>
      </w:r>
      <w:r w:rsidR="00E84EF7" w:rsidRPr="00183F00">
        <w:rPr>
          <w:sz w:val="22"/>
          <w:szCs w:val="22"/>
          <w:lang w:val="fr-FR"/>
        </w:rPr>
        <w:t>a réalisation</w:t>
      </w:r>
      <w:r w:rsidR="00AD37B5" w:rsidRPr="00183F00">
        <w:rPr>
          <w:sz w:val="22"/>
          <w:szCs w:val="22"/>
          <w:lang w:val="fr-FR"/>
        </w:rPr>
        <w:t xml:space="preserve"> des tâches et la rédaction des documents.</w:t>
      </w:r>
      <w:r w:rsidR="00DC62BB" w:rsidRPr="00183F00">
        <w:rPr>
          <w:sz w:val="22"/>
          <w:szCs w:val="22"/>
          <w:lang w:val="fr-FR"/>
        </w:rPr>
        <w:t xml:space="preserve"> </w:t>
      </w:r>
      <w:r w:rsidR="00A814A2" w:rsidRPr="00183F00">
        <w:rPr>
          <w:sz w:val="22"/>
          <w:szCs w:val="22"/>
          <w:lang w:val="fr-FR"/>
        </w:rPr>
        <w:t>Une autre nouveauté était l’</w:t>
      </w:r>
      <w:r w:rsidR="00A814A2" w:rsidRPr="00183F00">
        <w:rPr>
          <w:i/>
          <w:sz w:val="22"/>
          <w:szCs w:val="22"/>
          <w:lang w:val="fr-FR"/>
        </w:rPr>
        <w:t>Espace de travail du Comité technique,</w:t>
      </w:r>
      <w:r w:rsidR="00DE14AE" w:rsidRPr="00183F00">
        <w:rPr>
          <w:sz w:val="22"/>
          <w:szCs w:val="22"/>
          <w:lang w:val="fr-FR"/>
        </w:rPr>
        <w:t xml:space="preserve"> </w:t>
      </w:r>
      <w:r w:rsidR="00A814A2" w:rsidRPr="00183F00">
        <w:rPr>
          <w:sz w:val="22"/>
          <w:szCs w:val="22"/>
          <w:lang w:val="fr-FR"/>
        </w:rPr>
        <w:t>lancé en janvier</w:t>
      </w:r>
      <w:r w:rsidR="00A814A2" w:rsidRPr="00183F00">
        <w:rPr>
          <w:rFonts w:ascii="TimesNewRomanPSMT" w:hAnsi="TimesNewRomanPSMT" w:cs="TimesNewRomanPSMT"/>
          <w:sz w:val="22"/>
          <w:szCs w:val="22"/>
          <w:lang w:val="fr-FR"/>
        </w:rPr>
        <w:t xml:space="preserve"> 2009. Il s’agit d’un espace de communication et </w:t>
      </w:r>
      <w:r w:rsidR="00930872" w:rsidRPr="00183F00">
        <w:rPr>
          <w:rFonts w:ascii="TimesNewRomanPSMT" w:hAnsi="TimesNewRomanPSMT" w:cs="TimesNewRomanPSMT"/>
          <w:sz w:val="22"/>
          <w:szCs w:val="22"/>
          <w:lang w:val="fr-FR"/>
        </w:rPr>
        <w:t xml:space="preserve">de </w:t>
      </w:r>
      <w:r w:rsidR="00A814A2" w:rsidRPr="00183F00">
        <w:rPr>
          <w:rFonts w:ascii="TimesNewRomanPSMT" w:hAnsi="TimesNewRomanPSMT" w:cs="TimesNewRomanPSMT"/>
          <w:sz w:val="22"/>
          <w:szCs w:val="22"/>
          <w:lang w:val="fr-FR"/>
        </w:rPr>
        <w:t>travail basé sur le Web et protégé par un mot de passe, d</w:t>
      </w:r>
      <w:r w:rsidR="00B845EB" w:rsidRPr="00183F00">
        <w:rPr>
          <w:rFonts w:ascii="TimesNewRomanPSMT" w:hAnsi="TimesNewRomanPSMT" w:cs="TimesNewRomanPSMT"/>
          <w:sz w:val="22"/>
          <w:szCs w:val="22"/>
          <w:lang w:val="fr-FR"/>
        </w:rPr>
        <w:t>estin</w:t>
      </w:r>
      <w:r w:rsidR="00A814A2" w:rsidRPr="00183F00">
        <w:rPr>
          <w:rFonts w:ascii="TimesNewRomanPSMT" w:hAnsi="TimesNewRomanPSMT" w:cs="TimesNewRomanPSMT"/>
          <w:sz w:val="22"/>
          <w:szCs w:val="22"/>
          <w:lang w:val="fr-FR"/>
        </w:rPr>
        <w:t xml:space="preserve">é au </w:t>
      </w:r>
      <w:r w:rsidR="001348BF">
        <w:rPr>
          <w:rFonts w:ascii="TimesNewRomanPSMT" w:hAnsi="TimesNewRomanPSMT" w:cs="TimesNewRomanPSMT"/>
          <w:sz w:val="22"/>
          <w:szCs w:val="22"/>
          <w:lang w:val="fr-FR"/>
        </w:rPr>
        <w:t>CT</w:t>
      </w:r>
      <w:r w:rsidR="00A814A2" w:rsidRPr="00183F00">
        <w:rPr>
          <w:rFonts w:ascii="TimesNewRomanPSMT" w:hAnsi="TimesNewRomanPSMT" w:cs="TimesNewRomanPSMT"/>
          <w:sz w:val="22"/>
          <w:szCs w:val="22"/>
          <w:lang w:val="fr-FR"/>
        </w:rPr>
        <w:t xml:space="preserve">, qui fournit un </w:t>
      </w:r>
      <w:r w:rsidR="00436D54" w:rsidRPr="00183F00">
        <w:rPr>
          <w:rFonts w:ascii="TimesNewRomanPSMT" w:hAnsi="TimesNewRomanPSMT" w:cs="TimesNewRomanPSMT"/>
          <w:sz w:val="22"/>
          <w:szCs w:val="22"/>
          <w:lang w:val="fr-FR"/>
        </w:rPr>
        <w:t>accès</w:t>
      </w:r>
      <w:r w:rsidR="00A814A2" w:rsidRPr="00183F00">
        <w:rPr>
          <w:rFonts w:ascii="TimesNewRomanPSMT" w:hAnsi="TimesNewRomanPSMT" w:cs="TimesNewRomanPSMT"/>
          <w:sz w:val="22"/>
          <w:szCs w:val="22"/>
          <w:lang w:val="fr-FR"/>
        </w:rPr>
        <w:t xml:space="preserve"> aisé aux documents, permet la correspond</w:t>
      </w:r>
      <w:r w:rsidR="00B845EB" w:rsidRPr="00183F00">
        <w:rPr>
          <w:rFonts w:ascii="TimesNewRomanPSMT" w:hAnsi="TimesNewRomanPSMT" w:cs="TimesNewRomanPSMT"/>
          <w:sz w:val="22"/>
          <w:szCs w:val="22"/>
          <w:lang w:val="fr-FR"/>
        </w:rPr>
        <w:t>a</w:t>
      </w:r>
      <w:r w:rsidR="00A814A2" w:rsidRPr="00183F00">
        <w:rPr>
          <w:rFonts w:ascii="TimesNewRomanPSMT" w:hAnsi="TimesNewRomanPSMT" w:cs="TimesNewRomanPSMT"/>
          <w:sz w:val="22"/>
          <w:szCs w:val="22"/>
          <w:lang w:val="fr-FR"/>
        </w:rPr>
        <w:t xml:space="preserve">nce </w:t>
      </w:r>
      <w:r w:rsidR="00B845EB" w:rsidRPr="00183F00">
        <w:rPr>
          <w:rFonts w:ascii="TimesNewRomanPSMT" w:hAnsi="TimesNewRomanPSMT" w:cs="TimesNewRomanPSMT"/>
          <w:sz w:val="22"/>
          <w:szCs w:val="22"/>
          <w:lang w:val="fr-FR"/>
        </w:rPr>
        <w:t>et les</w:t>
      </w:r>
      <w:r w:rsidR="00A814A2" w:rsidRPr="00183F00">
        <w:rPr>
          <w:rFonts w:ascii="TimesNewRomanPSMT" w:hAnsi="TimesNewRomanPSMT" w:cs="TimesNewRomanPSMT"/>
          <w:sz w:val="22"/>
          <w:szCs w:val="22"/>
          <w:lang w:val="fr-FR"/>
        </w:rPr>
        <w:t xml:space="preserve"> discussions</w:t>
      </w:r>
      <w:r w:rsidR="00B845EB" w:rsidRPr="00183F00">
        <w:rPr>
          <w:rFonts w:ascii="TimesNewRomanPSMT" w:hAnsi="TimesNewRomanPSMT" w:cs="TimesNewRomanPSMT"/>
          <w:sz w:val="22"/>
          <w:szCs w:val="22"/>
          <w:lang w:val="fr-FR"/>
        </w:rPr>
        <w:t>, et archive tout le travail du</w:t>
      </w:r>
      <w:r w:rsidR="00A814A2" w:rsidRPr="00183F00">
        <w:rPr>
          <w:rFonts w:ascii="TimesNewRomanPSMT" w:hAnsi="TimesNewRomanPSMT" w:cs="TimesNewRomanPSMT"/>
          <w:sz w:val="22"/>
          <w:szCs w:val="22"/>
          <w:lang w:val="fr-FR"/>
        </w:rPr>
        <w:t xml:space="preserve"> </w:t>
      </w:r>
      <w:r w:rsidR="001348BF">
        <w:rPr>
          <w:rFonts w:ascii="TimesNewRomanPSMT" w:hAnsi="TimesNewRomanPSMT" w:cs="TimesNewRomanPSMT"/>
          <w:sz w:val="22"/>
          <w:szCs w:val="22"/>
          <w:lang w:val="fr-FR"/>
        </w:rPr>
        <w:t>CT</w:t>
      </w:r>
      <w:r w:rsidR="00A814A2" w:rsidRPr="00183F00">
        <w:rPr>
          <w:rFonts w:ascii="TimesNewRomanPSMT" w:hAnsi="TimesNewRomanPSMT" w:cs="TimesNewRomanPSMT"/>
          <w:sz w:val="22"/>
          <w:szCs w:val="22"/>
          <w:lang w:val="fr-FR"/>
        </w:rPr>
        <w:t>.</w:t>
      </w:r>
      <w:r w:rsidR="00DC62BB" w:rsidRPr="00183F00">
        <w:rPr>
          <w:rFonts w:ascii="TimesNewRomanPSMT" w:hAnsi="TimesNewRomanPSMT" w:cs="TimesNewRomanPSMT"/>
          <w:sz w:val="22"/>
          <w:szCs w:val="22"/>
          <w:lang w:val="fr-FR"/>
        </w:rPr>
        <w:t xml:space="preserve"> </w:t>
      </w:r>
      <w:r w:rsidR="00B845EB" w:rsidRPr="00183F00">
        <w:rPr>
          <w:rFonts w:ascii="TimesNewRomanPSMT" w:hAnsi="TimesNewRomanPSMT" w:cs="TimesNewRomanPSMT"/>
          <w:sz w:val="22"/>
          <w:szCs w:val="22"/>
          <w:lang w:val="fr-FR"/>
        </w:rPr>
        <w:t xml:space="preserve">Cet </w:t>
      </w:r>
      <w:r w:rsidR="00BF3BF0" w:rsidRPr="00183F00">
        <w:rPr>
          <w:rFonts w:ascii="TimesNewRomanPSMT" w:hAnsi="TimesNewRomanPSMT" w:cs="TimesNewRomanPSMT"/>
          <w:sz w:val="22"/>
          <w:szCs w:val="22"/>
          <w:lang w:val="fr-FR"/>
        </w:rPr>
        <w:t>espace de travail</w:t>
      </w:r>
      <w:r w:rsidR="00B845EB" w:rsidRPr="00183F00">
        <w:rPr>
          <w:rFonts w:ascii="TimesNewRomanPSMT" w:hAnsi="TimesNewRomanPSMT" w:cs="TimesNewRomanPSMT"/>
          <w:sz w:val="22"/>
          <w:szCs w:val="22"/>
          <w:lang w:val="fr-FR"/>
        </w:rPr>
        <w:t xml:space="preserve"> virtuel contient un espace dédié à chaque groupe de travail dans l’espace de travail, </w:t>
      </w:r>
      <w:r w:rsidR="00366F1A" w:rsidRPr="00183F00">
        <w:rPr>
          <w:rFonts w:ascii="TimesNewRomanPSMT" w:hAnsi="TimesNewRomanPSMT" w:cs="TimesNewRomanPSMT"/>
          <w:sz w:val="22"/>
          <w:szCs w:val="22"/>
          <w:lang w:val="fr-FR"/>
        </w:rPr>
        <w:t xml:space="preserve">un espace de discussion séparé où tout le monde peut créer un thème de forum sur des sujets autres que ceux couverts par le plan de travail, ainsi qu’un espace des ressources qui offre un accès rapide et aisé </w:t>
      </w:r>
      <w:r w:rsidR="00D13C16" w:rsidRPr="00183F00">
        <w:rPr>
          <w:rFonts w:ascii="TimesNewRomanPSMT" w:hAnsi="TimesNewRomanPSMT" w:cs="TimesNewRomanPSMT"/>
          <w:sz w:val="22"/>
          <w:szCs w:val="22"/>
          <w:lang w:val="fr-FR"/>
        </w:rPr>
        <w:t>à de nombreux documents de l’</w:t>
      </w:r>
      <w:r w:rsidR="00B845EB" w:rsidRPr="00183F00">
        <w:rPr>
          <w:rFonts w:ascii="TimesNewRomanPSMT" w:hAnsi="TimesNewRomanPSMT" w:cs="TimesNewRomanPSMT"/>
          <w:sz w:val="22"/>
          <w:szCs w:val="22"/>
          <w:lang w:val="fr-FR"/>
        </w:rPr>
        <w:t>AEWA.</w:t>
      </w:r>
      <w:r w:rsidR="00DC62BB" w:rsidRPr="00183F00">
        <w:rPr>
          <w:rFonts w:ascii="TimesNewRomanPSMT" w:hAnsi="TimesNewRomanPSMT" w:cs="TimesNewRomanPSMT"/>
          <w:sz w:val="22"/>
          <w:szCs w:val="22"/>
          <w:lang w:val="fr-FR"/>
        </w:rPr>
        <w:t xml:space="preserve"> </w:t>
      </w:r>
      <w:r w:rsidR="00D13C16" w:rsidRPr="00183F00">
        <w:rPr>
          <w:rFonts w:ascii="TimesNewRomanPSMT" w:hAnsi="TimesNewRomanPSMT" w:cs="TimesNewRomanPSMT"/>
          <w:sz w:val="22"/>
          <w:szCs w:val="22"/>
          <w:lang w:val="fr-FR"/>
        </w:rPr>
        <w:t xml:space="preserve">L’espace de travail du </w:t>
      </w:r>
      <w:r w:rsidR="001348BF">
        <w:rPr>
          <w:rFonts w:ascii="TimesNewRomanPSMT" w:hAnsi="TimesNewRomanPSMT" w:cs="TimesNewRomanPSMT"/>
          <w:sz w:val="22"/>
          <w:szCs w:val="22"/>
          <w:lang w:val="fr-FR"/>
        </w:rPr>
        <w:t>CT</w:t>
      </w:r>
      <w:r w:rsidR="00D13C16" w:rsidRPr="00183F00">
        <w:rPr>
          <w:rFonts w:ascii="TimesNewRomanPSMT" w:hAnsi="TimesNewRomanPSMT" w:cs="TimesNewRomanPSMT"/>
          <w:sz w:val="22"/>
          <w:szCs w:val="22"/>
          <w:lang w:val="fr-FR"/>
        </w:rPr>
        <w:t xml:space="preserve"> s’est avéré</w:t>
      </w:r>
      <w:r w:rsidR="00D13C16" w:rsidRPr="00183F00">
        <w:rPr>
          <w:sz w:val="22"/>
          <w:szCs w:val="22"/>
          <w:lang w:val="fr-FR"/>
        </w:rPr>
        <w:t xml:space="preserve"> offrir de grands avantages et il est largement utilisé par le</w:t>
      </w:r>
      <w:r w:rsidR="00D13C16" w:rsidRPr="00183F00">
        <w:rPr>
          <w:rFonts w:ascii="TimesNewRomanPSMT" w:hAnsi="TimesNewRomanPSMT" w:cs="TimesNewRomanPSMT"/>
          <w:sz w:val="22"/>
          <w:szCs w:val="22"/>
          <w:lang w:val="fr-FR"/>
        </w:rPr>
        <w:t xml:space="preserve"> </w:t>
      </w:r>
      <w:r w:rsidR="001348BF">
        <w:rPr>
          <w:rFonts w:ascii="TimesNewRomanPSMT" w:hAnsi="TimesNewRomanPSMT" w:cs="TimesNewRomanPSMT"/>
          <w:sz w:val="22"/>
          <w:szCs w:val="22"/>
          <w:lang w:val="fr-FR"/>
        </w:rPr>
        <w:t>CT</w:t>
      </w:r>
      <w:r w:rsidR="001348BF" w:rsidRPr="00183F00">
        <w:rPr>
          <w:rFonts w:ascii="TimesNewRomanPSMT" w:hAnsi="TimesNewRomanPSMT" w:cs="TimesNewRomanPSMT"/>
          <w:sz w:val="22"/>
          <w:szCs w:val="22"/>
          <w:lang w:val="fr-FR"/>
        </w:rPr>
        <w:t xml:space="preserve"> </w:t>
      </w:r>
      <w:r w:rsidR="00D13C16" w:rsidRPr="00183F00">
        <w:rPr>
          <w:rFonts w:ascii="TimesNewRomanPSMT" w:hAnsi="TimesNewRomanPSMT" w:cs="TimesNewRomanPSMT"/>
          <w:sz w:val="22"/>
          <w:szCs w:val="22"/>
          <w:lang w:val="fr-FR"/>
        </w:rPr>
        <w:t>(presque 500 commentaires et notes ont été postés ces trois dernières années), car il rend la communication beaucoup plus facile et beaucoup plus efficace.</w:t>
      </w:r>
      <w:r w:rsidR="00E70654" w:rsidRPr="00183F00">
        <w:rPr>
          <w:rFonts w:ascii="TimesNewRomanPSMT" w:hAnsi="TimesNewRomanPSMT" w:cs="TimesNewRomanPSMT"/>
          <w:sz w:val="22"/>
          <w:szCs w:val="22"/>
          <w:lang w:val="fr-FR"/>
        </w:rPr>
        <w:t xml:space="preserve"> </w:t>
      </w:r>
      <w:r w:rsidR="00D13C16" w:rsidRPr="00183F00">
        <w:rPr>
          <w:rFonts w:ascii="TimesNewRomanPSMT" w:hAnsi="TimesNewRomanPSMT" w:cs="TimesNewRomanPSMT"/>
          <w:sz w:val="22"/>
          <w:szCs w:val="22"/>
          <w:lang w:val="fr-FR"/>
        </w:rPr>
        <w:t>Une grande partie du travail</w:t>
      </w:r>
      <w:r w:rsidR="006A05BD" w:rsidRPr="00183F00">
        <w:rPr>
          <w:rFonts w:ascii="TimesNewRomanPSMT" w:hAnsi="TimesNewRomanPSMT" w:cs="TimesNewRomanPSMT"/>
          <w:sz w:val="22"/>
          <w:szCs w:val="22"/>
          <w:lang w:val="fr-FR"/>
        </w:rPr>
        <w:t>, tel que l’examen des rapports et lignes directrices, et la finalisation des résolutions, e</w:t>
      </w:r>
      <w:r w:rsidR="001348BF">
        <w:rPr>
          <w:rFonts w:ascii="TimesNewRomanPSMT" w:hAnsi="TimesNewRomanPSMT" w:cs="TimesNewRomanPSMT"/>
          <w:sz w:val="22"/>
          <w:szCs w:val="22"/>
          <w:lang w:val="fr-FR"/>
        </w:rPr>
        <w:t>CT</w:t>
      </w:r>
      <w:r w:rsidR="006A05BD" w:rsidRPr="00183F00">
        <w:rPr>
          <w:rFonts w:ascii="TimesNewRomanPSMT" w:hAnsi="TimesNewRomanPSMT" w:cs="TimesNewRomanPSMT"/>
          <w:sz w:val="22"/>
          <w:szCs w:val="22"/>
          <w:lang w:val="fr-FR"/>
        </w:rPr>
        <w:t>.,</w:t>
      </w:r>
      <w:r w:rsidR="00D13C16" w:rsidRPr="00183F00">
        <w:rPr>
          <w:rFonts w:ascii="TimesNewRomanPSMT" w:hAnsi="TimesNewRomanPSMT" w:cs="TimesNewRomanPSMT"/>
          <w:sz w:val="22"/>
          <w:szCs w:val="22"/>
          <w:lang w:val="fr-FR"/>
        </w:rPr>
        <w:t xml:space="preserve"> a donc été effectuée entre les sessions.</w:t>
      </w:r>
      <w:r w:rsidR="00D462A6" w:rsidRPr="00183F00">
        <w:rPr>
          <w:rFonts w:ascii="TimesNewRomanPSMT" w:hAnsi="TimesNewRomanPSMT" w:cs="TimesNewRomanPSMT"/>
          <w:sz w:val="22"/>
          <w:szCs w:val="22"/>
          <w:lang w:val="fr-FR"/>
        </w:rPr>
        <w:t xml:space="preserve"> </w:t>
      </w:r>
    </w:p>
    <w:p w:rsidR="00DC62BB" w:rsidRPr="00183F00" w:rsidRDefault="00DC62BB" w:rsidP="00B50B65">
      <w:pPr>
        <w:jc w:val="both"/>
        <w:rPr>
          <w:color w:val="000080"/>
          <w:sz w:val="22"/>
          <w:szCs w:val="22"/>
          <w:lang w:val="fr-FR"/>
        </w:rPr>
      </w:pPr>
    </w:p>
    <w:p w:rsidR="007952C2" w:rsidRDefault="006A05BD" w:rsidP="00B50B65">
      <w:pPr>
        <w:jc w:val="both"/>
        <w:rPr>
          <w:sz w:val="22"/>
          <w:szCs w:val="22"/>
          <w:lang w:val="fr-FR"/>
        </w:rPr>
      </w:pPr>
      <w:r w:rsidRPr="00183F00">
        <w:rPr>
          <w:sz w:val="22"/>
          <w:szCs w:val="22"/>
          <w:lang w:val="fr-FR"/>
        </w:rPr>
        <w:t xml:space="preserve">En résultat du travail du </w:t>
      </w:r>
      <w:r w:rsidR="001348BF">
        <w:rPr>
          <w:sz w:val="22"/>
          <w:szCs w:val="22"/>
          <w:lang w:val="fr-FR"/>
        </w:rPr>
        <w:t>CT</w:t>
      </w:r>
      <w:r w:rsidRPr="00183F00">
        <w:rPr>
          <w:sz w:val="22"/>
          <w:szCs w:val="22"/>
          <w:lang w:val="fr-FR"/>
        </w:rPr>
        <w:t xml:space="preserve">, le </w:t>
      </w:r>
      <w:r w:rsidR="00AB7E58" w:rsidRPr="00183F00">
        <w:rPr>
          <w:sz w:val="22"/>
          <w:szCs w:val="22"/>
          <w:lang w:val="fr-FR"/>
        </w:rPr>
        <w:t xml:space="preserve">Comité </w:t>
      </w:r>
      <w:r w:rsidR="00165D09" w:rsidRPr="00183F00">
        <w:rPr>
          <w:sz w:val="22"/>
          <w:szCs w:val="22"/>
          <w:lang w:val="fr-FR"/>
        </w:rPr>
        <w:t>a</w:t>
      </w:r>
      <w:r w:rsidR="00AB7E58" w:rsidRPr="00183F00">
        <w:rPr>
          <w:sz w:val="22"/>
          <w:szCs w:val="22"/>
          <w:lang w:val="fr-FR"/>
        </w:rPr>
        <w:t xml:space="preserve"> rédigé 12 avant-projets de résolutions devant être approuvés par le Comité permanent pour soumission à la MOP5. Vingt documents destinés à la MOP5 et quatre documents d’information ont été rédigés par le </w:t>
      </w:r>
      <w:r w:rsidR="001348BF">
        <w:rPr>
          <w:sz w:val="22"/>
          <w:szCs w:val="22"/>
          <w:lang w:val="fr-FR"/>
        </w:rPr>
        <w:t>CT</w:t>
      </w:r>
      <w:r w:rsidR="00AB7E58" w:rsidRPr="00183F00">
        <w:rPr>
          <w:sz w:val="22"/>
          <w:szCs w:val="22"/>
          <w:lang w:val="fr-FR"/>
        </w:rPr>
        <w:t xml:space="preserve"> ou préparés</w:t>
      </w:r>
      <w:r w:rsidR="00975A7B" w:rsidRPr="00183F00">
        <w:rPr>
          <w:sz w:val="22"/>
          <w:szCs w:val="22"/>
          <w:lang w:val="fr-FR"/>
        </w:rPr>
        <w:t xml:space="preserve"> avec sa</w:t>
      </w:r>
      <w:r w:rsidR="00AB7E58" w:rsidRPr="00183F00">
        <w:rPr>
          <w:sz w:val="22"/>
          <w:szCs w:val="22"/>
          <w:lang w:val="fr-FR"/>
        </w:rPr>
        <w:t xml:space="preserve"> </w:t>
      </w:r>
      <w:r w:rsidR="00975A7B" w:rsidRPr="00183F00">
        <w:rPr>
          <w:sz w:val="22"/>
          <w:szCs w:val="22"/>
          <w:lang w:val="fr-FR"/>
        </w:rPr>
        <w:t>participation active</w:t>
      </w:r>
      <w:r w:rsidR="00AB7E58" w:rsidRPr="00183F00">
        <w:rPr>
          <w:sz w:val="22"/>
          <w:szCs w:val="22"/>
          <w:lang w:val="fr-FR"/>
        </w:rPr>
        <w:t>.</w:t>
      </w:r>
    </w:p>
    <w:p w:rsidR="007952C2" w:rsidRDefault="007952C2" w:rsidP="00B50B65">
      <w:pPr>
        <w:jc w:val="both"/>
        <w:rPr>
          <w:sz w:val="22"/>
          <w:szCs w:val="22"/>
          <w:lang w:val="fr-FR"/>
        </w:rPr>
        <w:sectPr w:rsidR="007952C2" w:rsidSect="00FF185C">
          <w:footerReference w:type="even" r:id="rId7"/>
          <w:footerReference w:type="default" r:id="rId8"/>
          <w:headerReference w:type="first" r:id="rId9"/>
          <w:footerReference w:type="first" r:id="rId10"/>
          <w:pgSz w:w="11907" w:h="16840" w:code="9"/>
          <w:pgMar w:top="1021" w:right="1134" w:bottom="851" w:left="1134" w:header="709" w:footer="709" w:gutter="0"/>
          <w:cols w:space="708"/>
          <w:titlePg/>
          <w:docGrid w:linePitch="360"/>
        </w:sectPr>
      </w:pPr>
    </w:p>
    <w:p w:rsidR="00B50B65" w:rsidRPr="00183F00" w:rsidRDefault="00975A7B" w:rsidP="00B50B65">
      <w:pPr>
        <w:jc w:val="both"/>
        <w:rPr>
          <w:b/>
          <w:lang w:val="fr-FR"/>
        </w:rPr>
      </w:pPr>
      <w:r w:rsidRPr="00183F00">
        <w:rPr>
          <w:b/>
          <w:lang w:val="fr-FR"/>
        </w:rPr>
        <w:lastRenderedPageBreak/>
        <w:t>Plan de travail 2009-2012</w:t>
      </w:r>
    </w:p>
    <w:p w:rsidR="00B50B65" w:rsidRPr="00183F00" w:rsidRDefault="00B50B65" w:rsidP="00B50B65">
      <w:pPr>
        <w:jc w:val="both"/>
        <w:rPr>
          <w:color w:val="000080"/>
          <w:lang w:val="fr-FR"/>
        </w:rPr>
      </w:pPr>
    </w:p>
    <w:p w:rsidR="00DE14AE" w:rsidRPr="00183F00" w:rsidRDefault="00975A7B" w:rsidP="00B50B65">
      <w:pPr>
        <w:jc w:val="both"/>
        <w:rPr>
          <w:sz w:val="22"/>
          <w:szCs w:val="22"/>
          <w:lang w:val="fr-FR"/>
        </w:rPr>
      </w:pPr>
      <w:r w:rsidRPr="00183F00">
        <w:rPr>
          <w:sz w:val="22"/>
          <w:szCs w:val="22"/>
          <w:lang w:val="fr-FR"/>
        </w:rPr>
        <w:t xml:space="preserve">Au cours de la période quadriennale 2009-2012, les activités du Comité technique ont été guidées par un plan de travail, </w:t>
      </w:r>
      <w:r w:rsidR="00B230BA" w:rsidRPr="00183F00">
        <w:rPr>
          <w:sz w:val="22"/>
          <w:szCs w:val="22"/>
          <w:lang w:val="fr-FR"/>
        </w:rPr>
        <w:t xml:space="preserve">qui </w:t>
      </w:r>
      <w:r w:rsidR="00165D09" w:rsidRPr="00183F00">
        <w:rPr>
          <w:sz w:val="22"/>
          <w:szCs w:val="22"/>
          <w:lang w:val="fr-FR"/>
        </w:rPr>
        <w:t>décrivait les principales</w:t>
      </w:r>
      <w:r w:rsidR="00B230BA" w:rsidRPr="00183F00">
        <w:rPr>
          <w:sz w:val="22"/>
          <w:szCs w:val="22"/>
          <w:lang w:val="fr-FR"/>
        </w:rPr>
        <w:t xml:space="preserve"> tâches à réaliser</w:t>
      </w:r>
      <w:r w:rsidR="00DE14AE" w:rsidRPr="00183F00">
        <w:rPr>
          <w:sz w:val="22"/>
          <w:szCs w:val="22"/>
          <w:lang w:val="fr-FR"/>
        </w:rPr>
        <w:t>,</w:t>
      </w:r>
      <w:r w:rsidRPr="00183F00">
        <w:rPr>
          <w:sz w:val="22"/>
          <w:szCs w:val="22"/>
          <w:lang w:val="fr-FR"/>
        </w:rPr>
        <w:t xml:space="preserve"> </w:t>
      </w:r>
      <w:r w:rsidR="004E33AB" w:rsidRPr="00183F00">
        <w:rPr>
          <w:sz w:val="22"/>
          <w:szCs w:val="22"/>
          <w:lang w:val="fr-FR"/>
        </w:rPr>
        <w:t>assignées</w:t>
      </w:r>
      <w:r w:rsidR="00B230BA" w:rsidRPr="00183F00">
        <w:rPr>
          <w:sz w:val="22"/>
          <w:szCs w:val="22"/>
          <w:lang w:val="fr-FR"/>
        </w:rPr>
        <w:t xml:space="preserve"> par la</w:t>
      </w:r>
      <w:r w:rsidRPr="00183F00">
        <w:rPr>
          <w:sz w:val="22"/>
          <w:szCs w:val="22"/>
          <w:lang w:val="fr-FR"/>
        </w:rPr>
        <w:t xml:space="preserve"> MOP4 </w:t>
      </w:r>
      <w:r w:rsidR="00B230BA" w:rsidRPr="00183F00">
        <w:rPr>
          <w:sz w:val="22"/>
          <w:szCs w:val="22"/>
          <w:lang w:val="fr-FR"/>
        </w:rPr>
        <w:t>et les</w:t>
      </w:r>
      <w:r w:rsidRPr="00183F00">
        <w:rPr>
          <w:sz w:val="22"/>
          <w:szCs w:val="22"/>
          <w:lang w:val="fr-FR"/>
        </w:rPr>
        <w:t xml:space="preserve"> MOP</w:t>
      </w:r>
      <w:r w:rsidR="00B230BA" w:rsidRPr="00183F00">
        <w:rPr>
          <w:sz w:val="22"/>
          <w:szCs w:val="22"/>
          <w:lang w:val="fr-FR"/>
        </w:rPr>
        <w:t xml:space="preserve"> précédentes, ou par le Plan d’action de l’Accord</w:t>
      </w:r>
      <w:r w:rsidRPr="00183F00">
        <w:rPr>
          <w:sz w:val="22"/>
          <w:szCs w:val="22"/>
          <w:lang w:val="fr-FR"/>
        </w:rPr>
        <w:t>.</w:t>
      </w:r>
      <w:r w:rsidR="00B50B65" w:rsidRPr="00183F00">
        <w:rPr>
          <w:sz w:val="22"/>
          <w:szCs w:val="22"/>
          <w:lang w:val="fr-FR"/>
        </w:rPr>
        <w:t xml:space="preserve"> </w:t>
      </w:r>
      <w:r w:rsidR="00B230BA" w:rsidRPr="00183F00">
        <w:rPr>
          <w:sz w:val="22"/>
          <w:szCs w:val="22"/>
          <w:lang w:val="fr-FR"/>
        </w:rPr>
        <w:t xml:space="preserve">Le </w:t>
      </w:r>
      <w:r w:rsidR="001348BF">
        <w:rPr>
          <w:sz w:val="22"/>
          <w:szCs w:val="22"/>
          <w:lang w:val="fr-FR"/>
        </w:rPr>
        <w:t>CT</w:t>
      </w:r>
      <w:r w:rsidR="00B230BA" w:rsidRPr="00183F00">
        <w:rPr>
          <w:sz w:val="22"/>
          <w:szCs w:val="22"/>
          <w:lang w:val="fr-FR"/>
        </w:rPr>
        <w:t xml:space="preserve"> a également inclu</w:t>
      </w:r>
      <w:r w:rsidR="00DE14AE" w:rsidRPr="00183F00">
        <w:rPr>
          <w:sz w:val="22"/>
          <w:szCs w:val="22"/>
          <w:lang w:val="fr-FR"/>
        </w:rPr>
        <w:t>s</w:t>
      </w:r>
      <w:r w:rsidR="00B230BA" w:rsidRPr="00183F00">
        <w:rPr>
          <w:sz w:val="22"/>
          <w:szCs w:val="22"/>
          <w:lang w:val="fr-FR"/>
        </w:rPr>
        <w:t xml:space="preserve"> </w:t>
      </w:r>
      <w:r w:rsidR="00A554C6" w:rsidRPr="00183F00">
        <w:rPr>
          <w:sz w:val="22"/>
          <w:szCs w:val="22"/>
          <w:lang w:val="fr-FR"/>
        </w:rPr>
        <w:t xml:space="preserve">dans son plan de travail un thème </w:t>
      </w:r>
      <w:r w:rsidR="00F8623C" w:rsidRPr="00183F00">
        <w:rPr>
          <w:sz w:val="22"/>
          <w:szCs w:val="22"/>
          <w:lang w:val="fr-FR"/>
        </w:rPr>
        <w:t>changeant en fonction</w:t>
      </w:r>
      <w:r w:rsidR="00A554C6" w:rsidRPr="00183F00">
        <w:rPr>
          <w:sz w:val="22"/>
          <w:szCs w:val="22"/>
          <w:lang w:val="fr-FR"/>
        </w:rPr>
        <w:t xml:space="preserve"> des questions émergentes</w:t>
      </w:r>
      <w:r w:rsidR="00B230BA" w:rsidRPr="00183F00">
        <w:rPr>
          <w:sz w:val="22"/>
          <w:szCs w:val="22"/>
          <w:lang w:val="fr-FR"/>
        </w:rPr>
        <w:t xml:space="preserve">, </w:t>
      </w:r>
      <w:r w:rsidR="00F8623C" w:rsidRPr="00183F00">
        <w:rPr>
          <w:sz w:val="22"/>
          <w:szCs w:val="22"/>
          <w:lang w:val="fr-FR"/>
        </w:rPr>
        <w:t>afin de pouvoir examiner régulièrement les questions importantes ou intéressantes</w:t>
      </w:r>
      <w:r w:rsidR="00B230BA" w:rsidRPr="00183F00">
        <w:rPr>
          <w:sz w:val="22"/>
          <w:szCs w:val="22"/>
          <w:lang w:val="fr-FR"/>
        </w:rPr>
        <w:t xml:space="preserve">, </w:t>
      </w:r>
      <w:r w:rsidR="009E2740" w:rsidRPr="00183F00">
        <w:rPr>
          <w:sz w:val="22"/>
          <w:szCs w:val="22"/>
          <w:lang w:val="fr-FR"/>
        </w:rPr>
        <w:t>dont il n’a</w:t>
      </w:r>
      <w:r w:rsidR="005856A8" w:rsidRPr="00183F00">
        <w:rPr>
          <w:sz w:val="22"/>
          <w:szCs w:val="22"/>
          <w:lang w:val="fr-FR"/>
        </w:rPr>
        <w:t>vait</w:t>
      </w:r>
      <w:r w:rsidR="009E2740" w:rsidRPr="00183F00">
        <w:rPr>
          <w:sz w:val="22"/>
          <w:szCs w:val="22"/>
          <w:lang w:val="fr-FR"/>
        </w:rPr>
        <w:t xml:space="preserve"> pas été chargé par des décisions ou des textes légaux</w:t>
      </w:r>
      <w:r w:rsidR="00F8623C" w:rsidRPr="00183F00">
        <w:rPr>
          <w:sz w:val="22"/>
          <w:szCs w:val="22"/>
          <w:lang w:val="fr-FR"/>
        </w:rPr>
        <w:t xml:space="preserve">, </w:t>
      </w:r>
      <w:r w:rsidR="009E2740" w:rsidRPr="00183F00">
        <w:rPr>
          <w:sz w:val="22"/>
          <w:szCs w:val="22"/>
          <w:lang w:val="fr-FR"/>
        </w:rPr>
        <w:t>et pour pouvoir jouer un rôle proactif dans leur prise en main.</w:t>
      </w:r>
      <w:r w:rsidR="00294A52" w:rsidRPr="00183F00">
        <w:rPr>
          <w:sz w:val="22"/>
          <w:szCs w:val="22"/>
          <w:lang w:val="fr-FR"/>
        </w:rPr>
        <w:t xml:space="preserve"> </w:t>
      </w:r>
    </w:p>
    <w:p w:rsidR="00DE14AE" w:rsidRPr="00183F00" w:rsidRDefault="00DE14AE" w:rsidP="00B50B65">
      <w:pPr>
        <w:jc w:val="both"/>
        <w:rPr>
          <w:sz w:val="22"/>
          <w:szCs w:val="22"/>
          <w:lang w:val="fr-FR"/>
        </w:rPr>
      </w:pPr>
    </w:p>
    <w:p w:rsidR="00B50B65" w:rsidRPr="00183F00" w:rsidRDefault="009E2740" w:rsidP="00B50B65">
      <w:pPr>
        <w:jc w:val="both"/>
        <w:rPr>
          <w:sz w:val="22"/>
          <w:szCs w:val="22"/>
          <w:lang w:val="fr-FR"/>
        </w:rPr>
      </w:pPr>
      <w:r w:rsidRPr="00183F00">
        <w:rPr>
          <w:sz w:val="22"/>
          <w:szCs w:val="22"/>
          <w:lang w:val="fr-FR"/>
        </w:rPr>
        <w:t xml:space="preserve">Le plan de travail 2009-2012 du </w:t>
      </w:r>
      <w:r w:rsidR="001348BF">
        <w:rPr>
          <w:sz w:val="22"/>
          <w:szCs w:val="22"/>
          <w:lang w:val="fr-FR"/>
        </w:rPr>
        <w:t>CT</w:t>
      </w:r>
      <w:r w:rsidRPr="00183F00">
        <w:rPr>
          <w:sz w:val="22"/>
          <w:szCs w:val="22"/>
          <w:lang w:val="fr-FR"/>
        </w:rPr>
        <w:t xml:space="preserve"> a été dressé par le Secrétariat après la 4</w:t>
      </w:r>
      <w:r w:rsidRPr="00183F00">
        <w:rPr>
          <w:sz w:val="22"/>
          <w:szCs w:val="22"/>
          <w:vertAlign w:val="superscript"/>
          <w:lang w:val="fr-FR"/>
        </w:rPr>
        <w:t>ème</w:t>
      </w:r>
      <w:r w:rsidRPr="00183F00">
        <w:rPr>
          <w:sz w:val="22"/>
          <w:szCs w:val="22"/>
          <w:lang w:val="fr-FR"/>
        </w:rPr>
        <w:t xml:space="preserve"> session de la Réunion des Parties (MOP4), qui s’est tenue du 15 au</w:t>
      </w:r>
      <w:r w:rsidR="005856A8" w:rsidRPr="00183F00">
        <w:rPr>
          <w:sz w:val="22"/>
          <w:szCs w:val="22"/>
          <w:lang w:val="fr-FR"/>
        </w:rPr>
        <w:t xml:space="preserve"> </w:t>
      </w:r>
      <w:r w:rsidRPr="00183F00">
        <w:rPr>
          <w:sz w:val="22"/>
          <w:szCs w:val="22"/>
          <w:lang w:val="fr-FR"/>
        </w:rPr>
        <w:t>19 septembre 2008 à Madagascar.</w:t>
      </w:r>
      <w:r w:rsidR="00B50B65" w:rsidRPr="00183F00">
        <w:rPr>
          <w:sz w:val="22"/>
          <w:szCs w:val="22"/>
          <w:lang w:val="fr-FR"/>
        </w:rPr>
        <w:t xml:space="preserve"> </w:t>
      </w:r>
    </w:p>
    <w:p w:rsidR="00B50B65" w:rsidRPr="00183F00" w:rsidRDefault="00B50B65" w:rsidP="00B50B65">
      <w:pPr>
        <w:pStyle w:val="Titel"/>
        <w:jc w:val="both"/>
        <w:rPr>
          <w:rFonts w:ascii="Times New Roman" w:hAnsi="Times New Roman" w:cs="Times New Roman"/>
          <w:b w:val="0"/>
          <w:bCs w:val="0"/>
          <w:i w:val="0"/>
          <w:iCs w:val="0"/>
          <w:color w:val="000080"/>
          <w:sz w:val="22"/>
          <w:szCs w:val="22"/>
          <w:lang w:val="fr-FR"/>
        </w:rPr>
      </w:pPr>
    </w:p>
    <w:p w:rsidR="00B50B65" w:rsidRPr="00183F00" w:rsidRDefault="00E358FB" w:rsidP="00B50B65">
      <w:pPr>
        <w:pStyle w:val="Titel"/>
        <w:jc w:val="both"/>
        <w:rPr>
          <w:rFonts w:ascii="Times New Roman" w:hAnsi="Times New Roman" w:cs="Times New Roman"/>
          <w:b w:val="0"/>
          <w:bCs w:val="0"/>
          <w:i w:val="0"/>
          <w:iCs w:val="0"/>
          <w:sz w:val="22"/>
          <w:szCs w:val="22"/>
          <w:lang w:val="fr-FR"/>
        </w:rPr>
      </w:pPr>
      <w:r w:rsidRPr="00183F00">
        <w:rPr>
          <w:rFonts w:ascii="Times New Roman" w:hAnsi="Times New Roman" w:cs="Times New Roman"/>
          <w:b w:val="0"/>
          <w:i w:val="0"/>
          <w:sz w:val="22"/>
          <w:szCs w:val="22"/>
          <w:lang w:val="fr-FR"/>
        </w:rPr>
        <w:t>Démarré juste après la</w:t>
      </w:r>
      <w:r w:rsidR="009E2740" w:rsidRPr="00183F00">
        <w:rPr>
          <w:rFonts w:ascii="Times New Roman" w:hAnsi="Times New Roman" w:cs="Times New Roman"/>
          <w:b w:val="0"/>
          <w:i w:val="0"/>
          <w:sz w:val="22"/>
          <w:szCs w:val="22"/>
          <w:lang w:val="fr-FR"/>
        </w:rPr>
        <w:t xml:space="preserve"> MOP4</w:t>
      </w:r>
      <w:r w:rsidRPr="00183F00">
        <w:rPr>
          <w:rFonts w:ascii="Times New Roman" w:hAnsi="Times New Roman" w:cs="Times New Roman"/>
          <w:b w:val="0"/>
          <w:i w:val="0"/>
          <w:sz w:val="22"/>
          <w:szCs w:val="22"/>
          <w:lang w:val="fr-FR"/>
        </w:rPr>
        <w:t xml:space="preserve">, le travail du </w:t>
      </w:r>
      <w:r w:rsidR="001348BF">
        <w:rPr>
          <w:rFonts w:ascii="Times New Roman" w:hAnsi="Times New Roman" w:cs="Times New Roman"/>
          <w:b w:val="0"/>
          <w:i w:val="0"/>
          <w:sz w:val="22"/>
          <w:szCs w:val="22"/>
          <w:lang w:val="fr-FR"/>
        </w:rPr>
        <w:t>CT</w:t>
      </w:r>
      <w:r w:rsidRPr="00183F00">
        <w:rPr>
          <w:rFonts w:ascii="Times New Roman" w:hAnsi="Times New Roman" w:cs="Times New Roman"/>
          <w:b w:val="0"/>
          <w:i w:val="0"/>
          <w:sz w:val="22"/>
          <w:szCs w:val="22"/>
          <w:lang w:val="fr-FR"/>
        </w:rPr>
        <w:t xml:space="preserve"> a été un processus continu tout au long de la période quadriennale</w:t>
      </w:r>
      <w:r w:rsidR="009E2740" w:rsidRPr="00183F00">
        <w:rPr>
          <w:rFonts w:ascii="Times New Roman" w:hAnsi="Times New Roman" w:cs="Times New Roman"/>
          <w:b w:val="0"/>
          <w:i w:val="0"/>
          <w:sz w:val="22"/>
          <w:szCs w:val="22"/>
          <w:lang w:val="fr-FR"/>
        </w:rPr>
        <w:t>.</w:t>
      </w:r>
      <w:r w:rsidR="00B50B65" w:rsidRPr="00183F00">
        <w:rPr>
          <w:color w:val="000080"/>
          <w:sz w:val="22"/>
          <w:szCs w:val="22"/>
          <w:lang w:val="fr-FR"/>
        </w:rPr>
        <w:t xml:space="preserve"> </w:t>
      </w:r>
      <w:r w:rsidRPr="00183F00">
        <w:rPr>
          <w:rFonts w:ascii="Times New Roman" w:hAnsi="Times New Roman" w:cs="Times New Roman"/>
          <w:b w:val="0"/>
          <w:bCs w:val="0"/>
          <w:i w:val="0"/>
          <w:iCs w:val="0"/>
          <w:sz w:val="22"/>
          <w:szCs w:val="22"/>
          <w:lang w:val="fr-FR"/>
        </w:rPr>
        <w:t xml:space="preserve">Le </w:t>
      </w:r>
      <w:r w:rsidR="001348BF">
        <w:rPr>
          <w:rFonts w:ascii="Times New Roman" w:hAnsi="Times New Roman" w:cs="Times New Roman"/>
          <w:b w:val="0"/>
          <w:bCs w:val="0"/>
          <w:i w:val="0"/>
          <w:iCs w:val="0"/>
          <w:sz w:val="22"/>
          <w:szCs w:val="22"/>
          <w:lang w:val="fr-FR"/>
        </w:rPr>
        <w:t>CT</w:t>
      </w:r>
      <w:r w:rsidRPr="00183F00">
        <w:rPr>
          <w:rFonts w:ascii="Times New Roman" w:hAnsi="Times New Roman" w:cs="Times New Roman"/>
          <w:b w:val="0"/>
          <w:bCs w:val="0"/>
          <w:i w:val="0"/>
          <w:iCs w:val="0"/>
          <w:sz w:val="22"/>
          <w:szCs w:val="22"/>
          <w:lang w:val="fr-FR"/>
        </w:rPr>
        <w:t xml:space="preserve"> a approuvé le plan de travail par correspondance en janvier 2009. Selon ce plan, 10 groupes de travail ont été établis qui se</w:t>
      </w:r>
      <w:r w:rsidR="005856A8" w:rsidRPr="00183F00">
        <w:rPr>
          <w:rFonts w:ascii="Times New Roman" w:hAnsi="Times New Roman" w:cs="Times New Roman"/>
          <w:b w:val="0"/>
          <w:bCs w:val="0"/>
          <w:i w:val="0"/>
          <w:iCs w:val="0"/>
          <w:sz w:val="22"/>
          <w:szCs w:val="22"/>
          <w:lang w:val="fr-FR"/>
        </w:rPr>
        <w:t xml:space="preserve"> sont</w:t>
      </w:r>
      <w:r w:rsidRPr="00183F00">
        <w:rPr>
          <w:rFonts w:ascii="Times New Roman" w:hAnsi="Times New Roman" w:cs="Times New Roman"/>
          <w:b w:val="0"/>
          <w:bCs w:val="0"/>
          <w:i w:val="0"/>
          <w:iCs w:val="0"/>
          <w:sz w:val="22"/>
          <w:szCs w:val="22"/>
          <w:lang w:val="fr-FR"/>
        </w:rPr>
        <w:t xml:space="preserve"> charg</w:t>
      </w:r>
      <w:r w:rsidR="005856A8" w:rsidRPr="00183F00">
        <w:rPr>
          <w:rFonts w:ascii="Times New Roman" w:hAnsi="Times New Roman" w:cs="Times New Roman"/>
          <w:b w:val="0"/>
          <w:bCs w:val="0"/>
          <w:i w:val="0"/>
          <w:iCs w:val="0"/>
          <w:sz w:val="22"/>
          <w:szCs w:val="22"/>
          <w:lang w:val="fr-FR"/>
        </w:rPr>
        <w:t>é</w:t>
      </w:r>
      <w:r w:rsidR="004E33AB" w:rsidRPr="00183F00">
        <w:rPr>
          <w:rFonts w:ascii="Times New Roman" w:hAnsi="Times New Roman" w:cs="Times New Roman"/>
          <w:b w:val="0"/>
          <w:bCs w:val="0"/>
          <w:i w:val="0"/>
          <w:iCs w:val="0"/>
          <w:sz w:val="22"/>
          <w:szCs w:val="22"/>
          <w:lang w:val="fr-FR"/>
        </w:rPr>
        <w:t>s</w:t>
      </w:r>
      <w:r w:rsidRPr="00183F00">
        <w:rPr>
          <w:rFonts w:ascii="Times New Roman" w:hAnsi="Times New Roman" w:cs="Times New Roman"/>
          <w:b w:val="0"/>
          <w:bCs w:val="0"/>
          <w:i w:val="0"/>
          <w:iCs w:val="0"/>
          <w:sz w:val="22"/>
          <w:szCs w:val="22"/>
          <w:lang w:val="fr-FR"/>
        </w:rPr>
        <w:t xml:space="preserve"> de questions majeur</w:t>
      </w:r>
      <w:r w:rsidR="00B05D45" w:rsidRPr="00183F00">
        <w:rPr>
          <w:rFonts w:ascii="Times New Roman" w:hAnsi="Times New Roman" w:cs="Times New Roman"/>
          <w:b w:val="0"/>
          <w:bCs w:val="0"/>
          <w:i w:val="0"/>
          <w:iCs w:val="0"/>
          <w:sz w:val="22"/>
          <w:szCs w:val="22"/>
          <w:lang w:val="fr-FR"/>
        </w:rPr>
        <w:t>e</w:t>
      </w:r>
      <w:r w:rsidRPr="00183F00">
        <w:rPr>
          <w:rFonts w:ascii="Times New Roman" w:hAnsi="Times New Roman" w:cs="Times New Roman"/>
          <w:b w:val="0"/>
          <w:bCs w:val="0"/>
          <w:i w:val="0"/>
          <w:iCs w:val="0"/>
          <w:sz w:val="22"/>
          <w:szCs w:val="22"/>
          <w:lang w:val="fr-FR"/>
        </w:rPr>
        <w:t xml:space="preserve">s (chacune </w:t>
      </w:r>
      <w:r w:rsidR="00B05D45" w:rsidRPr="00183F00">
        <w:rPr>
          <w:rFonts w:ascii="Times New Roman" w:hAnsi="Times New Roman" w:cs="Times New Roman"/>
          <w:b w:val="0"/>
          <w:bCs w:val="0"/>
          <w:i w:val="0"/>
          <w:iCs w:val="0"/>
          <w:sz w:val="22"/>
          <w:szCs w:val="22"/>
          <w:lang w:val="fr-FR"/>
        </w:rPr>
        <w:t>se composant de plusieurs tâches</w:t>
      </w:r>
      <w:r w:rsidRPr="00183F00">
        <w:rPr>
          <w:rFonts w:ascii="Times New Roman" w:hAnsi="Times New Roman" w:cs="Times New Roman"/>
          <w:b w:val="0"/>
          <w:bCs w:val="0"/>
          <w:i w:val="0"/>
          <w:iCs w:val="0"/>
          <w:sz w:val="22"/>
          <w:szCs w:val="22"/>
          <w:lang w:val="fr-FR"/>
        </w:rPr>
        <w:t xml:space="preserve">) </w:t>
      </w:r>
      <w:r w:rsidR="00B05D45" w:rsidRPr="00183F00">
        <w:rPr>
          <w:rFonts w:ascii="Times New Roman" w:hAnsi="Times New Roman" w:cs="Times New Roman"/>
          <w:b w:val="0"/>
          <w:bCs w:val="0"/>
          <w:i w:val="0"/>
          <w:iCs w:val="0"/>
          <w:sz w:val="22"/>
          <w:szCs w:val="22"/>
          <w:lang w:val="fr-FR"/>
        </w:rPr>
        <w:t xml:space="preserve">à </w:t>
      </w:r>
      <w:r w:rsidR="005856A8" w:rsidRPr="00183F00">
        <w:rPr>
          <w:rFonts w:ascii="Times New Roman" w:hAnsi="Times New Roman" w:cs="Times New Roman"/>
          <w:b w:val="0"/>
          <w:bCs w:val="0"/>
          <w:i w:val="0"/>
          <w:iCs w:val="0"/>
          <w:sz w:val="22"/>
          <w:szCs w:val="22"/>
          <w:lang w:val="fr-FR"/>
        </w:rPr>
        <w:t>prendre en main</w:t>
      </w:r>
      <w:r w:rsidRPr="00183F00">
        <w:rPr>
          <w:rFonts w:ascii="Times New Roman" w:hAnsi="Times New Roman" w:cs="Times New Roman"/>
          <w:b w:val="0"/>
          <w:bCs w:val="0"/>
          <w:i w:val="0"/>
          <w:iCs w:val="0"/>
          <w:sz w:val="22"/>
          <w:szCs w:val="22"/>
          <w:lang w:val="fr-FR"/>
        </w:rPr>
        <w:t xml:space="preserve"> </w:t>
      </w:r>
      <w:r w:rsidR="00DA2736" w:rsidRPr="00183F00">
        <w:rPr>
          <w:rFonts w:ascii="Times New Roman" w:hAnsi="Times New Roman" w:cs="Times New Roman"/>
          <w:b w:val="0"/>
          <w:bCs w:val="0"/>
          <w:i w:val="0"/>
          <w:iCs w:val="0"/>
          <w:sz w:val="22"/>
          <w:szCs w:val="22"/>
          <w:lang w:val="fr-FR"/>
        </w:rPr>
        <w:t xml:space="preserve">et </w:t>
      </w:r>
      <w:r w:rsidR="00B05D45" w:rsidRPr="00183F00">
        <w:rPr>
          <w:rFonts w:ascii="Times New Roman" w:hAnsi="Times New Roman" w:cs="Times New Roman"/>
          <w:b w:val="0"/>
          <w:bCs w:val="0"/>
          <w:i w:val="0"/>
          <w:iCs w:val="0"/>
          <w:sz w:val="22"/>
          <w:szCs w:val="22"/>
          <w:lang w:val="fr-FR"/>
        </w:rPr>
        <w:t xml:space="preserve">des résultats </w:t>
      </w:r>
      <w:r w:rsidR="00F17109" w:rsidRPr="00183F00">
        <w:rPr>
          <w:rFonts w:ascii="Times New Roman" w:hAnsi="Times New Roman" w:cs="Times New Roman"/>
          <w:b w:val="0"/>
          <w:bCs w:val="0"/>
          <w:i w:val="0"/>
          <w:iCs w:val="0"/>
          <w:sz w:val="22"/>
          <w:szCs w:val="22"/>
          <w:lang w:val="fr-FR"/>
        </w:rPr>
        <w:t>à remettre</w:t>
      </w:r>
      <w:r w:rsidR="00B05D45" w:rsidRPr="00183F00">
        <w:rPr>
          <w:rFonts w:ascii="Times New Roman" w:hAnsi="Times New Roman" w:cs="Times New Roman"/>
          <w:b w:val="0"/>
          <w:bCs w:val="0"/>
          <w:i w:val="0"/>
          <w:iCs w:val="0"/>
          <w:sz w:val="22"/>
          <w:szCs w:val="22"/>
          <w:lang w:val="fr-FR"/>
        </w:rPr>
        <w:t xml:space="preserve"> à la</w:t>
      </w:r>
      <w:r w:rsidRPr="00183F00">
        <w:rPr>
          <w:rFonts w:ascii="Times New Roman" w:hAnsi="Times New Roman" w:cs="Times New Roman"/>
          <w:b w:val="0"/>
          <w:bCs w:val="0"/>
          <w:i w:val="0"/>
          <w:iCs w:val="0"/>
          <w:sz w:val="22"/>
          <w:szCs w:val="22"/>
          <w:lang w:val="fr-FR"/>
        </w:rPr>
        <w:t xml:space="preserve"> MOP5. </w:t>
      </w:r>
      <w:r w:rsidR="00B05D45" w:rsidRPr="00183F00">
        <w:rPr>
          <w:rFonts w:ascii="Times New Roman" w:hAnsi="Times New Roman" w:cs="Times New Roman"/>
          <w:b w:val="0"/>
          <w:bCs w:val="0"/>
          <w:i w:val="0"/>
          <w:iCs w:val="0"/>
          <w:sz w:val="22"/>
          <w:szCs w:val="22"/>
          <w:lang w:val="fr-FR"/>
        </w:rPr>
        <w:t>Chaque groupe de travail du</w:t>
      </w:r>
      <w:r w:rsidRPr="00183F00">
        <w:rPr>
          <w:rFonts w:ascii="Times New Roman" w:hAnsi="Times New Roman" w:cs="Times New Roman"/>
          <w:b w:val="0"/>
          <w:bCs w:val="0"/>
          <w:i w:val="0"/>
          <w:iCs w:val="0"/>
          <w:sz w:val="22"/>
          <w:szCs w:val="22"/>
          <w:lang w:val="fr-FR"/>
        </w:rPr>
        <w:t xml:space="preserve"> </w:t>
      </w:r>
      <w:r w:rsidR="001348BF">
        <w:rPr>
          <w:rFonts w:ascii="Times New Roman" w:hAnsi="Times New Roman" w:cs="Times New Roman"/>
          <w:b w:val="0"/>
          <w:bCs w:val="0"/>
          <w:i w:val="0"/>
          <w:iCs w:val="0"/>
          <w:sz w:val="22"/>
          <w:szCs w:val="22"/>
          <w:lang w:val="fr-FR"/>
        </w:rPr>
        <w:t>CT</w:t>
      </w:r>
      <w:r w:rsidRPr="00183F00">
        <w:rPr>
          <w:rFonts w:ascii="Times New Roman" w:hAnsi="Times New Roman" w:cs="Times New Roman"/>
          <w:b w:val="0"/>
          <w:bCs w:val="0"/>
          <w:i w:val="0"/>
          <w:iCs w:val="0"/>
          <w:sz w:val="22"/>
          <w:szCs w:val="22"/>
          <w:lang w:val="fr-FR"/>
        </w:rPr>
        <w:t xml:space="preserve"> </w:t>
      </w:r>
      <w:r w:rsidR="00B05D45" w:rsidRPr="00183F00">
        <w:rPr>
          <w:rFonts w:ascii="Times New Roman" w:hAnsi="Times New Roman" w:cs="Times New Roman"/>
          <w:b w:val="0"/>
          <w:bCs w:val="0"/>
          <w:i w:val="0"/>
          <w:iCs w:val="0"/>
          <w:sz w:val="22"/>
          <w:szCs w:val="22"/>
          <w:lang w:val="fr-FR"/>
        </w:rPr>
        <w:t>se composait de plusieurs représentants régionaux</w:t>
      </w:r>
      <w:r w:rsidRPr="00183F00">
        <w:rPr>
          <w:rFonts w:ascii="Times New Roman" w:hAnsi="Times New Roman" w:cs="Times New Roman"/>
          <w:b w:val="0"/>
          <w:bCs w:val="0"/>
          <w:i w:val="0"/>
          <w:iCs w:val="0"/>
          <w:sz w:val="22"/>
          <w:szCs w:val="22"/>
          <w:lang w:val="fr-FR"/>
        </w:rPr>
        <w:t xml:space="preserve">, </w:t>
      </w:r>
      <w:r w:rsidR="00DA2736" w:rsidRPr="00183F00">
        <w:rPr>
          <w:rFonts w:ascii="Times New Roman" w:hAnsi="Times New Roman" w:cs="Times New Roman"/>
          <w:b w:val="0"/>
          <w:bCs w:val="0"/>
          <w:i w:val="0"/>
          <w:iCs w:val="0"/>
          <w:sz w:val="22"/>
          <w:szCs w:val="22"/>
          <w:lang w:val="fr-FR"/>
        </w:rPr>
        <w:t>de représentants d’</w:t>
      </w:r>
      <w:r w:rsidRPr="00183F00">
        <w:rPr>
          <w:rFonts w:ascii="Times New Roman" w:hAnsi="Times New Roman" w:cs="Times New Roman"/>
          <w:b w:val="0"/>
          <w:bCs w:val="0"/>
          <w:i w:val="0"/>
          <w:iCs w:val="0"/>
          <w:sz w:val="22"/>
          <w:szCs w:val="22"/>
          <w:lang w:val="fr-FR"/>
        </w:rPr>
        <w:t>organisation</w:t>
      </w:r>
      <w:r w:rsidR="00DA2736" w:rsidRPr="00183F00">
        <w:rPr>
          <w:rFonts w:ascii="Times New Roman" w:hAnsi="Times New Roman" w:cs="Times New Roman"/>
          <w:b w:val="0"/>
          <w:bCs w:val="0"/>
          <w:i w:val="0"/>
          <w:iCs w:val="0"/>
          <w:sz w:val="22"/>
          <w:szCs w:val="22"/>
          <w:lang w:val="fr-FR"/>
        </w:rPr>
        <w:t>s</w:t>
      </w:r>
      <w:r w:rsidRPr="00183F00">
        <w:rPr>
          <w:rFonts w:ascii="Times New Roman" w:hAnsi="Times New Roman" w:cs="Times New Roman"/>
          <w:b w:val="0"/>
          <w:bCs w:val="0"/>
          <w:i w:val="0"/>
          <w:iCs w:val="0"/>
          <w:sz w:val="22"/>
          <w:szCs w:val="22"/>
          <w:lang w:val="fr-FR"/>
        </w:rPr>
        <w:t xml:space="preserve">, </w:t>
      </w:r>
      <w:r w:rsidR="00DA2736" w:rsidRPr="00183F00">
        <w:rPr>
          <w:rFonts w:ascii="Times New Roman" w:hAnsi="Times New Roman" w:cs="Times New Roman"/>
          <w:b w:val="0"/>
          <w:bCs w:val="0"/>
          <w:i w:val="0"/>
          <w:iCs w:val="0"/>
          <w:sz w:val="22"/>
          <w:szCs w:val="22"/>
          <w:lang w:val="fr-FR"/>
        </w:rPr>
        <w:t xml:space="preserve">d’experts </w:t>
      </w:r>
      <w:r w:rsidRPr="00183F00">
        <w:rPr>
          <w:rFonts w:ascii="Times New Roman" w:hAnsi="Times New Roman" w:cs="Times New Roman"/>
          <w:b w:val="0"/>
          <w:bCs w:val="0"/>
          <w:i w:val="0"/>
          <w:iCs w:val="0"/>
          <w:sz w:val="22"/>
          <w:szCs w:val="22"/>
          <w:lang w:val="fr-FR"/>
        </w:rPr>
        <w:t>th</w:t>
      </w:r>
      <w:r w:rsidR="00DA2736" w:rsidRPr="00183F00">
        <w:rPr>
          <w:rFonts w:ascii="Times New Roman" w:hAnsi="Times New Roman" w:cs="Times New Roman"/>
          <w:b w:val="0"/>
          <w:bCs w:val="0"/>
          <w:i w:val="0"/>
          <w:iCs w:val="0"/>
          <w:sz w:val="22"/>
          <w:szCs w:val="22"/>
          <w:lang w:val="fr-FR"/>
        </w:rPr>
        <w:t>é</w:t>
      </w:r>
      <w:r w:rsidRPr="00183F00">
        <w:rPr>
          <w:rFonts w:ascii="Times New Roman" w:hAnsi="Times New Roman" w:cs="Times New Roman"/>
          <w:b w:val="0"/>
          <w:bCs w:val="0"/>
          <w:i w:val="0"/>
          <w:iCs w:val="0"/>
          <w:sz w:val="22"/>
          <w:szCs w:val="22"/>
          <w:lang w:val="fr-FR"/>
        </w:rPr>
        <w:t>mati</w:t>
      </w:r>
      <w:r w:rsidR="00DA2736" w:rsidRPr="00183F00">
        <w:rPr>
          <w:rFonts w:ascii="Times New Roman" w:hAnsi="Times New Roman" w:cs="Times New Roman"/>
          <w:b w:val="0"/>
          <w:bCs w:val="0"/>
          <w:i w:val="0"/>
          <w:iCs w:val="0"/>
          <w:sz w:val="22"/>
          <w:szCs w:val="22"/>
          <w:lang w:val="fr-FR"/>
        </w:rPr>
        <w:t>ques</w:t>
      </w:r>
      <w:r w:rsidRPr="00183F00">
        <w:rPr>
          <w:rFonts w:ascii="Times New Roman" w:hAnsi="Times New Roman" w:cs="Times New Roman"/>
          <w:b w:val="0"/>
          <w:bCs w:val="0"/>
          <w:i w:val="0"/>
          <w:iCs w:val="0"/>
          <w:sz w:val="22"/>
          <w:szCs w:val="22"/>
          <w:lang w:val="fr-FR"/>
        </w:rPr>
        <w:t xml:space="preserve">, </w:t>
      </w:r>
      <w:r w:rsidR="00DA2736" w:rsidRPr="00183F00">
        <w:rPr>
          <w:rFonts w:ascii="Times New Roman" w:hAnsi="Times New Roman" w:cs="Times New Roman"/>
          <w:b w:val="0"/>
          <w:bCs w:val="0"/>
          <w:i w:val="0"/>
          <w:iCs w:val="0"/>
          <w:sz w:val="22"/>
          <w:szCs w:val="22"/>
          <w:lang w:val="fr-FR"/>
        </w:rPr>
        <w:t>d’</w:t>
      </w:r>
      <w:r w:rsidRPr="00183F00">
        <w:rPr>
          <w:rFonts w:ascii="Times New Roman" w:hAnsi="Times New Roman" w:cs="Times New Roman"/>
          <w:b w:val="0"/>
          <w:bCs w:val="0"/>
          <w:i w:val="0"/>
          <w:iCs w:val="0"/>
          <w:sz w:val="22"/>
          <w:szCs w:val="22"/>
          <w:lang w:val="fr-FR"/>
        </w:rPr>
        <w:t>observ</w:t>
      </w:r>
      <w:r w:rsidR="00DA2736" w:rsidRPr="00183F00">
        <w:rPr>
          <w:rFonts w:ascii="Times New Roman" w:hAnsi="Times New Roman" w:cs="Times New Roman"/>
          <w:b w:val="0"/>
          <w:bCs w:val="0"/>
          <w:i w:val="0"/>
          <w:iCs w:val="0"/>
          <w:sz w:val="22"/>
          <w:szCs w:val="22"/>
          <w:lang w:val="fr-FR"/>
        </w:rPr>
        <w:t>at</w:t>
      </w:r>
      <w:r w:rsidRPr="00183F00">
        <w:rPr>
          <w:rFonts w:ascii="Times New Roman" w:hAnsi="Times New Roman" w:cs="Times New Roman"/>
          <w:b w:val="0"/>
          <w:bCs w:val="0"/>
          <w:i w:val="0"/>
          <w:iCs w:val="0"/>
          <w:sz w:val="22"/>
          <w:szCs w:val="22"/>
          <w:lang w:val="fr-FR"/>
        </w:rPr>
        <w:t>e</w:t>
      </w:r>
      <w:r w:rsidR="00DA2736" w:rsidRPr="00183F00">
        <w:rPr>
          <w:rFonts w:ascii="Times New Roman" w:hAnsi="Times New Roman" w:cs="Times New Roman"/>
          <w:b w:val="0"/>
          <w:bCs w:val="0"/>
          <w:i w:val="0"/>
          <w:iCs w:val="0"/>
          <w:sz w:val="22"/>
          <w:szCs w:val="22"/>
          <w:lang w:val="fr-FR"/>
        </w:rPr>
        <w:t>u</w:t>
      </w:r>
      <w:r w:rsidRPr="00183F00">
        <w:rPr>
          <w:rFonts w:ascii="Times New Roman" w:hAnsi="Times New Roman" w:cs="Times New Roman"/>
          <w:b w:val="0"/>
          <w:bCs w:val="0"/>
          <w:i w:val="0"/>
          <w:iCs w:val="0"/>
          <w:sz w:val="22"/>
          <w:szCs w:val="22"/>
          <w:lang w:val="fr-FR"/>
        </w:rPr>
        <w:t xml:space="preserve">rs, </w:t>
      </w:r>
      <w:r w:rsidR="00DA2736" w:rsidRPr="00183F00">
        <w:rPr>
          <w:rFonts w:ascii="Times New Roman" w:hAnsi="Times New Roman" w:cs="Times New Roman"/>
          <w:b w:val="0"/>
          <w:bCs w:val="0"/>
          <w:i w:val="0"/>
          <w:iCs w:val="0"/>
          <w:sz w:val="22"/>
          <w:szCs w:val="22"/>
          <w:lang w:val="fr-FR"/>
        </w:rPr>
        <w:t>ainsi que d’un membre du</w:t>
      </w:r>
      <w:r w:rsidRPr="00183F00">
        <w:rPr>
          <w:rFonts w:ascii="Times New Roman" w:hAnsi="Times New Roman" w:cs="Times New Roman"/>
          <w:b w:val="0"/>
          <w:bCs w:val="0"/>
          <w:i w:val="0"/>
          <w:iCs w:val="0"/>
          <w:sz w:val="22"/>
          <w:szCs w:val="22"/>
          <w:lang w:val="fr-FR"/>
        </w:rPr>
        <w:t xml:space="preserve"> Secr</w:t>
      </w:r>
      <w:r w:rsidR="00DA2736" w:rsidRPr="00183F00">
        <w:rPr>
          <w:rFonts w:ascii="Times New Roman" w:hAnsi="Times New Roman" w:cs="Times New Roman"/>
          <w:b w:val="0"/>
          <w:bCs w:val="0"/>
          <w:i w:val="0"/>
          <w:iCs w:val="0"/>
          <w:sz w:val="22"/>
          <w:szCs w:val="22"/>
          <w:lang w:val="fr-FR"/>
        </w:rPr>
        <w:t>é</w:t>
      </w:r>
      <w:r w:rsidRPr="00183F00">
        <w:rPr>
          <w:rFonts w:ascii="Times New Roman" w:hAnsi="Times New Roman" w:cs="Times New Roman"/>
          <w:b w:val="0"/>
          <w:bCs w:val="0"/>
          <w:i w:val="0"/>
          <w:iCs w:val="0"/>
          <w:sz w:val="22"/>
          <w:szCs w:val="22"/>
          <w:lang w:val="fr-FR"/>
        </w:rPr>
        <w:t>tariat</w:t>
      </w:r>
      <w:r w:rsidR="00DA2736" w:rsidRPr="00183F00">
        <w:rPr>
          <w:rFonts w:ascii="Times New Roman" w:hAnsi="Times New Roman" w:cs="Times New Roman"/>
          <w:b w:val="0"/>
          <w:bCs w:val="0"/>
          <w:i w:val="0"/>
          <w:iCs w:val="0"/>
          <w:sz w:val="22"/>
          <w:szCs w:val="22"/>
          <w:lang w:val="fr-FR"/>
        </w:rPr>
        <w:t>, et était présidé par l’un des membres du groupe</w:t>
      </w:r>
      <w:r w:rsidRPr="00183F00">
        <w:rPr>
          <w:rFonts w:ascii="Times New Roman" w:hAnsi="Times New Roman" w:cs="Times New Roman"/>
          <w:b w:val="0"/>
          <w:bCs w:val="0"/>
          <w:i w:val="0"/>
          <w:iCs w:val="0"/>
          <w:sz w:val="22"/>
          <w:szCs w:val="22"/>
          <w:lang w:val="fr-FR"/>
        </w:rPr>
        <w:t>.</w:t>
      </w:r>
    </w:p>
    <w:p w:rsidR="004830D6" w:rsidRPr="00183F00" w:rsidRDefault="004830D6" w:rsidP="00B50B65">
      <w:pPr>
        <w:pStyle w:val="Titel"/>
        <w:jc w:val="both"/>
        <w:rPr>
          <w:rFonts w:ascii="Times New Roman" w:hAnsi="Times New Roman" w:cs="Times New Roman"/>
          <w:b w:val="0"/>
          <w:i w:val="0"/>
          <w:color w:val="000080"/>
          <w:sz w:val="22"/>
          <w:szCs w:val="22"/>
          <w:lang w:val="fr-FR"/>
        </w:rPr>
      </w:pPr>
    </w:p>
    <w:p w:rsidR="00142A14" w:rsidRPr="00183F00" w:rsidRDefault="00DA2736" w:rsidP="00B50B65">
      <w:pPr>
        <w:pStyle w:val="Titel"/>
        <w:jc w:val="both"/>
        <w:rPr>
          <w:rFonts w:ascii="Times New Roman" w:hAnsi="Times New Roman" w:cs="Times New Roman"/>
          <w:b w:val="0"/>
          <w:i w:val="0"/>
          <w:sz w:val="22"/>
          <w:szCs w:val="22"/>
          <w:lang w:val="fr-FR"/>
        </w:rPr>
      </w:pPr>
      <w:r w:rsidRPr="00183F00">
        <w:rPr>
          <w:rFonts w:ascii="Times New Roman" w:hAnsi="Times New Roman" w:cs="Times New Roman"/>
          <w:b w:val="0"/>
          <w:i w:val="0"/>
          <w:sz w:val="22"/>
          <w:szCs w:val="22"/>
          <w:lang w:val="fr-FR"/>
        </w:rPr>
        <w:t>Toutes les tâches du plan de travail ont été effectuées sauf deux</w:t>
      </w:r>
      <w:r w:rsidR="005856A8" w:rsidRPr="00183F00">
        <w:rPr>
          <w:rFonts w:ascii="Times New Roman" w:hAnsi="Times New Roman" w:cs="Times New Roman"/>
          <w:b w:val="0"/>
          <w:i w:val="0"/>
          <w:sz w:val="22"/>
          <w:szCs w:val="22"/>
          <w:lang w:val="fr-FR"/>
        </w:rPr>
        <w:t>, à savoir</w:t>
      </w:r>
      <w:r w:rsidRPr="00183F00">
        <w:rPr>
          <w:rFonts w:ascii="Times New Roman" w:hAnsi="Times New Roman" w:cs="Times New Roman"/>
          <w:b w:val="0"/>
          <w:i w:val="0"/>
          <w:sz w:val="22"/>
          <w:szCs w:val="22"/>
          <w:lang w:val="fr-FR"/>
        </w:rPr>
        <w:t xml:space="preserve"> :</w:t>
      </w:r>
      <w:r w:rsidR="0097335B" w:rsidRPr="00183F00">
        <w:rPr>
          <w:rFonts w:ascii="Times New Roman" w:hAnsi="Times New Roman" w:cs="Times New Roman"/>
          <w:b w:val="0"/>
          <w:i w:val="0"/>
          <w:sz w:val="22"/>
          <w:szCs w:val="22"/>
          <w:lang w:val="fr-FR"/>
        </w:rPr>
        <w:t xml:space="preserve"> </w:t>
      </w:r>
      <w:r w:rsidRPr="00183F00">
        <w:rPr>
          <w:rFonts w:ascii="Times New Roman" w:hAnsi="Times New Roman" w:cs="Times New Roman"/>
          <w:b w:val="0"/>
          <w:i w:val="0"/>
          <w:sz w:val="22"/>
          <w:szCs w:val="22"/>
          <w:lang w:val="fr-FR"/>
        </w:rPr>
        <w:t xml:space="preserve">(1) fournir des conseils sur la marche à suivre </w:t>
      </w:r>
      <w:r w:rsidR="00C9793F" w:rsidRPr="00183F00">
        <w:rPr>
          <w:rFonts w:ascii="Times New Roman" w:hAnsi="Times New Roman" w:cs="Times New Roman"/>
          <w:b w:val="0"/>
          <w:i w:val="0"/>
          <w:sz w:val="22"/>
          <w:szCs w:val="22"/>
          <w:lang w:val="fr-FR"/>
        </w:rPr>
        <w:t>concernant</w:t>
      </w:r>
      <w:r w:rsidRPr="00183F00">
        <w:rPr>
          <w:rFonts w:ascii="Times New Roman" w:hAnsi="Times New Roman" w:cs="Times New Roman"/>
          <w:b w:val="0"/>
          <w:i w:val="0"/>
          <w:sz w:val="22"/>
          <w:szCs w:val="22"/>
          <w:lang w:val="fr-FR"/>
        </w:rPr>
        <w:t xml:space="preserve"> les espèces dites « </w:t>
      </w:r>
      <w:r w:rsidR="00165D09" w:rsidRPr="00183F00">
        <w:rPr>
          <w:rFonts w:ascii="Times New Roman" w:hAnsi="Times New Roman" w:cs="Times New Roman"/>
          <w:b w:val="0"/>
          <w:i w:val="0"/>
          <w:sz w:val="22"/>
          <w:szCs w:val="22"/>
          <w:lang w:val="fr-FR"/>
        </w:rPr>
        <w:t>sosies</w:t>
      </w:r>
      <w:r w:rsidRPr="00183F00">
        <w:rPr>
          <w:rFonts w:ascii="Times New Roman" w:hAnsi="Times New Roman" w:cs="Times New Roman"/>
          <w:b w:val="0"/>
          <w:i w:val="0"/>
          <w:sz w:val="22"/>
          <w:szCs w:val="22"/>
          <w:lang w:val="fr-FR"/>
        </w:rPr>
        <w:t xml:space="preserve"> » dans le cadre de la chasse et (2) </w:t>
      </w:r>
      <w:r w:rsidR="007878D4" w:rsidRPr="00183F00">
        <w:rPr>
          <w:rFonts w:ascii="Times New Roman" w:hAnsi="Times New Roman" w:cs="Times New Roman"/>
          <w:b w:val="0"/>
          <w:i w:val="0"/>
          <w:sz w:val="22"/>
          <w:szCs w:val="22"/>
          <w:lang w:val="fr-FR"/>
        </w:rPr>
        <w:t>évaluer si les réseaux internationaux de sites existants</w:t>
      </w:r>
      <w:r w:rsidRPr="00183F00">
        <w:rPr>
          <w:rFonts w:ascii="Times New Roman" w:hAnsi="Times New Roman" w:cs="Times New Roman"/>
          <w:b w:val="0"/>
          <w:i w:val="0"/>
          <w:sz w:val="22"/>
          <w:szCs w:val="22"/>
          <w:lang w:val="fr-FR"/>
        </w:rPr>
        <w:t xml:space="preserve"> </w:t>
      </w:r>
      <w:r w:rsidR="007878D4" w:rsidRPr="00183F00">
        <w:rPr>
          <w:rFonts w:ascii="Times New Roman" w:hAnsi="Times New Roman" w:cs="Times New Roman"/>
          <w:b w:val="0"/>
          <w:i w:val="0"/>
          <w:sz w:val="22"/>
          <w:szCs w:val="22"/>
          <w:lang w:val="fr-FR"/>
        </w:rPr>
        <w:t xml:space="preserve">suffisent à la </w:t>
      </w:r>
      <w:r w:rsidRPr="00183F00">
        <w:rPr>
          <w:rFonts w:ascii="Times New Roman" w:hAnsi="Times New Roman" w:cs="Times New Roman"/>
          <w:b w:val="0"/>
          <w:i w:val="0"/>
          <w:sz w:val="22"/>
          <w:szCs w:val="22"/>
          <w:lang w:val="fr-FR"/>
        </w:rPr>
        <w:t xml:space="preserve">protection </w:t>
      </w:r>
      <w:r w:rsidR="007878D4" w:rsidRPr="00183F00">
        <w:rPr>
          <w:rFonts w:ascii="Times New Roman" w:hAnsi="Times New Roman" w:cs="Times New Roman"/>
          <w:b w:val="0"/>
          <w:i w:val="0"/>
          <w:sz w:val="22"/>
          <w:szCs w:val="22"/>
          <w:lang w:val="fr-FR"/>
        </w:rPr>
        <w:t>des oiseaux d’eau migrateurs, en tenant compte des effets attendus du changement climatique</w:t>
      </w:r>
      <w:r w:rsidRPr="00183F00">
        <w:rPr>
          <w:rFonts w:ascii="Times New Roman" w:hAnsi="Times New Roman" w:cs="Times New Roman"/>
          <w:b w:val="0"/>
          <w:i w:val="0"/>
          <w:sz w:val="22"/>
          <w:szCs w:val="22"/>
          <w:lang w:val="fr-FR"/>
        </w:rPr>
        <w:t>.</w:t>
      </w:r>
      <w:r w:rsidR="004830D6" w:rsidRPr="00183F00">
        <w:rPr>
          <w:rFonts w:ascii="Times New Roman" w:hAnsi="Times New Roman" w:cs="Times New Roman"/>
          <w:b w:val="0"/>
          <w:i w:val="0"/>
          <w:sz w:val="22"/>
          <w:szCs w:val="22"/>
          <w:lang w:val="fr-FR"/>
        </w:rPr>
        <w:t xml:space="preserve"> </w:t>
      </w:r>
      <w:r w:rsidR="00C9793F" w:rsidRPr="00183F00">
        <w:rPr>
          <w:rFonts w:ascii="Times New Roman" w:hAnsi="Times New Roman" w:cs="Times New Roman"/>
          <w:b w:val="0"/>
          <w:i w:val="0"/>
          <w:sz w:val="22"/>
          <w:szCs w:val="22"/>
          <w:lang w:val="fr-FR"/>
        </w:rPr>
        <w:t>Le</w:t>
      </w:r>
      <w:r w:rsidR="007878D4" w:rsidRPr="00183F00">
        <w:rPr>
          <w:rFonts w:ascii="Times New Roman" w:hAnsi="Times New Roman" w:cs="Times New Roman"/>
          <w:b w:val="0"/>
          <w:i w:val="0"/>
          <w:sz w:val="22"/>
          <w:szCs w:val="22"/>
          <w:lang w:val="fr-FR"/>
        </w:rPr>
        <w:t xml:space="preserve">s deux tâches ne pouvaient pas être effectuées par le </w:t>
      </w:r>
      <w:r w:rsidR="00C9793F" w:rsidRPr="00183F00">
        <w:rPr>
          <w:rFonts w:ascii="Times New Roman" w:hAnsi="Times New Roman" w:cs="Times New Roman"/>
          <w:b w:val="0"/>
          <w:i w:val="0"/>
          <w:sz w:val="22"/>
          <w:szCs w:val="22"/>
          <w:lang w:val="fr-FR"/>
        </w:rPr>
        <w:t xml:space="preserve">seul </w:t>
      </w:r>
      <w:r w:rsidR="001348BF">
        <w:rPr>
          <w:rFonts w:ascii="Times New Roman" w:hAnsi="Times New Roman" w:cs="Times New Roman"/>
          <w:b w:val="0"/>
          <w:i w:val="0"/>
          <w:sz w:val="22"/>
          <w:szCs w:val="22"/>
          <w:lang w:val="fr-FR"/>
        </w:rPr>
        <w:t>CT</w:t>
      </w:r>
      <w:r w:rsidR="007878D4" w:rsidRPr="00183F00">
        <w:rPr>
          <w:rFonts w:ascii="Times New Roman" w:hAnsi="Times New Roman" w:cs="Times New Roman"/>
          <w:b w:val="0"/>
          <w:i w:val="0"/>
          <w:sz w:val="22"/>
          <w:szCs w:val="22"/>
          <w:lang w:val="fr-FR"/>
        </w:rPr>
        <w:t xml:space="preserve"> mais nécessitaient la </w:t>
      </w:r>
      <w:r w:rsidR="007878D4" w:rsidRPr="00183F00">
        <w:rPr>
          <w:rFonts w:ascii="Times New Roman" w:hAnsi="Times New Roman" w:cs="Times New Roman"/>
          <w:b w:val="0"/>
          <w:bCs w:val="0"/>
          <w:i w:val="0"/>
          <w:iCs w:val="0"/>
          <w:sz w:val="22"/>
          <w:szCs w:val="22"/>
          <w:lang w:val="fr-FR"/>
        </w:rPr>
        <w:t>contribution de consultants externes, et elles ont donc été externalisées.</w:t>
      </w:r>
      <w:r w:rsidR="004830D6" w:rsidRPr="00183F00">
        <w:rPr>
          <w:rFonts w:ascii="Times New Roman" w:hAnsi="Times New Roman" w:cs="Times New Roman"/>
          <w:b w:val="0"/>
          <w:i w:val="0"/>
          <w:sz w:val="22"/>
          <w:szCs w:val="22"/>
          <w:lang w:val="fr-FR"/>
        </w:rPr>
        <w:t xml:space="preserve"> </w:t>
      </w:r>
      <w:r w:rsidR="007878D4" w:rsidRPr="00183F00">
        <w:rPr>
          <w:rFonts w:ascii="Times New Roman" w:hAnsi="Times New Roman" w:cs="Times New Roman"/>
          <w:b w:val="0"/>
          <w:i w:val="0"/>
          <w:sz w:val="22"/>
          <w:szCs w:val="22"/>
          <w:lang w:val="fr-FR"/>
        </w:rPr>
        <w:t xml:space="preserve">En raison d’un manque de fonds pendant la période 2009-2012, </w:t>
      </w:r>
      <w:r w:rsidR="00F109AD" w:rsidRPr="00183F00">
        <w:rPr>
          <w:rFonts w:ascii="Times New Roman" w:hAnsi="Times New Roman" w:cs="Times New Roman"/>
          <w:b w:val="0"/>
          <w:i w:val="0"/>
          <w:sz w:val="22"/>
          <w:szCs w:val="22"/>
          <w:lang w:val="fr-FR"/>
        </w:rPr>
        <w:t>elles ont été incluses dans les Tâches internationales de mise en œuvre pour la prochaine période</w:t>
      </w:r>
      <w:r w:rsidR="007878D4" w:rsidRPr="00183F00">
        <w:rPr>
          <w:rFonts w:ascii="Times New Roman" w:hAnsi="Times New Roman" w:cs="Times New Roman"/>
          <w:b w:val="0"/>
          <w:i w:val="0"/>
          <w:sz w:val="22"/>
          <w:szCs w:val="22"/>
          <w:lang w:val="fr-FR"/>
        </w:rPr>
        <w:t xml:space="preserve"> intersession</w:t>
      </w:r>
      <w:r w:rsidR="00197B98" w:rsidRPr="00183F00">
        <w:rPr>
          <w:rFonts w:ascii="Times New Roman" w:hAnsi="Times New Roman" w:cs="Times New Roman"/>
          <w:b w:val="0"/>
          <w:i w:val="0"/>
          <w:sz w:val="22"/>
          <w:szCs w:val="22"/>
          <w:lang w:val="fr-FR"/>
        </w:rPr>
        <w:t>nelle</w:t>
      </w:r>
      <w:r w:rsidR="007878D4" w:rsidRPr="00183F00">
        <w:rPr>
          <w:rFonts w:ascii="Times New Roman" w:hAnsi="Times New Roman" w:cs="Times New Roman"/>
          <w:b w:val="0"/>
          <w:i w:val="0"/>
          <w:sz w:val="22"/>
          <w:szCs w:val="22"/>
          <w:lang w:val="fr-FR"/>
        </w:rPr>
        <w:t xml:space="preserve"> 2012-2015/2016.</w:t>
      </w:r>
      <w:r w:rsidR="00142A14" w:rsidRPr="00183F00">
        <w:rPr>
          <w:rFonts w:ascii="Times New Roman" w:hAnsi="Times New Roman" w:cs="Times New Roman"/>
          <w:b w:val="0"/>
          <w:i w:val="0"/>
          <w:sz w:val="22"/>
          <w:szCs w:val="22"/>
          <w:lang w:val="fr-FR"/>
        </w:rPr>
        <w:t xml:space="preserve"> </w:t>
      </w:r>
    </w:p>
    <w:p w:rsidR="00142A14" w:rsidRPr="00183F00" w:rsidRDefault="00142A14" w:rsidP="00B50B65">
      <w:pPr>
        <w:pStyle w:val="Titel"/>
        <w:jc w:val="both"/>
        <w:rPr>
          <w:rFonts w:ascii="Times New Roman" w:hAnsi="Times New Roman" w:cs="Times New Roman"/>
          <w:b w:val="0"/>
          <w:i w:val="0"/>
          <w:sz w:val="22"/>
          <w:szCs w:val="22"/>
          <w:lang w:val="fr-FR"/>
        </w:rPr>
      </w:pPr>
    </w:p>
    <w:p w:rsidR="007952C2" w:rsidRDefault="00F109AD" w:rsidP="00B50B65">
      <w:pPr>
        <w:jc w:val="both"/>
        <w:rPr>
          <w:sz w:val="22"/>
          <w:szCs w:val="22"/>
          <w:lang w:val="fr-FR"/>
        </w:rPr>
      </w:pPr>
      <w:r w:rsidRPr="00183F00">
        <w:rPr>
          <w:sz w:val="22"/>
          <w:szCs w:val="22"/>
          <w:lang w:val="fr-FR"/>
        </w:rPr>
        <w:t>Le tableau ci-dessous résume les activités entreprises pour chaque tâche durant la dernière période quadriennale, ainsi que les résultats obtenus.</w:t>
      </w:r>
    </w:p>
    <w:p w:rsidR="007952C2" w:rsidRDefault="007952C2" w:rsidP="00B50B65">
      <w:pPr>
        <w:jc w:val="both"/>
        <w:rPr>
          <w:sz w:val="22"/>
          <w:szCs w:val="22"/>
          <w:lang w:val="fr-FR"/>
        </w:rPr>
        <w:sectPr w:rsidR="007952C2" w:rsidSect="007952C2">
          <w:headerReference w:type="first" r:id="rId11"/>
          <w:footerReference w:type="first" r:id="rId12"/>
          <w:pgSz w:w="11907" w:h="16840" w:code="9"/>
          <w:pgMar w:top="1021" w:right="1134" w:bottom="851" w:left="1134" w:header="709" w:footer="709" w:gutter="0"/>
          <w:pgNumType w:start="2"/>
          <w:cols w:space="708"/>
          <w:titlePg/>
          <w:docGrid w:linePitch="360"/>
        </w:sectPr>
      </w:pPr>
    </w:p>
    <w:p w:rsidR="00B50B65" w:rsidRPr="00183F00" w:rsidRDefault="00F109AD" w:rsidP="00B50B65">
      <w:pPr>
        <w:pStyle w:val="Titel"/>
        <w:pageBreakBefore/>
        <w:ind w:firstLine="181"/>
        <w:rPr>
          <w:rFonts w:ascii="Times New Roman" w:hAnsi="Times New Roman" w:cs="Times New Roman"/>
          <w:i w:val="0"/>
          <w:sz w:val="28"/>
          <w:szCs w:val="28"/>
          <w:lang w:val="fr-FR"/>
        </w:rPr>
      </w:pPr>
      <w:r w:rsidRPr="00183F00">
        <w:rPr>
          <w:rFonts w:ascii="Times New Roman" w:hAnsi="Times New Roman" w:cs="Times New Roman"/>
          <w:i w:val="0"/>
          <w:sz w:val="28"/>
          <w:szCs w:val="28"/>
          <w:lang w:val="fr-FR"/>
        </w:rPr>
        <w:lastRenderedPageBreak/>
        <w:t>Plan de travail 2009-2012 du Comité technique de l’AEWA</w:t>
      </w:r>
    </w:p>
    <w:p w:rsidR="00B50B65" w:rsidRPr="00183F00" w:rsidRDefault="00B50B65" w:rsidP="00B50B65">
      <w:pPr>
        <w:jc w:val="center"/>
        <w:rPr>
          <w:lang w:val="fr-FR"/>
        </w:rPr>
      </w:pPr>
    </w:p>
    <w:p w:rsidR="00B50B65" w:rsidRPr="00183F00" w:rsidRDefault="00B50B65" w:rsidP="00B50B65">
      <w:pPr>
        <w:rPr>
          <w:rFonts w:ascii="Arial" w:hAnsi="Arial" w:cs="Arial"/>
          <w:lang w:val="fr-FR"/>
        </w:rPr>
      </w:pPr>
    </w:p>
    <w:tbl>
      <w:tblPr>
        <w:tblW w:w="13788" w:type="dxa"/>
        <w:tblLayout w:type="fixed"/>
        <w:tblLook w:val="0000"/>
      </w:tblPr>
      <w:tblGrid>
        <w:gridCol w:w="3369"/>
        <w:gridCol w:w="1842"/>
        <w:gridCol w:w="8577"/>
      </w:tblGrid>
      <w:tr w:rsidR="00B50B65" w:rsidRPr="00183F00">
        <w:tblPrEx>
          <w:tblCellMar>
            <w:top w:w="0" w:type="dxa"/>
            <w:bottom w:w="0" w:type="dxa"/>
          </w:tblCellMar>
        </w:tblPrEx>
        <w:trPr>
          <w:tblHeader/>
        </w:trPr>
        <w:tc>
          <w:tcPr>
            <w:tcW w:w="3369" w:type="dxa"/>
            <w:tcBorders>
              <w:top w:val="single" w:sz="4" w:space="0" w:color="auto"/>
              <w:bottom w:val="single" w:sz="4" w:space="0" w:color="auto"/>
            </w:tcBorders>
          </w:tcPr>
          <w:p w:rsidR="00B50B65" w:rsidRPr="00183F00" w:rsidRDefault="00265F05" w:rsidP="00CA73C7">
            <w:pPr>
              <w:rPr>
                <w:b/>
                <w:bCs/>
                <w:sz w:val="22"/>
                <w:szCs w:val="22"/>
                <w:lang w:val="fr-FR"/>
              </w:rPr>
            </w:pPr>
            <w:r w:rsidRPr="00183F00">
              <w:rPr>
                <w:b/>
                <w:bCs/>
                <w:sz w:val="22"/>
                <w:szCs w:val="22"/>
                <w:lang w:val="fr-FR"/>
              </w:rPr>
              <w:t>Question/Tâche</w:t>
            </w:r>
          </w:p>
        </w:tc>
        <w:tc>
          <w:tcPr>
            <w:tcW w:w="1842" w:type="dxa"/>
            <w:tcBorders>
              <w:top w:val="single" w:sz="4" w:space="0" w:color="auto"/>
              <w:bottom w:val="single" w:sz="4" w:space="0" w:color="auto"/>
            </w:tcBorders>
            <w:shd w:val="clear" w:color="auto" w:fill="FFCC99"/>
          </w:tcPr>
          <w:p w:rsidR="00B50B65" w:rsidRPr="00183F00" w:rsidRDefault="00265F05" w:rsidP="00CA73C7">
            <w:pPr>
              <w:jc w:val="both"/>
              <w:rPr>
                <w:b/>
                <w:bCs/>
                <w:sz w:val="22"/>
                <w:szCs w:val="22"/>
                <w:lang w:val="fr-FR"/>
              </w:rPr>
            </w:pPr>
            <w:r w:rsidRPr="00183F00">
              <w:rPr>
                <w:b/>
                <w:bCs/>
                <w:sz w:val="22"/>
                <w:szCs w:val="22"/>
                <w:lang w:val="fr-FR"/>
              </w:rPr>
              <w:t>Composition du groupe de travail</w:t>
            </w:r>
          </w:p>
        </w:tc>
        <w:tc>
          <w:tcPr>
            <w:tcW w:w="8577" w:type="dxa"/>
            <w:tcBorders>
              <w:top w:val="single" w:sz="4" w:space="0" w:color="auto"/>
              <w:bottom w:val="single" w:sz="4" w:space="0" w:color="auto"/>
            </w:tcBorders>
          </w:tcPr>
          <w:p w:rsidR="00B50B65" w:rsidRPr="00183F00" w:rsidRDefault="00265F05" w:rsidP="00CA73C7">
            <w:pPr>
              <w:tabs>
                <w:tab w:val="left" w:pos="5517"/>
              </w:tabs>
              <w:rPr>
                <w:b/>
                <w:bCs/>
                <w:sz w:val="22"/>
                <w:szCs w:val="22"/>
                <w:lang w:val="fr-FR"/>
              </w:rPr>
            </w:pPr>
            <w:r w:rsidRPr="00183F00">
              <w:rPr>
                <w:b/>
                <w:bCs/>
                <w:sz w:val="22"/>
                <w:szCs w:val="22"/>
                <w:lang w:val="fr-FR"/>
              </w:rPr>
              <w:t>Action entreprise et résultats obtenus</w:t>
            </w:r>
          </w:p>
        </w:tc>
      </w:tr>
      <w:tr w:rsidR="00B50B65" w:rsidRPr="00183F00">
        <w:tblPrEx>
          <w:tblCellMar>
            <w:top w:w="0" w:type="dxa"/>
            <w:bottom w:w="0" w:type="dxa"/>
          </w:tblCellMar>
        </w:tblPrEx>
        <w:tc>
          <w:tcPr>
            <w:tcW w:w="3369" w:type="dxa"/>
            <w:tcBorders>
              <w:top w:val="single" w:sz="4" w:space="0" w:color="auto"/>
              <w:bottom w:val="single" w:sz="4" w:space="0" w:color="auto"/>
            </w:tcBorders>
          </w:tcPr>
          <w:p w:rsidR="00B50B65" w:rsidRPr="00183F00" w:rsidRDefault="00B50B65" w:rsidP="00CA73C7">
            <w:pPr>
              <w:rPr>
                <w:iCs/>
                <w:sz w:val="20"/>
                <w:lang w:val="fr-FR"/>
              </w:rPr>
            </w:pPr>
          </w:p>
          <w:p w:rsidR="00B50B65" w:rsidRPr="00183F00" w:rsidRDefault="00B50B65" w:rsidP="00CA73C7">
            <w:pPr>
              <w:rPr>
                <w:b/>
                <w:bCs/>
                <w:iCs/>
                <w:sz w:val="20"/>
                <w:lang w:val="fr-FR"/>
              </w:rPr>
            </w:pPr>
            <w:r w:rsidRPr="00183F00">
              <w:rPr>
                <w:b/>
                <w:bCs/>
                <w:iCs/>
                <w:sz w:val="20"/>
                <w:lang w:val="fr-FR"/>
              </w:rPr>
              <w:t xml:space="preserve">1. </w:t>
            </w:r>
            <w:r w:rsidR="00265F05" w:rsidRPr="00183F00">
              <w:rPr>
                <w:b/>
                <w:bCs/>
                <w:iCs/>
                <w:sz w:val="20"/>
                <w:lang w:val="fr-FR"/>
              </w:rPr>
              <w:t>Grenaille de plomb, chasse et commerce</w:t>
            </w:r>
          </w:p>
          <w:p w:rsidR="00AE5DCE" w:rsidRPr="00183F00" w:rsidRDefault="00AE5DCE" w:rsidP="00CA73C7">
            <w:pPr>
              <w:rPr>
                <w:b/>
                <w:bCs/>
                <w:iCs/>
                <w:sz w:val="20"/>
                <w:lang w:val="fr-FR"/>
              </w:rPr>
            </w:pPr>
          </w:p>
          <w:p w:rsidR="003F7F14" w:rsidRPr="00183F00" w:rsidRDefault="00E332BB" w:rsidP="003F7F14">
            <w:pPr>
              <w:rPr>
                <w:bCs/>
                <w:iCs/>
                <w:sz w:val="20"/>
                <w:lang w:val="fr-FR"/>
              </w:rPr>
            </w:pPr>
            <w:r w:rsidRPr="00183F00">
              <w:rPr>
                <w:bCs/>
                <w:iCs/>
                <w:sz w:val="20"/>
                <w:lang w:val="fr-FR"/>
              </w:rPr>
              <w:t xml:space="preserve">a) </w:t>
            </w:r>
            <w:r w:rsidR="00265F05" w:rsidRPr="00183F00">
              <w:rPr>
                <w:bCs/>
                <w:iCs/>
                <w:sz w:val="20"/>
                <w:lang w:val="fr-FR"/>
              </w:rPr>
              <w:t>examiner, pour les espèces d’oiseaux d’eau couvertes par l’Accord, tout problème potentiel découlant de l’utilisation de la grenaille de plomb dans les écosystèmes terrestres et de celle de lests de pêche en plomb</w:t>
            </w:r>
            <w:r w:rsidR="006314D6" w:rsidRPr="00183F00">
              <w:rPr>
                <w:bCs/>
                <w:iCs/>
                <w:sz w:val="20"/>
                <w:lang w:val="fr-FR"/>
              </w:rPr>
              <w:t xml:space="preserve"> (Résolution 4</w:t>
            </w:r>
            <w:r w:rsidR="004E33AB" w:rsidRPr="00183F00">
              <w:rPr>
                <w:bCs/>
                <w:iCs/>
                <w:sz w:val="20"/>
                <w:lang w:val="fr-FR"/>
              </w:rPr>
              <w:t>.1</w:t>
            </w:r>
            <w:r w:rsidR="006314D6" w:rsidRPr="00183F00">
              <w:rPr>
                <w:bCs/>
                <w:iCs/>
                <w:sz w:val="20"/>
                <w:lang w:val="fr-FR"/>
              </w:rPr>
              <w:t>)</w:t>
            </w:r>
          </w:p>
          <w:p w:rsidR="003F7F14" w:rsidRPr="00183F00" w:rsidRDefault="003F7F14" w:rsidP="003F7F14">
            <w:pPr>
              <w:rPr>
                <w:bCs/>
                <w:iCs/>
                <w:sz w:val="20"/>
                <w:lang w:val="fr-FR"/>
              </w:rPr>
            </w:pPr>
          </w:p>
          <w:p w:rsidR="003F7F14" w:rsidRPr="00183F00" w:rsidRDefault="006314D6" w:rsidP="003F7F14">
            <w:pPr>
              <w:rPr>
                <w:bCs/>
                <w:iCs/>
                <w:sz w:val="20"/>
                <w:lang w:val="fr-FR"/>
              </w:rPr>
            </w:pPr>
            <w:r w:rsidRPr="00183F00">
              <w:rPr>
                <w:bCs/>
                <w:iCs/>
                <w:sz w:val="20"/>
                <w:lang w:val="fr-FR"/>
              </w:rPr>
              <w:t xml:space="preserve">b) fournir une définition du terme </w:t>
            </w:r>
            <w:r w:rsidR="00C51EB8" w:rsidRPr="00183F00">
              <w:rPr>
                <w:bCs/>
                <w:iCs/>
                <w:sz w:val="20"/>
                <w:lang w:val="fr-FR"/>
              </w:rPr>
              <w:t>de «</w:t>
            </w:r>
            <w:r w:rsidR="00C51EB8" w:rsidRPr="00183F00">
              <w:rPr>
                <w:bCs/>
                <w:i/>
                <w:iCs/>
                <w:sz w:val="20"/>
                <w:lang w:val="fr-FR"/>
              </w:rPr>
              <w:t> pratique culturelle traditionnelle</w:t>
            </w:r>
            <w:r w:rsidR="00C51EB8" w:rsidRPr="00183F00">
              <w:rPr>
                <w:bCs/>
                <w:iCs/>
                <w:sz w:val="20"/>
                <w:lang w:val="fr-FR"/>
              </w:rPr>
              <w:t> »</w:t>
            </w:r>
            <w:r w:rsidRPr="00183F00">
              <w:rPr>
                <w:bCs/>
                <w:iCs/>
                <w:sz w:val="20"/>
                <w:lang w:val="fr-FR"/>
              </w:rPr>
              <w:t xml:space="preserve"> u</w:t>
            </w:r>
            <w:r w:rsidR="00C51EB8" w:rsidRPr="00183F00">
              <w:rPr>
                <w:bCs/>
                <w:iCs/>
                <w:sz w:val="20"/>
                <w:lang w:val="fr-FR"/>
              </w:rPr>
              <w:t>tilisé au</w:t>
            </w:r>
            <w:r w:rsidRPr="00183F00">
              <w:rPr>
                <w:bCs/>
                <w:iCs/>
                <w:sz w:val="20"/>
                <w:lang w:val="fr-FR"/>
              </w:rPr>
              <w:t xml:space="preserve"> paragraph</w:t>
            </w:r>
            <w:r w:rsidR="00C51EB8" w:rsidRPr="00183F00">
              <w:rPr>
                <w:bCs/>
                <w:iCs/>
                <w:sz w:val="20"/>
                <w:lang w:val="fr-FR"/>
              </w:rPr>
              <w:t>e</w:t>
            </w:r>
            <w:r w:rsidRPr="00183F00">
              <w:rPr>
                <w:bCs/>
                <w:iCs/>
                <w:sz w:val="20"/>
                <w:lang w:val="fr-FR"/>
              </w:rPr>
              <w:t xml:space="preserve"> 2.1.1 </w:t>
            </w:r>
            <w:r w:rsidR="00C51EB8" w:rsidRPr="00183F00">
              <w:rPr>
                <w:bCs/>
                <w:iCs/>
                <w:sz w:val="20"/>
                <w:lang w:val="fr-FR"/>
              </w:rPr>
              <w:t xml:space="preserve">du Plan d’action </w:t>
            </w:r>
            <w:r w:rsidRPr="00183F00">
              <w:rPr>
                <w:bCs/>
                <w:iCs/>
                <w:sz w:val="20"/>
                <w:lang w:val="fr-FR"/>
              </w:rPr>
              <w:t xml:space="preserve">; </w:t>
            </w:r>
            <w:r w:rsidR="00370754" w:rsidRPr="00183F00">
              <w:rPr>
                <w:bCs/>
                <w:iCs/>
                <w:sz w:val="20"/>
                <w:lang w:val="fr-FR"/>
              </w:rPr>
              <w:t>examiner l’état de conservation</w:t>
            </w:r>
            <w:r w:rsidRPr="00183F00">
              <w:rPr>
                <w:bCs/>
                <w:iCs/>
                <w:sz w:val="20"/>
                <w:lang w:val="fr-FR"/>
              </w:rPr>
              <w:t xml:space="preserve"> </w:t>
            </w:r>
            <w:r w:rsidR="00370754" w:rsidRPr="00183F00">
              <w:rPr>
                <w:bCs/>
                <w:iCs/>
                <w:sz w:val="20"/>
                <w:lang w:val="fr-FR"/>
              </w:rPr>
              <w:t>des</w:t>
            </w:r>
            <w:r w:rsidRPr="00183F00">
              <w:rPr>
                <w:bCs/>
                <w:iCs/>
                <w:sz w:val="20"/>
                <w:lang w:val="fr-FR"/>
              </w:rPr>
              <w:t xml:space="preserve"> populations </w:t>
            </w:r>
            <w:r w:rsidR="00370754" w:rsidRPr="00183F00">
              <w:rPr>
                <w:bCs/>
                <w:iCs/>
                <w:sz w:val="20"/>
                <w:lang w:val="fr-FR"/>
              </w:rPr>
              <w:t xml:space="preserve">figurant à </w:t>
            </w:r>
            <w:smartTag w:uri="urn:schemas-microsoft-com:office:smarttags" w:element="PersonName">
              <w:smartTagPr>
                <w:attr w:name="ProductID" w:val="la colonne A"/>
              </w:smartTagPr>
              <w:r w:rsidR="00370754" w:rsidRPr="00183F00">
                <w:rPr>
                  <w:bCs/>
                  <w:iCs/>
                  <w:sz w:val="20"/>
                  <w:lang w:val="fr-FR"/>
                </w:rPr>
                <w:t>la</w:t>
              </w:r>
              <w:r w:rsidRPr="00183F00">
                <w:rPr>
                  <w:bCs/>
                  <w:iCs/>
                  <w:sz w:val="20"/>
                  <w:lang w:val="fr-FR"/>
                </w:rPr>
                <w:t xml:space="preserve"> </w:t>
              </w:r>
              <w:r w:rsidR="00370754" w:rsidRPr="00183F00">
                <w:rPr>
                  <w:bCs/>
                  <w:iCs/>
                  <w:sz w:val="20"/>
                  <w:lang w:val="fr-FR"/>
                </w:rPr>
                <w:t>c</w:t>
              </w:r>
              <w:r w:rsidRPr="00183F00">
                <w:rPr>
                  <w:bCs/>
                  <w:iCs/>
                  <w:sz w:val="20"/>
                  <w:lang w:val="fr-FR"/>
                </w:rPr>
                <w:t>ol</w:t>
              </w:r>
              <w:r w:rsidR="00370754" w:rsidRPr="00183F00">
                <w:rPr>
                  <w:bCs/>
                  <w:iCs/>
                  <w:sz w:val="20"/>
                  <w:lang w:val="fr-FR"/>
                </w:rPr>
                <w:t xml:space="preserve">onne </w:t>
              </w:r>
              <w:r w:rsidRPr="00183F00">
                <w:rPr>
                  <w:bCs/>
                  <w:iCs/>
                  <w:sz w:val="20"/>
                  <w:lang w:val="fr-FR"/>
                </w:rPr>
                <w:t>A</w:t>
              </w:r>
            </w:smartTag>
            <w:r w:rsidRPr="00183F00">
              <w:rPr>
                <w:bCs/>
                <w:iCs/>
                <w:sz w:val="20"/>
                <w:lang w:val="fr-FR"/>
              </w:rPr>
              <w:t xml:space="preserve"> </w:t>
            </w:r>
            <w:r w:rsidR="00370754" w:rsidRPr="00183F00">
              <w:rPr>
                <w:bCs/>
                <w:iCs/>
                <w:sz w:val="20"/>
                <w:lang w:val="fr-FR"/>
              </w:rPr>
              <w:t>et marquées d’un</w:t>
            </w:r>
            <w:r w:rsidRPr="00183F00">
              <w:rPr>
                <w:bCs/>
                <w:iCs/>
                <w:sz w:val="20"/>
                <w:lang w:val="fr-FR"/>
              </w:rPr>
              <w:t xml:space="preserve"> ast</w:t>
            </w:r>
            <w:r w:rsidR="00370754" w:rsidRPr="00183F00">
              <w:rPr>
                <w:bCs/>
                <w:iCs/>
                <w:sz w:val="20"/>
                <w:lang w:val="fr-FR"/>
              </w:rPr>
              <w:t>é</w:t>
            </w:r>
            <w:r w:rsidRPr="00183F00">
              <w:rPr>
                <w:bCs/>
                <w:iCs/>
                <w:sz w:val="20"/>
                <w:lang w:val="fr-FR"/>
              </w:rPr>
              <w:t>ris</w:t>
            </w:r>
            <w:r w:rsidR="00370754" w:rsidRPr="00183F00">
              <w:rPr>
                <w:bCs/>
                <w:iCs/>
                <w:sz w:val="20"/>
                <w:lang w:val="fr-FR"/>
              </w:rPr>
              <w:t xml:space="preserve">que </w:t>
            </w:r>
            <w:r w:rsidRPr="00183F00">
              <w:rPr>
                <w:bCs/>
                <w:iCs/>
                <w:sz w:val="20"/>
                <w:lang w:val="fr-FR"/>
              </w:rPr>
              <w:t xml:space="preserve">; </w:t>
            </w:r>
            <w:r w:rsidR="00370754" w:rsidRPr="00183F00">
              <w:rPr>
                <w:bCs/>
                <w:iCs/>
                <w:sz w:val="20"/>
                <w:lang w:val="fr-FR"/>
              </w:rPr>
              <w:t>fournir des conseils à la MOP sur comment améliorer leur état de</w:t>
            </w:r>
            <w:r w:rsidRPr="00183F00">
              <w:rPr>
                <w:bCs/>
                <w:iCs/>
                <w:sz w:val="20"/>
                <w:lang w:val="fr-FR"/>
              </w:rPr>
              <w:t xml:space="preserve"> conservation</w:t>
            </w:r>
          </w:p>
          <w:p w:rsidR="003F7F14" w:rsidRPr="00183F00" w:rsidRDefault="00370754" w:rsidP="003F7F14">
            <w:pPr>
              <w:rPr>
                <w:bCs/>
                <w:iCs/>
                <w:sz w:val="20"/>
                <w:lang w:val="fr-FR"/>
              </w:rPr>
            </w:pPr>
            <w:r w:rsidRPr="00183F00">
              <w:rPr>
                <w:bCs/>
                <w:iCs/>
                <w:sz w:val="20"/>
                <w:lang w:val="fr-FR"/>
              </w:rPr>
              <w:t>(Résolution 4.3)</w:t>
            </w:r>
          </w:p>
          <w:p w:rsidR="003F7F14" w:rsidRPr="00183F00" w:rsidRDefault="003F7F14" w:rsidP="003F7F14">
            <w:pPr>
              <w:rPr>
                <w:bCs/>
                <w:iCs/>
                <w:sz w:val="20"/>
                <w:lang w:val="fr-FR"/>
              </w:rPr>
            </w:pPr>
          </w:p>
          <w:p w:rsidR="003F7F14" w:rsidRPr="00183F00" w:rsidRDefault="00370754" w:rsidP="003F7F14">
            <w:pPr>
              <w:rPr>
                <w:bCs/>
                <w:iCs/>
                <w:sz w:val="20"/>
                <w:lang w:val="fr-FR"/>
              </w:rPr>
            </w:pPr>
            <w:r w:rsidRPr="00183F00">
              <w:rPr>
                <w:bCs/>
                <w:iCs/>
                <w:sz w:val="20"/>
                <w:lang w:val="fr-FR"/>
              </w:rPr>
              <w:t xml:space="preserve">c) étudier les dérogations figurant au Paragraphe 2.1.3 a-e) du Plan d'action et apporter </w:t>
            </w:r>
            <w:r w:rsidR="004E33AB" w:rsidRPr="00183F00">
              <w:rPr>
                <w:bCs/>
                <w:iCs/>
                <w:sz w:val="20"/>
                <w:lang w:val="fr-FR"/>
              </w:rPr>
              <w:t>d</w:t>
            </w:r>
            <w:r w:rsidRPr="00183F00">
              <w:rPr>
                <w:bCs/>
                <w:iCs/>
                <w:sz w:val="20"/>
                <w:lang w:val="fr-FR"/>
              </w:rPr>
              <w:t>es conseils sur la question de savoir si le terme « </w:t>
            </w:r>
            <w:r w:rsidRPr="00183F00">
              <w:rPr>
                <w:bCs/>
                <w:i/>
                <w:iCs/>
                <w:sz w:val="20"/>
                <w:lang w:val="fr-FR"/>
              </w:rPr>
              <w:t>d’intérêts publics prioritaires</w:t>
            </w:r>
            <w:r w:rsidRPr="00183F00">
              <w:rPr>
                <w:bCs/>
                <w:iCs/>
                <w:sz w:val="20"/>
                <w:lang w:val="fr-FR"/>
              </w:rPr>
              <w:t> » doit être amendé ou défini. (Résolution 4.3)</w:t>
            </w:r>
          </w:p>
          <w:p w:rsidR="003F7F14" w:rsidRPr="00183F00" w:rsidRDefault="003F7F14" w:rsidP="003F7F14">
            <w:pPr>
              <w:rPr>
                <w:bCs/>
                <w:iCs/>
                <w:sz w:val="20"/>
                <w:lang w:val="fr-FR"/>
              </w:rPr>
            </w:pPr>
          </w:p>
          <w:p w:rsidR="003F7F14" w:rsidRPr="00183F00" w:rsidRDefault="00924D2F" w:rsidP="003F7F14">
            <w:pPr>
              <w:rPr>
                <w:bCs/>
                <w:iCs/>
                <w:sz w:val="20"/>
                <w:lang w:val="fr-FR"/>
              </w:rPr>
            </w:pPr>
            <w:r w:rsidRPr="00183F00">
              <w:rPr>
                <w:bCs/>
                <w:iCs/>
                <w:sz w:val="20"/>
                <w:lang w:val="fr-FR"/>
              </w:rPr>
              <w:t xml:space="preserve">d) </w:t>
            </w:r>
            <w:r w:rsidR="00370754" w:rsidRPr="00183F00">
              <w:rPr>
                <w:bCs/>
                <w:iCs/>
                <w:sz w:val="20"/>
                <w:lang w:val="fr-FR"/>
              </w:rPr>
              <w:t>apporte</w:t>
            </w:r>
            <w:r w:rsidR="00682787" w:rsidRPr="00183F00">
              <w:rPr>
                <w:bCs/>
                <w:iCs/>
                <w:sz w:val="20"/>
                <w:lang w:val="fr-FR"/>
              </w:rPr>
              <w:t>r</w:t>
            </w:r>
            <w:r w:rsidR="004E33AB" w:rsidRPr="00183F00">
              <w:rPr>
                <w:bCs/>
                <w:iCs/>
                <w:sz w:val="20"/>
                <w:lang w:val="fr-FR"/>
              </w:rPr>
              <w:t xml:space="preserve"> d</w:t>
            </w:r>
            <w:r w:rsidR="00370754" w:rsidRPr="00183F00">
              <w:rPr>
                <w:bCs/>
                <w:iCs/>
                <w:sz w:val="20"/>
                <w:lang w:val="fr-FR"/>
              </w:rPr>
              <w:t xml:space="preserve">es </w:t>
            </w:r>
            <w:r w:rsidRPr="00183F00">
              <w:rPr>
                <w:bCs/>
                <w:iCs/>
                <w:sz w:val="20"/>
                <w:lang w:val="fr-FR"/>
              </w:rPr>
              <w:t>conseils</w:t>
            </w:r>
            <w:r w:rsidR="00370754" w:rsidRPr="00183F00">
              <w:rPr>
                <w:bCs/>
                <w:iCs/>
                <w:sz w:val="20"/>
                <w:lang w:val="fr-FR"/>
              </w:rPr>
              <w:t xml:space="preserve"> aux Parties</w:t>
            </w:r>
            <w:r w:rsidRPr="00183F00">
              <w:rPr>
                <w:bCs/>
                <w:iCs/>
                <w:sz w:val="20"/>
                <w:lang w:val="fr-FR"/>
              </w:rPr>
              <w:t>,</w:t>
            </w:r>
            <w:r w:rsidR="00370754" w:rsidRPr="00183F00">
              <w:rPr>
                <w:bCs/>
                <w:iCs/>
                <w:sz w:val="20"/>
                <w:lang w:val="fr-FR"/>
              </w:rPr>
              <w:t xml:space="preserve"> </w:t>
            </w:r>
            <w:r w:rsidR="00546AF2" w:rsidRPr="00183F00">
              <w:rPr>
                <w:bCs/>
                <w:iCs/>
                <w:sz w:val="20"/>
                <w:lang w:val="fr-FR"/>
              </w:rPr>
              <w:t>pour chaque</w:t>
            </w:r>
            <w:r w:rsidRPr="00183F00">
              <w:rPr>
                <w:bCs/>
                <w:iCs/>
                <w:sz w:val="20"/>
                <w:lang w:val="fr-FR"/>
              </w:rPr>
              <w:t xml:space="preserve"> espèce, sur l’</w:t>
            </w:r>
            <w:r w:rsidR="00370754" w:rsidRPr="00183F00">
              <w:rPr>
                <w:bCs/>
                <w:iCs/>
                <w:sz w:val="20"/>
                <w:lang w:val="fr-FR"/>
              </w:rPr>
              <w:t xml:space="preserve">approche </w:t>
            </w:r>
            <w:r w:rsidRPr="00183F00">
              <w:rPr>
                <w:bCs/>
                <w:iCs/>
                <w:sz w:val="20"/>
                <w:lang w:val="fr-FR"/>
              </w:rPr>
              <w:t>à adopter pour l</w:t>
            </w:r>
            <w:r w:rsidR="00370754" w:rsidRPr="00183F00">
              <w:rPr>
                <w:bCs/>
                <w:iCs/>
                <w:sz w:val="20"/>
                <w:lang w:val="fr-FR"/>
              </w:rPr>
              <w:t xml:space="preserve">es espèces </w:t>
            </w:r>
            <w:r w:rsidR="00165D09" w:rsidRPr="00183F00">
              <w:rPr>
                <w:bCs/>
                <w:iCs/>
                <w:sz w:val="20"/>
                <w:lang w:val="fr-FR"/>
              </w:rPr>
              <w:t>sosies</w:t>
            </w:r>
            <w:r w:rsidR="00370754" w:rsidRPr="00183F00">
              <w:rPr>
                <w:bCs/>
                <w:iCs/>
                <w:sz w:val="20"/>
                <w:lang w:val="fr-FR"/>
              </w:rPr>
              <w:t xml:space="preserve"> </w:t>
            </w:r>
            <w:r w:rsidR="00682787" w:rsidRPr="00183F00">
              <w:rPr>
                <w:bCs/>
                <w:iCs/>
                <w:sz w:val="20"/>
                <w:lang w:val="fr-FR"/>
              </w:rPr>
              <w:t>dans le cadre de</w:t>
            </w:r>
            <w:r w:rsidR="00370754" w:rsidRPr="00183F00">
              <w:rPr>
                <w:bCs/>
                <w:iCs/>
                <w:sz w:val="20"/>
                <w:lang w:val="fr-FR"/>
              </w:rPr>
              <w:t xml:space="preserve"> la chasse.</w:t>
            </w:r>
          </w:p>
          <w:p w:rsidR="003F7F14" w:rsidRPr="00183F00" w:rsidRDefault="003F7F14" w:rsidP="003F7F14">
            <w:pPr>
              <w:rPr>
                <w:bCs/>
                <w:iCs/>
                <w:sz w:val="20"/>
                <w:lang w:val="fr-FR"/>
              </w:rPr>
            </w:pPr>
          </w:p>
          <w:p w:rsidR="003F7F14" w:rsidRPr="00183F00" w:rsidRDefault="00682787" w:rsidP="003F7F14">
            <w:pPr>
              <w:rPr>
                <w:bCs/>
                <w:iCs/>
                <w:sz w:val="20"/>
                <w:lang w:val="fr-FR"/>
              </w:rPr>
            </w:pPr>
            <w:r w:rsidRPr="00183F00">
              <w:rPr>
                <w:bCs/>
                <w:iCs/>
                <w:sz w:val="20"/>
                <w:lang w:val="fr-FR"/>
              </w:rPr>
              <w:t>e) examiner le paragraphe 2.1.2 (a) du Plan d</w:t>
            </w:r>
            <w:r w:rsidR="00415D8D" w:rsidRPr="00183F00">
              <w:rPr>
                <w:bCs/>
                <w:iCs/>
                <w:sz w:val="20"/>
                <w:lang w:val="fr-FR"/>
              </w:rPr>
              <w:t>’</w:t>
            </w:r>
            <w:r w:rsidRPr="00183F00">
              <w:rPr>
                <w:bCs/>
                <w:iCs/>
                <w:sz w:val="20"/>
                <w:lang w:val="fr-FR"/>
              </w:rPr>
              <w:t>action de l’AEWA et son passage « </w:t>
            </w:r>
            <w:r w:rsidRPr="00183F00">
              <w:rPr>
                <w:bCs/>
                <w:i/>
                <w:iCs/>
                <w:sz w:val="20"/>
                <w:lang w:val="fr-FR"/>
              </w:rPr>
              <w:t>dans la mesure où ledit prélèvement a un effet défavorable sur l'état de conservation de la population concernée</w:t>
            </w:r>
            <w:r w:rsidRPr="00183F00">
              <w:rPr>
                <w:bCs/>
                <w:iCs/>
                <w:sz w:val="20"/>
                <w:lang w:val="fr-FR"/>
              </w:rPr>
              <w:t xml:space="preserve"> » </w:t>
            </w:r>
            <w:r w:rsidR="004E4977" w:rsidRPr="00183F00">
              <w:rPr>
                <w:bCs/>
                <w:iCs/>
                <w:sz w:val="20"/>
                <w:lang w:val="fr-FR"/>
              </w:rPr>
              <w:t>et fournir des conseils à la Réunion des</w:t>
            </w:r>
            <w:r w:rsidRPr="00183F00">
              <w:rPr>
                <w:bCs/>
                <w:iCs/>
                <w:sz w:val="20"/>
                <w:lang w:val="fr-FR"/>
              </w:rPr>
              <w:t xml:space="preserve"> Parties </w:t>
            </w:r>
            <w:r w:rsidR="004E4977" w:rsidRPr="00183F00">
              <w:rPr>
                <w:bCs/>
                <w:iCs/>
                <w:sz w:val="20"/>
                <w:lang w:val="fr-FR"/>
              </w:rPr>
              <w:t>sur l’</w:t>
            </w:r>
            <w:r w:rsidRPr="00183F00">
              <w:rPr>
                <w:bCs/>
                <w:iCs/>
                <w:sz w:val="20"/>
                <w:lang w:val="fr-FR"/>
              </w:rPr>
              <w:t xml:space="preserve">impact </w:t>
            </w:r>
            <w:r w:rsidR="004E4977" w:rsidRPr="00183F00">
              <w:rPr>
                <w:bCs/>
                <w:iCs/>
                <w:sz w:val="20"/>
                <w:lang w:val="fr-FR"/>
              </w:rPr>
              <w:t>de ce</w:t>
            </w:r>
            <w:r w:rsidRPr="00183F00">
              <w:rPr>
                <w:bCs/>
                <w:iCs/>
                <w:sz w:val="20"/>
                <w:lang w:val="fr-FR"/>
              </w:rPr>
              <w:t xml:space="preserve"> passage </w:t>
            </w:r>
            <w:r w:rsidR="004E4977" w:rsidRPr="00183F00">
              <w:rPr>
                <w:bCs/>
                <w:iCs/>
                <w:sz w:val="20"/>
                <w:lang w:val="fr-FR"/>
              </w:rPr>
              <w:t xml:space="preserve">pour la mise en œuvre de ce </w:t>
            </w:r>
            <w:r w:rsidRPr="00183F00">
              <w:rPr>
                <w:bCs/>
                <w:iCs/>
                <w:sz w:val="20"/>
                <w:lang w:val="fr-FR"/>
              </w:rPr>
              <w:t>paragraph</w:t>
            </w:r>
            <w:r w:rsidR="004E4977" w:rsidRPr="00183F00">
              <w:rPr>
                <w:bCs/>
                <w:iCs/>
                <w:sz w:val="20"/>
                <w:lang w:val="fr-FR"/>
              </w:rPr>
              <w:t>e</w:t>
            </w:r>
            <w:r w:rsidRPr="00183F00">
              <w:rPr>
                <w:bCs/>
                <w:iCs/>
                <w:sz w:val="20"/>
                <w:lang w:val="fr-FR"/>
              </w:rPr>
              <w:t xml:space="preserve"> (R</w:t>
            </w:r>
            <w:r w:rsidR="004E4977" w:rsidRPr="00183F00">
              <w:rPr>
                <w:bCs/>
                <w:iCs/>
                <w:sz w:val="20"/>
                <w:lang w:val="fr-FR"/>
              </w:rPr>
              <w:t>é</w:t>
            </w:r>
            <w:r w:rsidRPr="00183F00">
              <w:rPr>
                <w:bCs/>
                <w:iCs/>
                <w:sz w:val="20"/>
                <w:lang w:val="fr-FR"/>
              </w:rPr>
              <w:t>solution 4.3)</w:t>
            </w:r>
          </w:p>
          <w:p w:rsidR="003F7F14" w:rsidRPr="00183F00" w:rsidRDefault="003F7F14" w:rsidP="003F7F14">
            <w:pPr>
              <w:rPr>
                <w:bCs/>
                <w:iCs/>
                <w:sz w:val="20"/>
                <w:lang w:val="fr-FR"/>
              </w:rPr>
            </w:pPr>
          </w:p>
          <w:p w:rsidR="003F7F14" w:rsidRPr="00183F00" w:rsidRDefault="004E4977" w:rsidP="003F7F14">
            <w:pPr>
              <w:rPr>
                <w:bCs/>
                <w:iCs/>
                <w:sz w:val="20"/>
                <w:lang w:val="fr-FR"/>
              </w:rPr>
            </w:pPr>
            <w:r w:rsidRPr="00183F00">
              <w:rPr>
                <w:bCs/>
                <w:iCs/>
                <w:sz w:val="20"/>
                <w:lang w:val="fr-FR"/>
              </w:rPr>
              <w:t xml:space="preserve">f) examiner les périodes au cours desquelles les populations d’oiseaux chassables menacées couvertes par l’Accord retournent vers leurs sites de reproduction et, si nécessaire, fournir </w:t>
            </w:r>
            <w:r w:rsidR="00546AF2" w:rsidRPr="00183F00">
              <w:rPr>
                <w:bCs/>
                <w:iCs/>
                <w:sz w:val="20"/>
                <w:lang w:val="fr-FR"/>
              </w:rPr>
              <w:t>d</w:t>
            </w:r>
            <w:r w:rsidRPr="00183F00">
              <w:rPr>
                <w:bCs/>
                <w:iCs/>
                <w:sz w:val="20"/>
                <w:lang w:val="fr-FR"/>
              </w:rPr>
              <w:t xml:space="preserve">es conseils sur la mise en œuvre du paragraphe 2.1.2 (a) </w:t>
            </w:r>
            <w:r w:rsidR="00705411" w:rsidRPr="00183F00">
              <w:rPr>
                <w:bCs/>
                <w:iCs/>
                <w:sz w:val="20"/>
                <w:lang w:val="fr-FR"/>
              </w:rPr>
              <w:t>du Plan d’action de l’</w:t>
            </w:r>
            <w:r w:rsidRPr="00183F00">
              <w:rPr>
                <w:bCs/>
                <w:iCs/>
                <w:sz w:val="20"/>
                <w:lang w:val="fr-FR"/>
              </w:rPr>
              <w:t>AEWA (R</w:t>
            </w:r>
            <w:r w:rsidR="00705411" w:rsidRPr="00183F00">
              <w:rPr>
                <w:bCs/>
                <w:iCs/>
                <w:sz w:val="20"/>
                <w:lang w:val="fr-FR"/>
              </w:rPr>
              <w:t>é</w:t>
            </w:r>
            <w:r w:rsidRPr="00183F00">
              <w:rPr>
                <w:bCs/>
                <w:iCs/>
                <w:sz w:val="20"/>
                <w:lang w:val="fr-FR"/>
              </w:rPr>
              <w:t>solution 4.3)</w:t>
            </w:r>
          </w:p>
          <w:p w:rsidR="003F7F14" w:rsidRPr="00183F00" w:rsidRDefault="003F7F14" w:rsidP="003F7F14">
            <w:pPr>
              <w:rPr>
                <w:bCs/>
                <w:iCs/>
                <w:sz w:val="20"/>
                <w:lang w:val="fr-FR"/>
              </w:rPr>
            </w:pPr>
          </w:p>
          <w:p w:rsidR="003F7F14" w:rsidRPr="00183F00" w:rsidRDefault="00705411" w:rsidP="003F7F14">
            <w:pPr>
              <w:rPr>
                <w:bCs/>
                <w:iCs/>
                <w:sz w:val="20"/>
                <w:lang w:val="fr-FR"/>
              </w:rPr>
            </w:pPr>
            <w:r w:rsidRPr="00183F00">
              <w:rPr>
                <w:bCs/>
                <w:iCs/>
                <w:sz w:val="20"/>
                <w:lang w:val="fr-FR"/>
              </w:rPr>
              <w:t xml:space="preserve">g) élaborer une définition ou une énumération d’exemples pour le terme « modes de </w:t>
            </w:r>
            <w:r w:rsidR="00546AF2" w:rsidRPr="00183F00">
              <w:rPr>
                <w:bCs/>
                <w:iCs/>
                <w:sz w:val="20"/>
                <w:lang w:val="fr-FR"/>
              </w:rPr>
              <w:t>prélèvement</w:t>
            </w:r>
            <w:r w:rsidRPr="00183F00">
              <w:rPr>
                <w:bCs/>
                <w:iCs/>
                <w:sz w:val="20"/>
                <w:lang w:val="fr-FR"/>
              </w:rPr>
              <w:t> » employé au Paragraphe 2.1.2 (b) du Plan d’action (Résolution 4.3).</w:t>
            </w:r>
          </w:p>
          <w:p w:rsidR="003F7F14" w:rsidRPr="00183F00" w:rsidRDefault="003F7F14" w:rsidP="003F7F14">
            <w:pPr>
              <w:rPr>
                <w:bCs/>
                <w:iCs/>
                <w:sz w:val="20"/>
                <w:lang w:val="fr-FR"/>
              </w:rPr>
            </w:pPr>
          </w:p>
          <w:p w:rsidR="003F7F14" w:rsidRPr="00183F00" w:rsidRDefault="00705411" w:rsidP="003F7F14">
            <w:pPr>
              <w:rPr>
                <w:bCs/>
                <w:iCs/>
                <w:sz w:val="20"/>
                <w:lang w:val="fr-FR"/>
              </w:rPr>
            </w:pPr>
            <w:r w:rsidRPr="00183F00">
              <w:rPr>
                <w:bCs/>
                <w:iCs/>
                <w:sz w:val="20"/>
                <w:lang w:val="fr-FR"/>
              </w:rPr>
              <w:t>h) étudier le Paragraphe 2.1.2 (c) et son terme « </w:t>
            </w:r>
            <w:r w:rsidRPr="00183F00">
              <w:rPr>
                <w:bCs/>
                <w:i/>
                <w:iCs/>
                <w:sz w:val="20"/>
                <w:lang w:val="fr-FR"/>
              </w:rPr>
              <w:t xml:space="preserve">lorsque cela est </w:t>
            </w:r>
            <w:r w:rsidRPr="00183F00">
              <w:rPr>
                <w:bCs/>
                <w:i/>
                <w:iCs/>
                <w:sz w:val="20"/>
                <w:lang w:val="fr-FR"/>
              </w:rPr>
              <w:lastRenderedPageBreak/>
              <w:t>approprié</w:t>
            </w:r>
            <w:r w:rsidRPr="00183F00">
              <w:rPr>
                <w:bCs/>
                <w:iCs/>
                <w:sz w:val="20"/>
                <w:lang w:val="fr-FR"/>
              </w:rPr>
              <w:t> » afin de fournir aux Parties des directives détaillées sur la nécessité d’établir des limites de prélèvement dans les pays respectifs et la façon dont cela doit être fait (Résolution 4.3).</w:t>
            </w:r>
          </w:p>
          <w:p w:rsidR="003F7F14" w:rsidRPr="00183F00" w:rsidRDefault="003F7F14" w:rsidP="003F7F14">
            <w:pPr>
              <w:rPr>
                <w:bCs/>
                <w:iCs/>
                <w:sz w:val="20"/>
                <w:lang w:val="fr-FR"/>
              </w:rPr>
            </w:pPr>
          </w:p>
          <w:p w:rsidR="003F7F14" w:rsidRPr="00183F00" w:rsidRDefault="00705411" w:rsidP="003F7F14">
            <w:pPr>
              <w:rPr>
                <w:bCs/>
                <w:iCs/>
                <w:sz w:val="20"/>
                <w:lang w:val="fr-FR"/>
              </w:rPr>
            </w:pPr>
            <w:r w:rsidRPr="00183F00">
              <w:rPr>
                <w:bCs/>
                <w:iCs/>
                <w:sz w:val="20"/>
                <w:lang w:val="fr-FR"/>
              </w:rPr>
              <w:t xml:space="preserve">i) </w:t>
            </w:r>
            <w:r w:rsidR="003554FB" w:rsidRPr="00183F00">
              <w:rPr>
                <w:bCs/>
                <w:iCs/>
                <w:sz w:val="20"/>
                <w:lang w:val="fr-FR"/>
              </w:rPr>
              <w:t>examiner le</w:t>
            </w:r>
            <w:r w:rsidRPr="00183F00">
              <w:rPr>
                <w:bCs/>
                <w:iCs/>
                <w:sz w:val="20"/>
                <w:lang w:val="fr-FR"/>
              </w:rPr>
              <w:t xml:space="preserve"> paragraph</w:t>
            </w:r>
            <w:r w:rsidR="003554FB" w:rsidRPr="00183F00">
              <w:rPr>
                <w:bCs/>
                <w:iCs/>
                <w:sz w:val="20"/>
                <w:lang w:val="fr-FR"/>
              </w:rPr>
              <w:t>e</w:t>
            </w:r>
            <w:r w:rsidRPr="00183F00">
              <w:rPr>
                <w:bCs/>
                <w:iCs/>
                <w:sz w:val="20"/>
                <w:lang w:val="fr-FR"/>
              </w:rPr>
              <w:t xml:space="preserve"> 2.5 </w:t>
            </w:r>
            <w:r w:rsidR="003554FB" w:rsidRPr="00183F00">
              <w:rPr>
                <w:bCs/>
                <w:iCs/>
                <w:sz w:val="20"/>
                <w:lang w:val="fr-FR"/>
              </w:rPr>
              <w:t>du Plan d’action</w:t>
            </w:r>
            <w:r w:rsidRPr="00183F00">
              <w:rPr>
                <w:bCs/>
                <w:iCs/>
                <w:sz w:val="20"/>
                <w:lang w:val="fr-FR"/>
              </w:rPr>
              <w:t xml:space="preserve"> </w:t>
            </w:r>
            <w:r w:rsidR="003554FB" w:rsidRPr="00183F00">
              <w:rPr>
                <w:bCs/>
                <w:iCs/>
                <w:sz w:val="20"/>
                <w:lang w:val="fr-FR"/>
              </w:rPr>
              <w:t>et fournir des conseils</w:t>
            </w:r>
            <w:r w:rsidRPr="00183F00">
              <w:rPr>
                <w:bCs/>
                <w:iCs/>
                <w:sz w:val="20"/>
                <w:lang w:val="fr-FR"/>
              </w:rPr>
              <w:t xml:space="preserve"> </w:t>
            </w:r>
            <w:r w:rsidR="003554FB" w:rsidRPr="00183F00">
              <w:rPr>
                <w:bCs/>
                <w:iCs/>
                <w:sz w:val="20"/>
                <w:lang w:val="fr-FR"/>
              </w:rPr>
              <w:t>pour savoir si le</w:t>
            </w:r>
            <w:r w:rsidRPr="00183F00">
              <w:rPr>
                <w:bCs/>
                <w:iCs/>
                <w:sz w:val="20"/>
                <w:lang w:val="fr-FR"/>
              </w:rPr>
              <w:t xml:space="preserve"> term</w:t>
            </w:r>
            <w:r w:rsidR="003554FB" w:rsidRPr="00183F00">
              <w:rPr>
                <w:bCs/>
                <w:iCs/>
                <w:sz w:val="20"/>
                <w:lang w:val="fr-FR"/>
              </w:rPr>
              <w:t>e</w:t>
            </w:r>
            <w:r w:rsidRPr="00183F00">
              <w:rPr>
                <w:bCs/>
                <w:iCs/>
                <w:sz w:val="20"/>
                <w:lang w:val="fr-FR"/>
              </w:rPr>
              <w:t xml:space="preserve"> </w:t>
            </w:r>
            <w:r w:rsidR="003554FB" w:rsidRPr="00183F00">
              <w:rPr>
                <w:bCs/>
                <w:iCs/>
                <w:sz w:val="20"/>
                <w:lang w:val="fr-FR"/>
              </w:rPr>
              <w:t>« </w:t>
            </w:r>
            <w:r w:rsidR="003554FB" w:rsidRPr="00183F00">
              <w:rPr>
                <w:bCs/>
                <w:i/>
                <w:iCs/>
                <w:sz w:val="20"/>
                <w:lang w:val="fr-FR"/>
              </w:rPr>
              <w:t>si elles le jugent nécessaire</w:t>
            </w:r>
            <w:r w:rsidR="003554FB" w:rsidRPr="00183F00">
              <w:rPr>
                <w:bCs/>
                <w:iCs/>
                <w:sz w:val="20"/>
                <w:lang w:val="fr-FR"/>
              </w:rPr>
              <w:t> »</w:t>
            </w:r>
            <w:r w:rsidRPr="00183F00">
              <w:rPr>
                <w:bCs/>
                <w:iCs/>
                <w:sz w:val="20"/>
                <w:lang w:val="fr-FR"/>
              </w:rPr>
              <w:t xml:space="preserve"> </w:t>
            </w:r>
            <w:r w:rsidR="003554FB" w:rsidRPr="00183F00">
              <w:rPr>
                <w:bCs/>
                <w:iCs/>
                <w:sz w:val="20"/>
                <w:lang w:val="fr-FR"/>
              </w:rPr>
              <w:t xml:space="preserve">doit </w:t>
            </w:r>
            <w:r w:rsidR="00415D8D" w:rsidRPr="00183F00">
              <w:rPr>
                <w:bCs/>
                <w:iCs/>
                <w:sz w:val="20"/>
                <w:lang w:val="fr-FR"/>
              </w:rPr>
              <w:t>ê</w:t>
            </w:r>
            <w:r w:rsidR="003554FB" w:rsidRPr="00183F00">
              <w:rPr>
                <w:bCs/>
                <w:iCs/>
                <w:sz w:val="20"/>
                <w:lang w:val="fr-FR"/>
              </w:rPr>
              <w:t>tre supprimé du texte</w:t>
            </w:r>
            <w:r w:rsidRPr="00183F00">
              <w:rPr>
                <w:bCs/>
                <w:iCs/>
                <w:sz w:val="20"/>
                <w:lang w:val="fr-FR"/>
              </w:rPr>
              <w:t xml:space="preserve"> o</w:t>
            </w:r>
            <w:r w:rsidR="003554FB" w:rsidRPr="00183F00">
              <w:rPr>
                <w:bCs/>
                <w:iCs/>
                <w:sz w:val="20"/>
                <w:lang w:val="fr-FR"/>
              </w:rPr>
              <w:t>u amendé</w:t>
            </w:r>
            <w:r w:rsidRPr="00183F00">
              <w:rPr>
                <w:bCs/>
                <w:iCs/>
                <w:sz w:val="20"/>
                <w:lang w:val="fr-FR"/>
              </w:rPr>
              <w:t xml:space="preserve"> </w:t>
            </w:r>
            <w:r w:rsidR="003554FB" w:rsidRPr="00183F00">
              <w:rPr>
                <w:bCs/>
                <w:iCs/>
                <w:sz w:val="20"/>
                <w:lang w:val="fr-FR"/>
              </w:rPr>
              <w:t>afin de le mettre en</w:t>
            </w:r>
            <w:r w:rsidR="00415D8D" w:rsidRPr="00183F00">
              <w:rPr>
                <w:bCs/>
                <w:iCs/>
                <w:sz w:val="20"/>
                <w:lang w:val="fr-FR"/>
              </w:rPr>
              <w:t xml:space="preserve"> </w:t>
            </w:r>
            <w:r w:rsidR="003554FB" w:rsidRPr="00183F00">
              <w:rPr>
                <w:bCs/>
                <w:iCs/>
                <w:sz w:val="20"/>
                <w:lang w:val="fr-FR"/>
              </w:rPr>
              <w:t>conformité avec l’</w:t>
            </w:r>
            <w:r w:rsidRPr="00183F00">
              <w:rPr>
                <w:bCs/>
                <w:iCs/>
                <w:sz w:val="20"/>
                <w:lang w:val="fr-FR"/>
              </w:rPr>
              <w:t xml:space="preserve">Article III 2 (g) </w:t>
            </w:r>
            <w:r w:rsidR="003554FB" w:rsidRPr="00183F00">
              <w:rPr>
                <w:bCs/>
                <w:iCs/>
                <w:sz w:val="20"/>
                <w:lang w:val="fr-FR"/>
              </w:rPr>
              <w:t>du texte de l’Accord</w:t>
            </w:r>
            <w:r w:rsidRPr="00183F00">
              <w:rPr>
                <w:bCs/>
                <w:iCs/>
                <w:sz w:val="20"/>
                <w:lang w:val="fr-FR"/>
              </w:rPr>
              <w:t xml:space="preserve"> (R</w:t>
            </w:r>
            <w:r w:rsidR="003554FB" w:rsidRPr="00183F00">
              <w:rPr>
                <w:bCs/>
                <w:iCs/>
                <w:sz w:val="20"/>
                <w:lang w:val="fr-FR"/>
              </w:rPr>
              <w:t>é</w:t>
            </w:r>
            <w:r w:rsidRPr="00183F00">
              <w:rPr>
                <w:bCs/>
                <w:iCs/>
                <w:sz w:val="20"/>
                <w:lang w:val="fr-FR"/>
              </w:rPr>
              <w:t>solution 4.3)</w:t>
            </w:r>
          </w:p>
          <w:p w:rsidR="003F7F14" w:rsidRPr="00183F00" w:rsidRDefault="003F7F14" w:rsidP="003F7F14">
            <w:pPr>
              <w:rPr>
                <w:bCs/>
                <w:iCs/>
                <w:sz w:val="20"/>
                <w:lang w:val="fr-FR"/>
              </w:rPr>
            </w:pPr>
          </w:p>
          <w:p w:rsidR="003F7F14" w:rsidRPr="00183F00" w:rsidRDefault="000D6899" w:rsidP="003F7F14">
            <w:pPr>
              <w:rPr>
                <w:bCs/>
                <w:iCs/>
                <w:sz w:val="20"/>
                <w:lang w:val="fr-FR"/>
              </w:rPr>
            </w:pPr>
            <w:r w:rsidRPr="00183F00">
              <w:rPr>
                <w:bCs/>
                <w:iCs/>
                <w:sz w:val="20"/>
                <w:lang w:val="fr-FR"/>
              </w:rPr>
              <w:t>j)</w:t>
            </w:r>
            <w:r w:rsidR="00415D8D" w:rsidRPr="00183F00">
              <w:rPr>
                <w:bCs/>
                <w:iCs/>
                <w:sz w:val="20"/>
                <w:lang w:val="fr-FR"/>
              </w:rPr>
              <w:t xml:space="preserve"> </w:t>
            </w:r>
            <w:r w:rsidR="003554FB" w:rsidRPr="00183F00">
              <w:rPr>
                <w:bCs/>
                <w:iCs/>
                <w:sz w:val="20"/>
                <w:lang w:val="fr-FR"/>
              </w:rPr>
              <w:t>examine</w:t>
            </w:r>
            <w:r w:rsidRPr="00183F00">
              <w:rPr>
                <w:bCs/>
                <w:iCs/>
                <w:sz w:val="20"/>
                <w:lang w:val="fr-FR"/>
              </w:rPr>
              <w:t>r</w:t>
            </w:r>
            <w:r w:rsidR="003554FB" w:rsidRPr="00183F00">
              <w:rPr>
                <w:bCs/>
                <w:iCs/>
                <w:sz w:val="20"/>
                <w:lang w:val="fr-FR"/>
              </w:rPr>
              <w:t xml:space="preserve"> les Paragraphes 2.1.2 et 4.1 du Plan d’action et, si nécessaire, apporte</w:t>
            </w:r>
            <w:r w:rsidRPr="00183F00">
              <w:rPr>
                <w:bCs/>
                <w:iCs/>
                <w:sz w:val="20"/>
                <w:lang w:val="fr-FR"/>
              </w:rPr>
              <w:t>r</w:t>
            </w:r>
            <w:r w:rsidR="003554FB" w:rsidRPr="00183F00">
              <w:rPr>
                <w:bCs/>
                <w:iCs/>
                <w:sz w:val="20"/>
                <w:lang w:val="fr-FR"/>
              </w:rPr>
              <w:t xml:space="preserve"> </w:t>
            </w:r>
            <w:r w:rsidR="00AE2F82" w:rsidRPr="00183F00">
              <w:rPr>
                <w:bCs/>
                <w:iCs/>
                <w:sz w:val="20"/>
                <w:lang w:val="fr-FR"/>
              </w:rPr>
              <w:t>d</w:t>
            </w:r>
            <w:r w:rsidR="003554FB" w:rsidRPr="00183F00">
              <w:rPr>
                <w:bCs/>
                <w:iCs/>
                <w:sz w:val="20"/>
                <w:lang w:val="fr-FR"/>
              </w:rPr>
              <w:t xml:space="preserve">es conseils à la Réunion des Parties sur la façon dont le texte doit être amendé </w:t>
            </w:r>
            <w:r w:rsidR="00415D8D" w:rsidRPr="00183F00">
              <w:rPr>
                <w:bCs/>
                <w:iCs/>
                <w:sz w:val="20"/>
                <w:lang w:val="fr-FR"/>
              </w:rPr>
              <w:t>afin que</w:t>
            </w:r>
            <w:r w:rsidR="003554FB" w:rsidRPr="00183F00">
              <w:rPr>
                <w:bCs/>
                <w:iCs/>
                <w:sz w:val="20"/>
                <w:lang w:val="fr-FR"/>
              </w:rPr>
              <w:t xml:space="preserve"> les dispositions sur les « </w:t>
            </w:r>
            <w:r w:rsidR="003554FB" w:rsidRPr="00183F00">
              <w:rPr>
                <w:bCs/>
                <w:i/>
                <w:iCs/>
                <w:sz w:val="20"/>
                <w:lang w:val="fr-FR"/>
              </w:rPr>
              <w:t>méthodes de chasse</w:t>
            </w:r>
            <w:r w:rsidR="003554FB" w:rsidRPr="00183F00">
              <w:rPr>
                <w:bCs/>
                <w:iCs/>
                <w:sz w:val="20"/>
                <w:lang w:val="fr-FR"/>
              </w:rPr>
              <w:t> », mais aussi sur les limitations des périodes de chasse, ainsi que les limites des prélèvements, se réfèrent clairement aux populations des Colonnes B et C</w:t>
            </w:r>
            <w:r w:rsidRPr="00183F00">
              <w:rPr>
                <w:bCs/>
                <w:iCs/>
                <w:sz w:val="20"/>
                <w:lang w:val="fr-FR"/>
              </w:rPr>
              <w:t xml:space="preserve"> (Résolution 4.3)</w:t>
            </w:r>
          </w:p>
          <w:p w:rsidR="003F7F14" w:rsidRPr="00183F00" w:rsidRDefault="003F7F14" w:rsidP="003F7F14">
            <w:pPr>
              <w:rPr>
                <w:bCs/>
                <w:iCs/>
                <w:sz w:val="20"/>
                <w:lang w:val="fr-FR"/>
              </w:rPr>
            </w:pPr>
          </w:p>
          <w:p w:rsidR="003F7F14" w:rsidRPr="00183F00" w:rsidRDefault="000D6899" w:rsidP="003F7F14">
            <w:pPr>
              <w:rPr>
                <w:bCs/>
                <w:iCs/>
                <w:sz w:val="20"/>
                <w:lang w:val="fr-FR"/>
              </w:rPr>
            </w:pPr>
            <w:r w:rsidRPr="00183F00">
              <w:rPr>
                <w:bCs/>
                <w:iCs/>
                <w:sz w:val="20"/>
                <w:lang w:val="fr-FR"/>
              </w:rPr>
              <w:t xml:space="preserve">k) instruire les Parties sur le mode de mise en œuvre du Paragraphe 4.1.1 et, si nécessaire, apporter </w:t>
            </w:r>
            <w:r w:rsidR="00197B98" w:rsidRPr="00183F00">
              <w:rPr>
                <w:bCs/>
                <w:iCs/>
                <w:sz w:val="20"/>
                <w:lang w:val="fr-FR"/>
              </w:rPr>
              <w:t>d</w:t>
            </w:r>
            <w:r w:rsidRPr="00183F00">
              <w:rPr>
                <w:bCs/>
                <w:iCs/>
                <w:sz w:val="20"/>
                <w:lang w:val="fr-FR"/>
              </w:rPr>
              <w:t xml:space="preserve">es conseils quant aux amendements du Plan d’action à effectuer afin de présenter aux Parties des exigences plus </w:t>
            </w:r>
            <w:r w:rsidRPr="00183F00">
              <w:rPr>
                <w:bCs/>
                <w:iCs/>
                <w:sz w:val="20"/>
                <w:lang w:val="fr-FR"/>
              </w:rPr>
              <w:lastRenderedPageBreak/>
              <w:t>spécifiques concernant le «</w:t>
            </w:r>
            <w:r w:rsidRPr="00183F00">
              <w:rPr>
                <w:bCs/>
                <w:i/>
                <w:iCs/>
                <w:sz w:val="20"/>
                <w:lang w:val="fr-FR"/>
              </w:rPr>
              <w:t> principe d’utilisation durable</w:t>
            </w:r>
            <w:r w:rsidRPr="00183F00">
              <w:rPr>
                <w:bCs/>
                <w:iCs/>
                <w:sz w:val="20"/>
                <w:lang w:val="fr-FR"/>
              </w:rPr>
              <w:t> ».</w:t>
            </w:r>
          </w:p>
          <w:p w:rsidR="003F7F14" w:rsidRPr="00183F00" w:rsidRDefault="000D6899" w:rsidP="003F7F14">
            <w:pPr>
              <w:rPr>
                <w:b/>
                <w:bCs/>
                <w:iCs/>
                <w:sz w:val="20"/>
                <w:lang w:val="fr-FR"/>
              </w:rPr>
            </w:pPr>
            <w:r w:rsidRPr="00183F00">
              <w:rPr>
                <w:bCs/>
                <w:iCs/>
                <w:sz w:val="20"/>
                <w:lang w:val="fr-FR"/>
              </w:rPr>
              <w:t>(Résolution 4.3)</w:t>
            </w:r>
          </w:p>
        </w:tc>
        <w:tc>
          <w:tcPr>
            <w:tcW w:w="1842" w:type="dxa"/>
            <w:tcBorders>
              <w:top w:val="single" w:sz="4" w:space="0" w:color="auto"/>
              <w:bottom w:val="single" w:sz="4" w:space="0" w:color="auto"/>
            </w:tcBorders>
            <w:shd w:val="clear" w:color="auto" w:fill="FFCC99"/>
          </w:tcPr>
          <w:p w:rsidR="00B50B65" w:rsidRPr="00F301B8" w:rsidRDefault="00B50B65" w:rsidP="00CA73C7">
            <w:pPr>
              <w:rPr>
                <w:iCs/>
                <w:sz w:val="22"/>
                <w:szCs w:val="22"/>
                <w:lang w:val="de-DE"/>
              </w:rPr>
            </w:pPr>
          </w:p>
          <w:p w:rsidR="00B50B65" w:rsidRPr="00F301B8" w:rsidRDefault="000D6899" w:rsidP="00CA73C7">
            <w:pPr>
              <w:rPr>
                <w:iCs/>
                <w:sz w:val="22"/>
                <w:szCs w:val="22"/>
                <w:lang w:val="de-DE"/>
              </w:rPr>
            </w:pPr>
            <w:r w:rsidRPr="00F301B8">
              <w:rPr>
                <w:b/>
                <w:bCs/>
                <w:sz w:val="20"/>
                <w:lang w:val="de-DE"/>
              </w:rPr>
              <w:t>JYMM, JK, DS, MA, NK, ML, AM, JH, JOS/NC, BH, BL, CL, SD</w:t>
            </w:r>
            <w:r w:rsidR="00C20F53" w:rsidRPr="00F301B8">
              <w:rPr>
                <w:iCs/>
                <w:sz w:val="22"/>
                <w:szCs w:val="22"/>
                <w:lang w:val="de-DE"/>
              </w:rPr>
              <w:t xml:space="preserve"> </w:t>
            </w:r>
          </w:p>
          <w:p w:rsidR="00B50B65" w:rsidRPr="00F301B8" w:rsidRDefault="00B50B65" w:rsidP="00CA73C7">
            <w:pPr>
              <w:rPr>
                <w:iCs/>
                <w:sz w:val="22"/>
                <w:szCs w:val="22"/>
                <w:lang w:val="de-DE"/>
              </w:rPr>
            </w:pPr>
          </w:p>
        </w:tc>
        <w:tc>
          <w:tcPr>
            <w:tcW w:w="8577" w:type="dxa"/>
            <w:tcBorders>
              <w:top w:val="single" w:sz="4" w:space="0" w:color="auto"/>
              <w:bottom w:val="single" w:sz="4" w:space="0" w:color="auto"/>
            </w:tcBorders>
          </w:tcPr>
          <w:p w:rsidR="00B50B65" w:rsidRPr="00F301B8" w:rsidRDefault="00B50B65" w:rsidP="00CA73C7">
            <w:pPr>
              <w:jc w:val="both"/>
              <w:rPr>
                <w:i/>
                <w:iCs/>
                <w:color w:val="0000FF"/>
                <w:sz w:val="22"/>
                <w:szCs w:val="22"/>
                <w:lang w:val="de-DE"/>
              </w:rPr>
            </w:pPr>
          </w:p>
          <w:p w:rsidR="00B50B65" w:rsidRPr="00183F00" w:rsidRDefault="00DE2183" w:rsidP="00CA73C7">
            <w:pPr>
              <w:jc w:val="both"/>
              <w:rPr>
                <w:sz w:val="22"/>
                <w:szCs w:val="22"/>
                <w:lang w:val="fr-FR"/>
              </w:rPr>
            </w:pPr>
            <w:r w:rsidRPr="00183F00">
              <w:rPr>
                <w:sz w:val="22"/>
                <w:szCs w:val="22"/>
                <w:lang w:val="fr-FR"/>
              </w:rPr>
              <w:t xml:space="preserve">La MOP4 a demandé au </w:t>
            </w:r>
            <w:r w:rsidR="001348BF">
              <w:rPr>
                <w:sz w:val="22"/>
                <w:szCs w:val="22"/>
                <w:lang w:val="fr-FR"/>
              </w:rPr>
              <w:t>CT</w:t>
            </w:r>
            <w:r w:rsidRPr="00183F00">
              <w:rPr>
                <w:sz w:val="22"/>
                <w:szCs w:val="22"/>
                <w:lang w:val="fr-FR"/>
              </w:rPr>
              <w:t xml:space="preserve"> de fournir des définitions ou des conseils sur les termes employés dans le Plan d’action (</w:t>
            </w:r>
            <w:r w:rsidR="0081654F" w:rsidRPr="00183F00">
              <w:rPr>
                <w:sz w:val="22"/>
                <w:szCs w:val="22"/>
                <w:lang w:val="fr-FR"/>
              </w:rPr>
              <w:t>P</w:t>
            </w:r>
            <w:r w:rsidRPr="00183F00">
              <w:rPr>
                <w:sz w:val="22"/>
                <w:szCs w:val="22"/>
                <w:lang w:val="fr-FR"/>
              </w:rPr>
              <w:t xml:space="preserve">A) de l’AEWA concernant les prélèvements (Résolutions 4.1 et 4.3). Les résultats du travail de ce groupe ont servi de base à la rédaction </w:t>
            </w:r>
            <w:r w:rsidR="00284619" w:rsidRPr="00183F00">
              <w:rPr>
                <w:sz w:val="22"/>
                <w:szCs w:val="22"/>
                <w:lang w:val="fr-FR"/>
              </w:rPr>
              <w:t>de l’avant-projet de ré</w:t>
            </w:r>
            <w:r w:rsidRPr="00183F00">
              <w:rPr>
                <w:sz w:val="22"/>
                <w:szCs w:val="22"/>
                <w:lang w:val="fr-FR"/>
              </w:rPr>
              <w:t xml:space="preserve">solution AEWA/MOP5 DR6, </w:t>
            </w:r>
            <w:r w:rsidR="00284619" w:rsidRPr="00183F00">
              <w:rPr>
                <w:sz w:val="22"/>
                <w:szCs w:val="22"/>
                <w:lang w:val="fr-FR"/>
              </w:rPr>
              <w:t xml:space="preserve">qui inclut tous les changements de </w:t>
            </w:r>
            <w:r w:rsidR="00E332BB" w:rsidRPr="00183F00">
              <w:rPr>
                <w:sz w:val="22"/>
                <w:szCs w:val="22"/>
                <w:lang w:val="fr-FR"/>
              </w:rPr>
              <w:t>formulation</w:t>
            </w:r>
            <w:r w:rsidR="00284619" w:rsidRPr="00183F00">
              <w:rPr>
                <w:sz w:val="22"/>
                <w:szCs w:val="22"/>
                <w:lang w:val="fr-FR"/>
              </w:rPr>
              <w:t xml:space="preserve"> du Plan d’action de l’</w:t>
            </w:r>
            <w:r w:rsidRPr="00183F00">
              <w:rPr>
                <w:sz w:val="22"/>
                <w:szCs w:val="22"/>
                <w:lang w:val="fr-FR"/>
              </w:rPr>
              <w:t>AEWA</w:t>
            </w:r>
            <w:r w:rsidR="00E332BB" w:rsidRPr="00183F00">
              <w:rPr>
                <w:sz w:val="22"/>
                <w:szCs w:val="22"/>
                <w:lang w:val="fr-FR"/>
              </w:rPr>
              <w:t xml:space="preserve"> proposés</w:t>
            </w:r>
            <w:r w:rsidRPr="00183F00">
              <w:rPr>
                <w:sz w:val="22"/>
                <w:szCs w:val="22"/>
                <w:lang w:val="fr-FR"/>
              </w:rPr>
              <w:t>.</w:t>
            </w:r>
          </w:p>
          <w:p w:rsidR="00717B5E" w:rsidRPr="00183F00" w:rsidRDefault="00717B5E" w:rsidP="00CA73C7">
            <w:pPr>
              <w:jc w:val="both"/>
              <w:rPr>
                <w:sz w:val="22"/>
                <w:szCs w:val="22"/>
                <w:lang w:val="fr-FR"/>
              </w:rPr>
            </w:pPr>
          </w:p>
          <w:p w:rsidR="008C4DB8" w:rsidRPr="00183F00" w:rsidRDefault="00284619" w:rsidP="002B0C2C">
            <w:pPr>
              <w:numPr>
                <w:ilvl w:val="0"/>
                <w:numId w:val="7"/>
              </w:numPr>
              <w:jc w:val="both"/>
              <w:rPr>
                <w:sz w:val="22"/>
                <w:szCs w:val="22"/>
                <w:lang w:val="fr-FR"/>
              </w:rPr>
            </w:pPr>
            <w:r w:rsidRPr="00183F00">
              <w:rPr>
                <w:sz w:val="22"/>
                <w:szCs w:val="22"/>
                <w:lang w:val="fr-FR"/>
              </w:rPr>
              <w:t>Les ouvrages disponibles relatifs à l’impact des lests de pêche en plomb sur les espèces d’oiseaux d’eau ont été examinés.</w:t>
            </w:r>
            <w:r w:rsidR="002B0C2C" w:rsidRPr="00183F00">
              <w:rPr>
                <w:sz w:val="22"/>
                <w:szCs w:val="22"/>
                <w:lang w:val="fr-FR"/>
              </w:rPr>
              <w:t xml:space="preserve"> </w:t>
            </w:r>
            <w:r w:rsidRPr="00183F00">
              <w:rPr>
                <w:sz w:val="22"/>
                <w:szCs w:val="22"/>
                <w:lang w:val="fr-FR"/>
              </w:rPr>
              <w:t>L’examen inclut les types et tailles de lests de pêche en plomb ingérés</w:t>
            </w:r>
            <w:r w:rsidR="00E332BB" w:rsidRPr="00183F00">
              <w:rPr>
                <w:sz w:val="22"/>
                <w:szCs w:val="22"/>
                <w:lang w:val="fr-FR"/>
              </w:rPr>
              <w:t>,</w:t>
            </w:r>
            <w:r w:rsidRPr="00183F00">
              <w:rPr>
                <w:sz w:val="22"/>
                <w:szCs w:val="22"/>
                <w:lang w:val="fr-FR"/>
              </w:rPr>
              <w:t xml:space="preserve"> et les quantités dispersées dans l’environnement, les espèces d’oiseaux d’eau affectées et l’étendue de leur mortalité, les matériaux </w:t>
            </w:r>
            <w:r w:rsidR="004E33AB" w:rsidRPr="00183F00">
              <w:rPr>
                <w:sz w:val="22"/>
                <w:szCs w:val="22"/>
                <w:lang w:val="fr-FR"/>
              </w:rPr>
              <w:t>de remplacement</w:t>
            </w:r>
            <w:r w:rsidRPr="00183F00">
              <w:rPr>
                <w:sz w:val="22"/>
                <w:szCs w:val="22"/>
                <w:lang w:val="fr-FR"/>
              </w:rPr>
              <w:t xml:space="preserve"> et leur disponibilité, les réglementations existantes et leur efficacité.</w:t>
            </w:r>
            <w:r w:rsidR="00D7525C" w:rsidRPr="00183F00">
              <w:rPr>
                <w:sz w:val="22"/>
                <w:szCs w:val="22"/>
                <w:lang w:val="fr-FR"/>
              </w:rPr>
              <w:t xml:space="preserve"> </w:t>
            </w:r>
            <w:r w:rsidRPr="00183F00">
              <w:rPr>
                <w:sz w:val="22"/>
                <w:szCs w:val="22"/>
                <w:lang w:val="fr-FR"/>
              </w:rPr>
              <w:t>Les résultats sont réunis dans le document AEWA/MOP Inf. 5.2. I</w:t>
            </w:r>
            <w:r w:rsidR="00755622" w:rsidRPr="00183F00">
              <w:rPr>
                <w:sz w:val="22"/>
                <w:szCs w:val="22"/>
                <w:lang w:val="fr-FR"/>
              </w:rPr>
              <w:t>l a été constaté que les lests de pêche en plomb pe</w:t>
            </w:r>
            <w:r w:rsidR="0027613A" w:rsidRPr="00183F00">
              <w:rPr>
                <w:sz w:val="22"/>
                <w:szCs w:val="22"/>
                <w:lang w:val="fr-FR"/>
              </w:rPr>
              <w:t>s</w:t>
            </w:r>
            <w:r w:rsidR="00755622" w:rsidRPr="00183F00">
              <w:rPr>
                <w:sz w:val="22"/>
                <w:szCs w:val="22"/>
                <w:lang w:val="fr-FR"/>
              </w:rPr>
              <w:t>ant entre</w:t>
            </w:r>
            <w:r w:rsidRPr="00183F00">
              <w:rPr>
                <w:sz w:val="22"/>
                <w:szCs w:val="22"/>
                <w:lang w:val="fr-FR"/>
              </w:rPr>
              <w:t xml:space="preserve"> 0</w:t>
            </w:r>
            <w:r w:rsidR="00E332BB" w:rsidRPr="00183F00">
              <w:rPr>
                <w:sz w:val="22"/>
                <w:szCs w:val="22"/>
                <w:lang w:val="fr-FR"/>
              </w:rPr>
              <w:t>,</w:t>
            </w:r>
            <w:r w:rsidRPr="00183F00">
              <w:rPr>
                <w:sz w:val="22"/>
                <w:szCs w:val="22"/>
                <w:lang w:val="fr-FR"/>
              </w:rPr>
              <w:t xml:space="preserve">06 </w:t>
            </w:r>
            <w:r w:rsidR="00755622" w:rsidRPr="00183F00">
              <w:rPr>
                <w:sz w:val="22"/>
                <w:szCs w:val="22"/>
                <w:lang w:val="fr-FR"/>
              </w:rPr>
              <w:t>et</w:t>
            </w:r>
            <w:r w:rsidRPr="00183F00">
              <w:rPr>
                <w:sz w:val="22"/>
                <w:szCs w:val="22"/>
                <w:lang w:val="fr-FR"/>
              </w:rPr>
              <w:t xml:space="preserve"> 28</w:t>
            </w:r>
            <w:r w:rsidR="004E33AB" w:rsidRPr="00183F00">
              <w:rPr>
                <w:sz w:val="22"/>
                <w:szCs w:val="22"/>
                <w:lang w:val="fr-FR"/>
              </w:rPr>
              <w:t>,</w:t>
            </w:r>
            <w:r w:rsidR="00755622" w:rsidRPr="00183F00">
              <w:rPr>
                <w:sz w:val="22"/>
                <w:szCs w:val="22"/>
                <w:lang w:val="fr-FR"/>
              </w:rPr>
              <w:t xml:space="preserve">35 grammes peuvent </w:t>
            </w:r>
            <w:r w:rsidR="0027613A" w:rsidRPr="00183F00">
              <w:rPr>
                <w:sz w:val="22"/>
                <w:szCs w:val="22"/>
                <w:lang w:val="fr-FR"/>
              </w:rPr>
              <w:t>présenter un danger</w:t>
            </w:r>
            <w:r w:rsidR="00755622" w:rsidRPr="00183F00">
              <w:rPr>
                <w:sz w:val="22"/>
                <w:szCs w:val="22"/>
                <w:lang w:val="fr-FR"/>
              </w:rPr>
              <w:t xml:space="preserve"> pour les oiseaux d’eau.</w:t>
            </w:r>
            <w:r w:rsidR="002B0C2C" w:rsidRPr="00183F00">
              <w:rPr>
                <w:sz w:val="22"/>
                <w:szCs w:val="22"/>
                <w:lang w:val="fr-FR"/>
              </w:rPr>
              <w:t xml:space="preserve"> </w:t>
            </w:r>
            <w:r w:rsidR="00755622" w:rsidRPr="00183F00">
              <w:rPr>
                <w:sz w:val="22"/>
                <w:szCs w:val="22"/>
                <w:lang w:val="fr-FR"/>
              </w:rPr>
              <w:t>Le change</w:t>
            </w:r>
            <w:r w:rsidR="00662109" w:rsidRPr="00183F00">
              <w:rPr>
                <w:sz w:val="22"/>
                <w:szCs w:val="22"/>
                <w:lang w:val="fr-FR"/>
              </w:rPr>
              <w:t xml:space="preserve">ment de </w:t>
            </w:r>
            <w:r w:rsidR="000A646C" w:rsidRPr="00183F00">
              <w:rPr>
                <w:sz w:val="22"/>
                <w:szCs w:val="22"/>
                <w:lang w:val="fr-FR"/>
              </w:rPr>
              <w:t>formulation</w:t>
            </w:r>
            <w:r w:rsidR="00662109" w:rsidRPr="00183F00">
              <w:rPr>
                <w:sz w:val="22"/>
                <w:szCs w:val="22"/>
                <w:lang w:val="fr-FR"/>
              </w:rPr>
              <w:t xml:space="preserve"> du Plan d’action,</w:t>
            </w:r>
            <w:r w:rsidR="00755622" w:rsidRPr="00183F00">
              <w:rPr>
                <w:sz w:val="22"/>
                <w:szCs w:val="22"/>
                <w:lang w:val="fr-FR"/>
              </w:rPr>
              <w:t xml:space="preserve"> paragraph</w:t>
            </w:r>
            <w:r w:rsidR="00662109" w:rsidRPr="00183F00">
              <w:rPr>
                <w:sz w:val="22"/>
                <w:szCs w:val="22"/>
                <w:lang w:val="fr-FR"/>
              </w:rPr>
              <w:t>e</w:t>
            </w:r>
            <w:r w:rsidR="00755622" w:rsidRPr="00183F00">
              <w:rPr>
                <w:sz w:val="22"/>
                <w:szCs w:val="22"/>
                <w:lang w:val="fr-FR"/>
              </w:rPr>
              <w:t xml:space="preserve"> 4.1.4.</w:t>
            </w:r>
            <w:r w:rsidR="00662109" w:rsidRPr="00183F00">
              <w:rPr>
                <w:sz w:val="22"/>
                <w:szCs w:val="22"/>
                <w:lang w:val="fr-FR"/>
              </w:rPr>
              <w:t xml:space="preserve"> a été suggéré</w:t>
            </w:r>
            <w:r w:rsidR="00755622" w:rsidRPr="00183F00">
              <w:rPr>
                <w:sz w:val="22"/>
                <w:szCs w:val="22"/>
                <w:lang w:val="fr-FR"/>
              </w:rPr>
              <w:t xml:space="preserve"> (</w:t>
            </w:r>
            <w:r w:rsidR="00662109" w:rsidRPr="00183F00">
              <w:rPr>
                <w:sz w:val="22"/>
                <w:szCs w:val="22"/>
                <w:lang w:val="fr-FR"/>
              </w:rPr>
              <w:t>voir</w:t>
            </w:r>
            <w:r w:rsidR="00755622" w:rsidRPr="00183F00">
              <w:rPr>
                <w:sz w:val="22"/>
                <w:szCs w:val="22"/>
                <w:lang w:val="fr-FR"/>
              </w:rPr>
              <w:t xml:space="preserve"> document AEWA/MOP 5.20). </w:t>
            </w:r>
            <w:r w:rsidR="000A646C" w:rsidRPr="00183F00">
              <w:rPr>
                <w:sz w:val="22"/>
                <w:szCs w:val="22"/>
                <w:lang w:val="fr-FR"/>
              </w:rPr>
              <w:t>Il est nécessaire d’obtenir la</w:t>
            </w:r>
            <w:r w:rsidR="00662109" w:rsidRPr="00183F00">
              <w:rPr>
                <w:sz w:val="22"/>
                <w:szCs w:val="22"/>
                <w:lang w:val="fr-FR"/>
              </w:rPr>
              <w:t xml:space="preserve"> preuve scientifique</w:t>
            </w:r>
            <w:r w:rsidR="00755622" w:rsidRPr="00183F00">
              <w:rPr>
                <w:sz w:val="22"/>
                <w:szCs w:val="22"/>
                <w:lang w:val="fr-FR"/>
              </w:rPr>
              <w:t xml:space="preserve"> </w:t>
            </w:r>
            <w:r w:rsidR="00662109" w:rsidRPr="00183F00">
              <w:rPr>
                <w:sz w:val="22"/>
                <w:szCs w:val="22"/>
                <w:lang w:val="fr-FR"/>
              </w:rPr>
              <w:t>de l’empoisonnement des oiseaux d’eau</w:t>
            </w:r>
            <w:r w:rsidR="000A646C" w:rsidRPr="00183F00">
              <w:rPr>
                <w:sz w:val="22"/>
                <w:szCs w:val="22"/>
                <w:lang w:val="fr-FR"/>
              </w:rPr>
              <w:t xml:space="preserve"> par le plomb</w:t>
            </w:r>
            <w:r w:rsidR="00755622" w:rsidRPr="00183F00">
              <w:rPr>
                <w:sz w:val="22"/>
                <w:szCs w:val="22"/>
                <w:lang w:val="fr-FR"/>
              </w:rPr>
              <w:t>.</w:t>
            </w:r>
            <w:r w:rsidR="004735A4" w:rsidRPr="00183F00">
              <w:rPr>
                <w:sz w:val="22"/>
                <w:szCs w:val="22"/>
                <w:lang w:val="fr-FR"/>
              </w:rPr>
              <w:t xml:space="preserve"> </w:t>
            </w:r>
            <w:r w:rsidR="00662109" w:rsidRPr="00183F00">
              <w:rPr>
                <w:sz w:val="22"/>
                <w:szCs w:val="22"/>
                <w:lang w:val="fr-FR"/>
              </w:rPr>
              <w:t xml:space="preserve">Le </w:t>
            </w:r>
            <w:r w:rsidR="001348BF">
              <w:rPr>
                <w:sz w:val="22"/>
                <w:szCs w:val="22"/>
                <w:lang w:val="fr-FR"/>
              </w:rPr>
              <w:t>CT</w:t>
            </w:r>
            <w:r w:rsidR="00662109" w:rsidRPr="00183F00">
              <w:rPr>
                <w:sz w:val="22"/>
                <w:szCs w:val="22"/>
                <w:lang w:val="fr-FR"/>
              </w:rPr>
              <w:t xml:space="preserve"> a décidé d’attendre la résolution de la COP10 de la CMS sur la réduction du risque d’empoisonnement </w:t>
            </w:r>
            <w:r w:rsidR="00FB3C43" w:rsidRPr="00183F00">
              <w:rPr>
                <w:sz w:val="22"/>
                <w:szCs w:val="22"/>
                <w:lang w:val="fr-FR"/>
              </w:rPr>
              <w:t>des</w:t>
            </w:r>
            <w:r w:rsidR="00662109" w:rsidRPr="00183F00">
              <w:rPr>
                <w:sz w:val="22"/>
                <w:szCs w:val="22"/>
                <w:lang w:val="fr-FR"/>
              </w:rPr>
              <w:t xml:space="preserve"> oiseaux </w:t>
            </w:r>
            <w:r w:rsidR="00FB3C43" w:rsidRPr="00183F00">
              <w:rPr>
                <w:sz w:val="22"/>
                <w:szCs w:val="22"/>
                <w:lang w:val="fr-FR"/>
              </w:rPr>
              <w:t>migrateurs</w:t>
            </w:r>
            <w:r w:rsidR="00662109" w:rsidRPr="00183F00">
              <w:rPr>
                <w:sz w:val="22"/>
                <w:szCs w:val="22"/>
                <w:lang w:val="fr-FR"/>
              </w:rPr>
              <w:t xml:space="preserve"> (CMS R</w:t>
            </w:r>
            <w:r w:rsidR="00FB3C43" w:rsidRPr="00183F00">
              <w:rPr>
                <w:sz w:val="22"/>
                <w:szCs w:val="22"/>
                <w:lang w:val="fr-FR"/>
              </w:rPr>
              <w:t>és</w:t>
            </w:r>
            <w:r w:rsidR="00521F69">
              <w:rPr>
                <w:sz w:val="22"/>
                <w:szCs w:val="22"/>
                <w:lang w:val="fr-FR"/>
              </w:rPr>
              <w:t>olution</w:t>
            </w:r>
            <w:r w:rsidR="00662109" w:rsidRPr="00183F00">
              <w:rPr>
                <w:sz w:val="22"/>
                <w:szCs w:val="22"/>
                <w:lang w:val="fr-FR"/>
              </w:rPr>
              <w:t>.</w:t>
            </w:r>
            <w:r w:rsidR="00FB3C43" w:rsidRPr="00183F00">
              <w:rPr>
                <w:sz w:val="22"/>
                <w:szCs w:val="22"/>
                <w:lang w:val="fr-FR"/>
              </w:rPr>
              <w:t xml:space="preserve"> 10.26) pour voir s’il </w:t>
            </w:r>
            <w:r w:rsidR="004E33AB" w:rsidRPr="00183F00">
              <w:rPr>
                <w:sz w:val="22"/>
                <w:szCs w:val="22"/>
                <w:lang w:val="fr-FR"/>
              </w:rPr>
              <w:t xml:space="preserve">pouvait </w:t>
            </w:r>
            <w:r w:rsidR="00FB3C43" w:rsidRPr="00183F00">
              <w:rPr>
                <w:sz w:val="22"/>
                <w:szCs w:val="22"/>
                <w:lang w:val="fr-FR"/>
              </w:rPr>
              <w:t xml:space="preserve">s’agir </w:t>
            </w:r>
            <w:r w:rsidR="00ED648E" w:rsidRPr="00183F00">
              <w:rPr>
                <w:sz w:val="22"/>
                <w:szCs w:val="22"/>
                <w:lang w:val="fr-FR"/>
              </w:rPr>
              <w:t>d’une option de recherche durant la prochaine période intersession</w:t>
            </w:r>
            <w:r w:rsidR="00197B98" w:rsidRPr="00183F00">
              <w:rPr>
                <w:sz w:val="22"/>
                <w:szCs w:val="22"/>
                <w:lang w:val="fr-FR"/>
              </w:rPr>
              <w:t>nelle</w:t>
            </w:r>
            <w:r w:rsidR="00ED648E" w:rsidRPr="00183F00">
              <w:rPr>
                <w:sz w:val="22"/>
                <w:szCs w:val="22"/>
                <w:lang w:val="fr-FR"/>
              </w:rPr>
              <w:t>.</w:t>
            </w:r>
            <w:r w:rsidR="0063334F" w:rsidRPr="00183F00">
              <w:rPr>
                <w:sz w:val="22"/>
                <w:szCs w:val="22"/>
                <w:lang w:val="fr-FR"/>
              </w:rPr>
              <w:t xml:space="preserve"> </w:t>
            </w:r>
          </w:p>
          <w:p w:rsidR="00717B5E" w:rsidRPr="00183F00" w:rsidRDefault="00717B5E" w:rsidP="00717B5E">
            <w:pPr>
              <w:ind w:left="750"/>
              <w:jc w:val="both"/>
              <w:rPr>
                <w:sz w:val="22"/>
                <w:szCs w:val="22"/>
                <w:lang w:val="fr-FR"/>
              </w:rPr>
            </w:pPr>
          </w:p>
          <w:p w:rsidR="002B0C2C" w:rsidRPr="00183F00" w:rsidRDefault="00ED648E" w:rsidP="002B0C2C">
            <w:pPr>
              <w:numPr>
                <w:ilvl w:val="0"/>
                <w:numId w:val="7"/>
              </w:numPr>
              <w:jc w:val="both"/>
              <w:rPr>
                <w:sz w:val="22"/>
                <w:szCs w:val="22"/>
                <w:lang w:val="fr-FR"/>
              </w:rPr>
            </w:pPr>
            <w:r w:rsidRPr="00183F00">
              <w:rPr>
                <w:sz w:val="22"/>
                <w:szCs w:val="22"/>
                <w:lang w:val="fr-FR"/>
              </w:rPr>
              <w:t xml:space="preserve">Alors qu’il examinait l’état de conservation des populations marquées d’un astérisque figurant à </w:t>
            </w:r>
            <w:smartTag w:uri="urn:schemas-microsoft-com:office:smarttags" w:element="PersonName">
              <w:smartTagPr>
                <w:attr w:name="ProductID" w:val="la colonne A"/>
              </w:smartTagPr>
              <w:r w:rsidRPr="00183F00">
                <w:rPr>
                  <w:sz w:val="22"/>
                  <w:szCs w:val="22"/>
                  <w:lang w:val="fr-FR"/>
                </w:rPr>
                <w:t>la colonne A</w:t>
              </w:r>
            </w:smartTag>
            <w:r w:rsidRPr="00183F00">
              <w:rPr>
                <w:sz w:val="22"/>
                <w:szCs w:val="22"/>
                <w:lang w:val="fr-FR"/>
              </w:rPr>
              <w:t xml:space="preserve">, le </w:t>
            </w:r>
            <w:r w:rsidR="001348BF">
              <w:rPr>
                <w:sz w:val="22"/>
                <w:szCs w:val="22"/>
                <w:lang w:val="fr-FR"/>
              </w:rPr>
              <w:t>CT</w:t>
            </w:r>
            <w:r w:rsidRPr="00183F00">
              <w:rPr>
                <w:sz w:val="22"/>
                <w:szCs w:val="22"/>
                <w:lang w:val="fr-FR"/>
              </w:rPr>
              <w:t xml:space="preserve"> a décidé qu’il était impossible de définir </w:t>
            </w:r>
            <w:r w:rsidR="0081654F" w:rsidRPr="00183F00">
              <w:rPr>
                <w:sz w:val="22"/>
                <w:szCs w:val="22"/>
                <w:lang w:val="fr-FR"/>
              </w:rPr>
              <w:t>une « </w:t>
            </w:r>
            <w:r w:rsidR="0081654F" w:rsidRPr="00183F00">
              <w:rPr>
                <w:i/>
                <w:sz w:val="22"/>
                <w:szCs w:val="22"/>
                <w:lang w:val="fr-FR"/>
              </w:rPr>
              <w:t>pratique culturelle traditionnelle</w:t>
            </w:r>
            <w:r w:rsidR="0081654F" w:rsidRPr="00183F00">
              <w:rPr>
                <w:sz w:val="22"/>
                <w:szCs w:val="22"/>
                <w:lang w:val="fr-FR"/>
              </w:rPr>
              <w:t> »</w:t>
            </w:r>
            <w:r w:rsidRPr="00183F00">
              <w:rPr>
                <w:sz w:val="22"/>
                <w:szCs w:val="22"/>
                <w:lang w:val="fr-FR"/>
              </w:rPr>
              <w:t xml:space="preserve"> </w:t>
            </w:r>
            <w:r w:rsidR="0081654F" w:rsidRPr="00183F00">
              <w:rPr>
                <w:sz w:val="22"/>
                <w:szCs w:val="22"/>
                <w:lang w:val="fr-FR"/>
              </w:rPr>
              <w:t>et a suggéré</w:t>
            </w:r>
            <w:r w:rsidRPr="00183F00">
              <w:rPr>
                <w:sz w:val="22"/>
                <w:szCs w:val="22"/>
                <w:lang w:val="fr-FR"/>
              </w:rPr>
              <w:t xml:space="preserve"> </w:t>
            </w:r>
            <w:r w:rsidR="0081654F" w:rsidRPr="00183F00">
              <w:rPr>
                <w:sz w:val="22"/>
                <w:szCs w:val="22"/>
                <w:lang w:val="fr-FR"/>
              </w:rPr>
              <w:t xml:space="preserve">de supprimer ce morceau de texte du </w:t>
            </w:r>
            <w:r w:rsidRPr="00183F00">
              <w:rPr>
                <w:sz w:val="22"/>
                <w:szCs w:val="22"/>
                <w:lang w:val="fr-FR"/>
              </w:rPr>
              <w:t>paragraph</w:t>
            </w:r>
            <w:r w:rsidR="0081654F" w:rsidRPr="00183F00">
              <w:rPr>
                <w:sz w:val="22"/>
                <w:szCs w:val="22"/>
                <w:lang w:val="fr-FR"/>
              </w:rPr>
              <w:t>e</w:t>
            </w:r>
            <w:r w:rsidRPr="00183F00">
              <w:rPr>
                <w:sz w:val="22"/>
                <w:szCs w:val="22"/>
                <w:lang w:val="fr-FR"/>
              </w:rPr>
              <w:t xml:space="preserve"> 2.1.1. </w:t>
            </w:r>
            <w:r w:rsidR="0081654F" w:rsidRPr="00183F00">
              <w:rPr>
                <w:sz w:val="22"/>
                <w:szCs w:val="22"/>
                <w:lang w:val="fr-FR"/>
              </w:rPr>
              <w:t>du PA. À la place</w:t>
            </w:r>
            <w:r w:rsidRPr="00183F00">
              <w:rPr>
                <w:sz w:val="22"/>
                <w:szCs w:val="22"/>
                <w:lang w:val="fr-FR"/>
              </w:rPr>
              <w:t xml:space="preserve">, </w:t>
            </w:r>
            <w:r w:rsidR="0081654F" w:rsidRPr="00183F00">
              <w:rPr>
                <w:sz w:val="22"/>
                <w:szCs w:val="22"/>
                <w:lang w:val="fr-FR"/>
              </w:rPr>
              <w:t>l’utilisation durable a été définie</w:t>
            </w:r>
            <w:r w:rsidRPr="00183F00">
              <w:rPr>
                <w:sz w:val="22"/>
                <w:szCs w:val="22"/>
                <w:lang w:val="fr-FR"/>
              </w:rPr>
              <w:t xml:space="preserve"> </w:t>
            </w:r>
            <w:r w:rsidR="0081654F" w:rsidRPr="00183F00">
              <w:rPr>
                <w:sz w:val="22"/>
                <w:szCs w:val="22"/>
                <w:lang w:val="fr-FR"/>
              </w:rPr>
              <w:t>comme l’utilisation</w:t>
            </w:r>
            <w:r w:rsidRPr="00183F00">
              <w:rPr>
                <w:sz w:val="22"/>
                <w:szCs w:val="22"/>
                <w:lang w:val="fr-FR"/>
              </w:rPr>
              <w:t xml:space="preserve"> </w:t>
            </w:r>
            <w:r w:rsidR="0081654F" w:rsidRPr="00183F00">
              <w:rPr>
                <w:sz w:val="22"/>
                <w:szCs w:val="22"/>
                <w:lang w:val="fr-FR"/>
              </w:rPr>
              <w:t>réalisée dans le cadre de dispositions spéciales</w:t>
            </w:r>
            <w:r w:rsidRPr="00183F00">
              <w:rPr>
                <w:sz w:val="22"/>
                <w:szCs w:val="22"/>
                <w:lang w:val="fr-FR"/>
              </w:rPr>
              <w:t xml:space="preserve"> </w:t>
            </w:r>
            <w:r w:rsidR="00E20847" w:rsidRPr="00183F00">
              <w:rPr>
                <w:sz w:val="22"/>
                <w:szCs w:val="22"/>
                <w:lang w:val="fr-FR"/>
              </w:rPr>
              <w:t xml:space="preserve">d’un plan d’action par </w:t>
            </w:r>
            <w:r w:rsidR="00E20847" w:rsidRPr="00183F00">
              <w:rPr>
                <w:sz w:val="22"/>
                <w:szCs w:val="22"/>
                <w:lang w:val="fr-FR"/>
              </w:rPr>
              <w:lastRenderedPageBreak/>
              <w:t>espèce</w:t>
            </w:r>
            <w:r w:rsidRPr="00183F00">
              <w:rPr>
                <w:sz w:val="22"/>
                <w:szCs w:val="22"/>
                <w:lang w:val="fr-FR"/>
              </w:rPr>
              <w:t xml:space="preserve">, </w:t>
            </w:r>
            <w:r w:rsidR="00E20847" w:rsidRPr="00183F00">
              <w:rPr>
                <w:sz w:val="22"/>
                <w:szCs w:val="22"/>
                <w:lang w:val="fr-FR"/>
              </w:rPr>
              <w:t>cherchant à mettre en œuvre les</w:t>
            </w:r>
            <w:r w:rsidRPr="00183F00">
              <w:rPr>
                <w:sz w:val="22"/>
                <w:szCs w:val="22"/>
                <w:lang w:val="fr-FR"/>
              </w:rPr>
              <w:t xml:space="preserve"> principes </w:t>
            </w:r>
            <w:r w:rsidR="00E20847" w:rsidRPr="00183F00">
              <w:rPr>
                <w:sz w:val="22"/>
                <w:szCs w:val="22"/>
                <w:lang w:val="fr-FR"/>
              </w:rPr>
              <w:t>d’une gestion adaptée des prélèvements</w:t>
            </w:r>
            <w:r w:rsidRPr="00183F00">
              <w:rPr>
                <w:sz w:val="22"/>
                <w:szCs w:val="22"/>
                <w:lang w:val="fr-FR"/>
              </w:rPr>
              <w:t>.</w:t>
            </w:r>
            <w:r w:rsidR="00B119D4" w:rsidRPr="00183F00">
              <w:rPr>
                <w:sz w:val="22"/>
                <w:szCs w:val="22"/>
                <w:lang w:val="fr-FR"/>
              </w:rPr>
              <w:t xml:space="preserve"> </w:t>
            </w:r>
            <w:r w:rsidR="00E20847" w:rsidRPr="00183F00">
              <w:rPr>
                <w:sz w:val="22"/>
                <w:szCs w:val="22"/>
                <w:lang w:val="fr-FR"/>
              </w:rPr>
              <w:t xml:space="preserve">(Des plans d’action par espèce sont déjà nécessaires pour </w:t>
            </w:r>
            <w:r w:rsidR="00546AF2" w:rsidRPr="00183F00">
              <w:rPr>
                <w:sz w:val="22"/>
                <w:szCs w:val="22"/>
                <w:lang w:val="fr-FR"/>
              </w:rPr>
              <w:t xml:space="preserve">la </w:t>
            </w:r>
            <w:r w:rsidR="00E20847" w:rsidRPr="00183F00">
              <w:rPr>
                <w:sz w:val="22"/>
                <w:szCs w:val="22"/>
                <w:lang w:val="fr-FR"/>
              </w:rPr>
              <w:t xml:space="preserve">chasse </w:t>
            </w:r>
            <w:r w:rsidR="00546AF2" w:rsidRPr="00183F00">
              <w:rPr>
                <w:sz w:val="22"/>
                <w:szCs w:val="22"/>
                <w:lang w:val="fr-FR"/>
              </w:rPr>
              <w:t>d</w:t>
            </w:r>
            <w:r w:rsidR="00E20847" w:rsidRPr="00183F00">
              <w:rPr>
                <w:sz w:val="22"/>
                <w:szCs w:val="22"/>
                <w:lang w:val="fr-FR"/>
              </w:rPr>
              <w:t xml:space="preserve">es populations marquées d’un astérisque </w:t>
            </w:r>
            <w:r w:rsidR="007E42BB" w:rsidRPr="00183F00">
              <w:rPr>
                <w:sz w:val="22"/>
                <w:szCs w:val="22"/>
                <w:lang w:val="fr-FR"/>
              </w:rPr>
              <w:t>bénéficiant de la dérogation</w:t>
            </w:r>
            <w:r w:rsidR="00E20847" w:rsidRPr="00183F00">
              <w:rPr>
                <w:sz w:val="22"/>
                <w:szCs w:val="22"/>
                <w:lang w:val="fr-FR"/>
              </w:rPr>
              <w:t xml:space="preserve"> actuelle </w:t>
            </w:r>
            <w:r w:rsidR="007E42BB" w:rsidRPr="00183F00">
              <w:rPr>
                <w:sz w:val="22"/>
                <w:szCs w:val="22"/>
                <w:lang w:val="fr-FR"/>
              </w:rPr>
              <w:t>pour</w:t>
            </w:r>
            <w:r w:rsidR="00E20847" w:rsidRPr="00183F00">
              <w:rPr>
                <w:sz w:val="22"/>
                <w:szCs w:val="22"/>
                <w:lang w:val="fr-FR"/>
              </w:rPr>
              <w:t xml:space="preserve"> « pratique culturelle traditionnelle ».)</w:t>
            </w:r>
            <w:r w:rsidR="009616B5" w:rsidRPr="00183F00">
              <w:rPr>
                <w:sz w:val="22"/>
                <w:szCs w:val="22"/>
                <w:lang w:val="fr-FR"/>
              </w:rPr>
              <w:t xml:space="preserve"> </w:t>
            </w:r>
            <w:r w:rsidR="00E20847" w:rsidRPr="00183F00">
              <w:rPr>
                <w:sz w:val="22"/>
                <w:szCs w:val="22"/>
                <w:lang w:val="fr-FR"/>
              </w:rPr>
              <w:t>(voir document AEWA/MOP 5.20)</w:t>
            </w:r>
          </w:p>
          <w:p w:rsidR="00717B5E" w:rsidRPr="00183F00" w:rsidRDefault="00717B5E" w:rsidP="00717B5E">
            <w:pPr>
              <w:jc w:val="both"/>
              <w:rPr>
                <w:sz w:val="22"/>
                <w:szCs w:val="22"/>
                <w:lang w:val="fr-FR"/>
              </w:rPr>
            </w:pPr>
          </w:p>
          <w:p w:rsidR="00B119D4" w:rsidRPr="00183F00" w:rsidRDefault="00E23EDE" w:rsidP="002B0C2C">
            <w:pPr>
              <w:numPr>
                <w:ilvl w:val="0"/>
                <w:numId w:val="7"/>
              </w:numPr>
              <w:jc w:val="both"/>
              <w:rPr>
                <w:sz w:val="22"/>
                <w:szCs w:val="22"/>
                <w:lang w:val="fr-FR"/>
              </w:rPr>
            </w:pPr>
            <w:r w:rsidRPr="00183F00">
              <w:rPr>
                <w:sz w:val="22"/>
                <w:szCs w:val="22"/>
                <w:lang w:val="fr-FR"/>
              </w:rPr>
              <w:t xml:space="preserve">Le paragraphe 2.1.3. du Plan d’action prévoit que des dérogations aux mesures légales énumérées </w:t>
            </w:r>
            <w:r w:rsidR="007E42BB" w:rsidRPr="00183F00">
              <w:rPr>
                <w:sz w:val="22"/>
                <w:szCs w:val="22"/>
                <w:lang w:val="fr-FR"/>
              </w:rPr>
              <w:t>aux</w:t>
            </w:r>
            <w:r w:rsidRPr="00183F00">
              <w:rPr>
                <w:sz w:val="22"/>
                <w:szCs w:val="22"/>
                <w:lang w:val="fr-FR"/>
              </w:rPr>
              <w:t xml:space="preserve"> paragraphes 2.1.1 et 2.1.2 peuvent être accordées </w:t>
            </w:r>
            <w:r w:rsidR="00A00EB3" w:rsidRPr="00183F00">
              <w:rPr>
                <w:sz w:val="22"/>
                <w:szCs w:val="22"/>
                <w:lang w:val="fr-FR"/>
              </w:rPr>
              <w:t>à des fins diverses</w:t>
            </w:r>
            <w:r w:rsidRPr="00183F00">
              <w:rPr>
                <w:sz w:val="22"/>
                <w:szCs w:val="22"/>
                <w:lang w:val="fr-FR"/>
              </w:rPr>
              <w:t xml:space="preserve">, </w:t>
            </w:r>
            <w:r w:rsidR="00A00EB3" w:rsidRPr="00183F00">
              <w:rPr>
                <w:sz w:val="22"/>
                <w:szCs w:val="22"/>
                <w:lang w:val="fr-FR"/>
              </w:rPr>
              <w:t>y compris</w:t>
            </w:r>
            <w:r w:rsidRPr="00183F00">
              <w:rPr>
                <w:sz w:val="22"/>
                <w:szCs w:val="22"/>
                <w:lang w:val="fr-FR"/>
              </w:rPr>
              <w:t xml:space="preserve"> </w:t>
            </w:r>
            <w:r w:rsidR="00A00EB3" w:rsidRPr="00183F00">
              <w:rPr>
                <w:sz w:val="22"/>
                <w:szCs w:val="22"/>
                <w:lang w:val="fr-FR"/>
              </w:rPr>
              <w:t>« </w:t>
            </w:r>
            <w:r w:rsidR="00A00EB3" w:rsidRPr="00183F00">
              <w:rPr>
                <w:i/>
                <w:sz w:val="22"/>
                <w:szCs w:val="22"/>
                <w:lang w:val="fr-FR"/>
              </w:rPr>
              <w:t>dans l'intérêt de la sécurité aérienne ou d'autres intérêts publics prioritaires</w:t>
            </w:r>
            <w:r w:rsidR="00A00EB3" w:rsidRPr="00183F00">
              <w:rPr>
                <w:sz w:val="22"/>
                <w:szCs w:val="22"/>
                <w:lang w:val="fr-FR"/>
              </w:rPr>
              <w:t> »</w:t>
            </w:r>
            <w:r w:rsidRPr="00183F00">
              <w:rPr>
                <w:sz w:val="22"/>
                <w:szCs w:val="22"/>
                <w:lang w:val="fr-FR"/>
              </w:rPr>
              <w:t>.</w:t>
            </w:r>
            <w:r w:rsidR="00A7089D" w:rsidRPr="00183F00">
              <w:rPr>
                <w:sz w:val="22"/>
                <w:szCs w:val="22"/>
                <w:lang w:val="fr-FR"/>
              </w:rPr>
              <w:t xml:space="preserve"> </w:t>
            </w:r>
            <w:r w:rsidR="00A00EB3" w:rsidRPr="00183F00">
              <w:rPr>
                <w:sz w:val="22"/>
                <w:szCs w:val="22"/>
                <w:lang w:val="fr-FR"/>
              </w:rPr>
              <w:t xml:space="preserve">Au lieu de définir le terme </w:t>
            </w:r>
            <w:r w:rsidR="003119B9" w:rsidRPr="00183F00">
              <w:rPr>
                <w:sz w:val="22"/>
                <w:szCs w:val="22"/>
                <w:lang w:val="fr-FR"/>
              </w:rPr>
              <w:t>« </w:t>
            </w:r>
            <w:r w:rsidR="003119B9" w:rsidRPr="00183F00">
              <w:rPr>
                <w:i/>
                <w:sz w:val="22"/>
                <w:szCs w:val="22"/>
                <w:lang w:val="fr-FR"/>
              </w:rPr>
              <w:t>autres intérêts publics prioritaires</w:t>
            </w:r>
            <w:r w:rsidR="003119B9" w:rsidRPr="00183F00">
              <w:rPr>
                <w:sz w:val="22"/>
                <w:szCs w:val="22"/>
                <w:lang w:val="fr-FR"/>
              </w:rPr>
              <w:t> »</w:t>
            </w:r>
            <w:r w:rsidR="00A00EB3" w:rsidRPr="00183F00">
              <w:rPr>
                <w:sz w:val="22"/>
                <w:szCs w:val="22"/>
                <w:lang w:val="fr-FR"/>
              </w:rPr>
              <w:t xml:space="preserve">, </w:t>
            </w:r>
            <w:r w:rsidR="003119B9" w:rsidRPr="00183F00">
              <w:rPr>
                <w:sz w:val="22"/>
                <w:szCs w:val="22"/>
                <w:lang w:val="fr-FR"/>
              </w:rPr>
              <w:t>le comité technique suggère d’ajouter un texte énumérant</w:t>
            </w:r>
            <w:r w:rsidR="00A00EB3" w:rsidRPr="00183F00">
              <w:rPr>
                <w:sz w:val="22"/>
                <w:szCs w:val="22"/>
                <w:lang w:val="fr-FR"/>
              </w:rPr>
              <w:t xml:space="preserve"> </w:t>
            </w:r>
            <w:r w:rsidR="003119B9" w:rsidRPr="00183F00">
              <w:rPr>
                <w:sz w:val="22"/>
                <w:szCs w:val="22"/>
                <w:lang w:val="fr-FR"/>
              </w:rPr>
              <w:t>plusieurs types d’intérêts</w:t>
            </w:r>
            <w:r w:rsidR="00A00EB3" w:rsidRPr="00183F00">
              <w:rPr>
                <w:sz w:val="22"/>
                <w:szCs w:val="22"/>
                <w:lang w:val="fr-FR"/>
              </w:rPr>
              <w:t xml:space="preserve"> </w:t>
            </w:r>
            <w:r w:rsidR="003119B9" w:rsidRPr="00183F00">
              <w:rPr>
                <w:sz w:val="22"/>
                <w:szCs w:val="22"/>
                <w:lang w:val="fr-FR"/>
              </w:rPr>
              <w:t>qui peuvent</w:t>
            </w:r>
            <w:r w:rsidR="00A00EB3" w:rsidRPr="00183F00">
              <w:rPr>
                <w:sz w:val="22"/>
                <w:szCs w:val="22"/>
                <w:lang w:val="fr-FR"/>
              </w:rPr>
              <w:t xml:space="preserve">, </w:t>
            </w:r>
            <w:r w:rsidR="003119B9" w:rsidRPr="00183F00">
              <w:rPr>
                <w:sz w:val="22"/>
                <w:szCs w:val="22"/>
                <w:lang w:val="fr-FR"/>
              </w:rPr>
              <w:t>selon les circonstances</w:t>
            </w:r>
            <w:r w:rsidR="00A00EB3" w:rsidRPr="00183F00">
              <w:rPr>
                <w:sz w:val="22"/>
                <w:szCs w:val="22"/>
                <w:lang w:val="fr-FR"/>
              </w:rPr>
              <w:t>, constitue</w:t>
            </w:r>
            <w:r w:rsidR="003119B9" w:rsidRPr="00183F00">
              <w:rPr>
                <w:sz w:val="22"/>
                <w:szCs w:val="22"/>
                <w:lang w:val="fr-FR"/>
              </w:rPr>
              <w:t>r des intérêts publics prioritaires et peuvent donc justifier</w:t>
            </w:r>
            <w:r w:rsidR="00A00EB3" w:rsidRPr="00183F00">
              <w:rPr>
                <w:sz w:val="22"/>
                <w:szCs w:val="22"/>
                <w:lang w:val="fr-FR"/>
              </w:rPr>
              <w:t xml:space="preserve"> </w:t>
            </w:r>
            <w:r w:rsidR="003119B9" w:rsidRPr="00183F00">
              <w:rPr>
                <w:sz w:val="22"/>
                <w:szCs w:val="22"/>
                <w:lang w:val="fr-FR"/>
              </w:rPr>
              <w:t xml:space="preserve">le recours à ces </w:t>
            </w:r>
            <w:r w:rsidR="00CD6084" w:rsidRPr="00183F00">
              <w:rPr>
                <w:sz w:val="22"/>
                <w:szCs w:val="22"/>
                <w:lang w:val="fr-FR"/>
              </w:rPr>
              <w:t>dérogations</w:t>
            </w:r>
            <w:r w:rsidR="00A00EB3" w:rsidRPr="00183F00">
              <w:rPr>
                <w:sz w:val="22"/>
                <w:szCs w:val="22"/>
                <w:lang w:val="fr-FR"/>
              </w:rPr>
              <w:t xml:space="preserve"> (</w:t>
            </w:r>
            <w:r w:rsidR="003119B9" w:rsidRPr="00183F00">
              <w:rPr>
                <w:sz w:val="22"/>
                <w:szCs w:val="22"/>
                <w:lang w:val="fr-FR"/>
              </w:rPr>
              <w:t>voir</w:t>
            </w:r>
            <w:r w:rsidR="00A00EB3" w:rsidRPr="00183F00">
              <w:rPr>
                <w:sz w:val="22"/>
                <w:szCs w:val="22"/>
                <w:lang w:val="fr-FR"/>
              </w:rPr>
              <w:t xml:space="preserve"> document AEWA/MOP 5.20).</w:t>
            </w:r>
          </w:p>
          <w:p w:rsidR="00717B5E" w:rsidRPr="00183F00" w:rsidRDefault="00DE21E7" w:rsidP="00DE21E7">
            <w:pPr>
              <w:tabs>
                <w:tab w:val="left" w:pos="2580"/>
              </w:tabs>
              <w:jc w:val="both"/>
              <w:rPr>
                <w:sz w:val="22"/>
                <w:szCs w:val="22"/>
                <w:lang w:val="fr-FR"/>
              </w:rPr>
            </w:pPr>
            <w:r w:rsidRPr="00183F00">
              <w:rPr>
                <w:sz w:val="22"/>
                <w:szCs w:val="22"/>
                <w:lang w:val="fr-FR"/>
              </w:rPr>
              <w:tab/>
            </w:r>
          </w:p>
          <w:p w:rsidR="005C3960" w:rsidRPr="00183F00" w:rsidRDefault="003119B9" w:rsidP="002B0C2C">
            <w:pPr>
              <w:numPr>
                <w:ilvl w:val="0"/>
                <w:numId w:val="7"/>
              </w:numPr>
              <w:jc w:val="both"/>
              <w:rPr>
                <w:color w:val="FF0000"/>
                <w:sz w:val="22"/>
                <w:szCs w:val="22"/>
                <w:lang w:val="fr-FR"/>
              </w:rPr>
            </w:pPr>
            <w:r w:rsidRPr="00183F00">
              <w:rPr>
                <w:sz w:val="22"/>
                <w:szCs w:val="22"/>
                <w:lang w:val="fr-FR"/>
              </w:rPr>
              <w:t>Le</w:t>
            </w:r>
            <w:r w:rsidR="0039554F" w:rsidRPr="00183F00">
              <w:rPr>
                <w:sz w:val="22"/>
                <w:szCs w:val="22"/>
                <w:lang w:val="fr-FR"/>
              </w:rPr>
              <w:t xml:space="preserve"> </w:t>
            </w:r>
            <w:r w:rsidR="001348BF">
              <w:rPr>
                <w:sz w:val="22"/>
                <w:szCs w:val="22"/>
                <w:lang w:val="fr-FR"/>
              </w:rPr>
              <w:t>CT</w:t>
            </w:r>
            <w:r w:rsidR="0039554F" w:rsidRPr="00183F00">
              <w:rPr>
                <w:sz w:val="22"/>
                <w:szCs w:val="22"/>
                <w:lang w:val="fr-FR"/>
              </w:rPr>
              <w:t xml:space="preserve"> a élaboré des termes de référence</w:t>
            </w:r>
            <w:r w:rsidRPr="00183F00">
              <w:rPr>
                <w:sz w:val="22"/>
                <w:szCs w:val="22"/>
                <w:lang w:val="fr-FR"/>
              </w:rPr>
              <w:t xml:space="preserve"> </w:t>
            </w:r>
            <w:r w:rsidR="0039554F" w:rsidRPr="00183F00">
              <w:rPr>
                <w:sz w:val="22"/>
                <w:szCs w:val="22"/>
                <w:lang w:val="fr-FR"/>
              </w:rPr>
              <w:t>pour le développement de conseils</w:t>
            </w:r>
            <w:r w:rsidRPr="00183F00">
              <w:rPr>
                <w:sz w:val="22"/>
                <w:szCs w:val="22"/>
                <w:lang w:val="fr-FR"/>
              </w:rPr>
              <w:t xml:space="preserve"> sur l</w:t>
            </w:r>
            <w:r w:rsidR="00CD6084" w:rsidRPr="00183F00">
              <w:rPr>
                <w:sz w:val="22"/>
                <w:szCs w:val="22"/>
                <w:lang w:val="fr-FR"/>
              </w:rPr>
              <w:t>’</w:t>
            </w:r>
            <w:r w:rsidRPr="00183F00">
              <w:rPr>
                <w:sz w:val="22"/>
                <w:szCs w:val="22"/>
                <w:lang w:val="fr-FR"/>
              </w:rPr>
              <w:t xml:space="preserve">approche des espèces </w:t>
            </w:r>
            <w:r w:rsidR="00165D09" w:rsidRPr="00183F00">
              <w:rPr>
                <w:sz w:val="22"/>
                <w:szCs w:val="22"/>
                <w:lang w:val="fr-FR"/>
              </w:rPr>
              <w:t>sosies</w:t>
            </w:r>
            <w:r w:rsidRPr="00183F00">
              <w:rPr>
                <w:sz w:val="22"/>
                <w:szCs w:val="22"/>
                <w:lang w:val="fr-FR"/>
              </w:rPr>
              <w:t xml:space="preserve"> </w:t>
            </w:r>
            <w:r w:rsidR="0039554F" w:rsidRPr="00183F00">
              <w:rPr>
                <w:sz w:val="22"/>
                <w:szCs w:val="22"/>
                <w:lang w:val="fr-FR"/>
              </w:rPr>
              <w:t xml:space="preserve">dans le cadre de </w:t>
            </w:r>
            <w:smartTag w:uri="urn:schemas-microsoft-com:office:smarttags" w:element="PersonName">
              <w:smartTagPr>
                <w:attr w:name="ProductID" w:val="la chasse. En"/>
              </w:smartTagPr>
              <w:r w:rsidR="0039554F" w:rsidRPr="00183F00">
                <w:rPr>
                  <w:sz w:val="22"/>
                  <w:szCs w:val="22"/>
                  <w:lang w:val="fr-FR"/>
                </w:rPr>
                <w:t>la</w:t>
              </w:r>
              <w:r w:rsidRPr="00183F00">
                <w:rPr>
                  <w:sz w:val="22"/>
                  <w:szCs w:val="22"/>
                  <w:lang w:val="fr-FR"/>
                </w:rPr>
                <w:t xml:space="preserve"> chasse.</w:t>
              </w:r>
              <w:r w:rsidR="00B34A81" w:rsidRPr="00183F00">
                <w:rPr>
                  <w:sz w:val="22"/>
                  <w:szCs w:val="22"/>
                  <w:lang w:val="fr-FR"/>
                </w:rPr>
                <w:t xml:space="preserve"> </w:t>
              </w:r>
              <w:r w:rsidR="007B5D57" w:rsidRPr="00183F00">
                <w:rPr>
                  <w:sz w:val="22"/>
                  <w:szCs w:val="22"/>
                  <w:lang w:val="fr-FR"/>
                </w:rPr>
                <w:t>En</w:t>
              </w:r>
            </w:smartTag>
            <w:r w:rsidR="007B5D57" w:rsidRPr="00183F00">
              <w:rPr>
                <w:sz w:val="22"/>
                <w:szCs w:val="22"/>
                <w:lang w:val="fr-FR"/>
              </w:rPr>
              <w:t xml:space="preserve"> raison du manque de fonds, ceci n’a pas été mis en œuvre et sera reporté au plan de travail de la prochaine période intersession</w:t>
            </w:r>
            <w:r w:rsidR="00197B98" w:rsidRPr="00183F00">
              <w:rPr>
                <w:sz w:val="22"/>
                <w:szCs w:val="22"/>
                <w:lang w:val="fr-FR"/>
              </w:rPr>
              <w:t>nelle</w:t>
            </w:r>
            <w:r w:rsidR="007B5D57" w:rsidRPr="00183F00">
              <w:rPr>
                <w:sz w:val="22"/>
                <w:szCs w:val="22"/>
                <w:lang w:val="fr-FR"/>
              </w:rPr>
              <w:t>.</w:t>
            </w:r>
          </w:p>
          <w:p w:rsidR="00717B5E" w:rsidRPr="00183F00" w:rsidRDefault="00717B5E" w:rsidP="00717B5E">
            <w:pPr>
              <w:ind w:left="750"/>
              <w:jc w:val="both"/>
              <w:rPr>
                <w:color w:val="FF0000"/>
                <w:sz w:val="22"/>
                <w:szCs w:val="22"/>
                <w:lang w:val="fr-FR"/>
              </w:rPr>
            </w:pPr>
          </w:p>
          <w:p w:rsidR="008C144E" w:rsidRPr="00183F00" w:rsidRDefault="007B5D57" w:rsidP="002B0C2C">
            <w:pPr>
              <w:numPr>
                <w:ilvl w:val="0"/>
                <w:numId w:val="7"/>
              </w:numPr>
              <w:jc w:val="both"/>
              <w:rPr>
                <w:sz w:val="22"/>
                <w:szCs w:val="22"/>
                <w:lang w:val="fr-FR"/>
              </w:rPr>
            </w:pPr>
            <w:r w:rsidRPr="00183F00">
              <w:rPr>
                <w:sz w:val="22"/>
                <w:szCs w:val="22"/>
                <w:lang w:val="fr-FR"/>
              </w:rPr>
              <w:t>Concernant l’estimation de « </w:t>
            </w:r>
            <w:r w:rsidRPr="00183F00">
              <w:rPr>
                <w:i/>
                <w:sz w:val="22"/>
                <w:szCs w:val="22"/>
                <w:lang w:val="fr-FR"/>
              </w:rPr>
              <w:t>l’impact défavorable sur l’état de conservation</w:t>
            </w:r>
            <w:r w:rsidRPr="00183F00">
              <w:rPr>
                <w:sz w:val="22"/>
                <w:szCs w:val="22"/>
                <w:lang w:val="fr-FR"/>
              </w:rPr>
              <w:t xml:space="preserve"> », le </w:t>
            </w:r>
            <w:r w:rsidR="001348BF">
              <w:rPr>
                <w:sz w:val="22"/>
                <w:szCs w:val="22"/>
                <w:lang w:val="fr-FR"/>
              </w:rPr>
              <w:t>CT</w:t>
            </w:r>
            <w:r w:rsidRPr="00183F00">
              <w:rPr>
                <w:sz w:val="22"/>
                <w:szCs w:val="22"/>
                <w:lang w:val="fr-FR"/>
              </w:rPr>
              <w:t xml:space="preserve"> a discuté d’un éventuel changement de formulation.</w:t>
            </w:r>
            <w:r w:rsidR="009A124C" w:rsidRPr="00183F00">
              <w:rPr>
                <w:sz w:val="22"/>
                <w:szCs w:val="22"/>
                <w:lang w:val="fr-FR"/>
              </w:rPr>
              <w:t xml:space="preserve"> </w:t>
            </w:r>
            <w:r w:rsidRPr="00183F00">
              <w:rPr>
                <w:sz w:val="22"/>
                <w:szCs w:val="22"/>
                <w:lang w:val="fr-FR"/>
              </w:rPr>
              <w:t>Il a finalement été décidé de laisser le texte tel quel, mais de proposer à la place</w:t>
            </w:r>
            <w:r w:rsidR="00723861" w:rsidRPr="00183F00">
              <w:rPr>
                <w:sz w:val="22"/>
                <w:szCs w:val="22"/>
                <w:lang w:val="fr-FR"/>
              </w:rPr>
              <w:t xml:space="preserve"> un projet de Tâche internationale de mise en œuvre </w:t>
            </w:r>
            <w:r w:rsidRPr="00183F00">
              <w:rPr>
                <w:sz w:val="22"/>
                <w:szCs w:val="22"/>
                <w:lang w:val="fr-FR"/>
              </w:rPr>
              <w:t xml:space="preserve">(IIT) </w:t>
            </w:r>
            <w:r w:rsidR="00723861" w:rsidRPr="00183F00">
              <w:rPr>
                <w:sz w:val="22"/>
                <w:szCs w:val="22"/>
                <w:lang w:val="fr-FR"/>
              </w:rPr>
              <w:t>sur le recueil des données de prélèvement</w:t>
            </w:r>
            <w:r w:rsidRPr="00183F00">
              <w:rPr>
                <w:sz w:val="22"/>
                <w:szCs w:val="22"/>
                <w:lang w:val="fr-FR"/>
              </w:rPr>
              <w:t xml:space="preserve"> </w:t>
            </w:r>
            <w:r w:rsidRPr="00183F00">
              <w:rPr>
                <w:iCs/>
                <w:sz w:val="22"/>
                <w:szCs w:val="22"/>
                <w:lang w:val="fr-FR"/>
              </w:rPr>
              <w:t>(</w:t>
            </w:r>
            <w:r w:rsidR="00723861" w:rsidRPr="00183F00">
              <w:rPr>
                <w:iCs/>
                <w:sz w:val="22"/>
                <w:szCs w:val="22"/>
                <w:lang w:val="fr-FR"/>
              </w:rPr>
              <w:t>voir avant-projet de Ré</w:t>
            </w:r>
            <w:r w:rsidRPr="00183F00">
              <w:rPr>
                <w:iCs/>
                <w:sz w:val="22"/>
                <w:szCs w:val="22"/>
                <w:lang w:val="fr-FR"/>
              </w:rPr>
              <w:t xml:space="preserve">solution AEWA/MOP5 DR3) </w:t>
            </w:r>
            <w:r w:rsidR="00723861" w:rsidRPr="00183F00">
              <w:rPr>
                <w:sz w:val="22"/>
                <w:szCs w:val="22"/>
                <w:lang w:val="fr-FR"/>
              </w:rPr>
              <w:t>ainsi qu’un projet de lignes directrices de l’</w:t>
            </w:r>
            <w:r w:rsidRPr="00183F00">
              <w:rPr>
                <w:sz w:val="22"/>
                <w:szCs w:val="22"/>
                <w:lang w:val="fr-FR"/>
              </w:rPr>
              <w:t xml:space="preserve">AEWA </w:t>
            </w:r>
            <w:r w:rsidR="00723861" w:rsidRPr="00183F00">
              <w:rPr>
                <w:sz w:val="22"/>
                <w:szCs w:val="22"/>
                <w:lang w:val="fr-FR"/>
              </w:rPr>
              <w:t>sur le prélèvement durable afin qu</w:t>
            </w:r>
            <w:r w:rsidR="00CD6084" w:rsidRPr="00183F00">
              <w:rPr>
                <w:sz w:val="22"/>
                <w:szCs w:val="22"/>
                <w:lang w:val="fr-FR"/>
              </w:rPr>
              <w:t>’</w:t>
            </w:r>
            <w:r w:rsidR="00723861" w:rsidRPr="00183F00">
              <w:rPr>
                <w:sz w:val="22"/>
                <w:szCs w:val="22"/>
                <w:lang w:val="fr-FR"/>
              </w:rPr>
              <w:t>à long terme</w:t>
            </w:r>
            <w:r w:rsidRPr="00183F00">
              <w:rPr>
                <w:sz w:val="22"/>
                <w:szCs w:val="22"/>
                <w:lang w:val="fr-FR"/>
              </w:rPr>
              <w:t>,</w:t>
            </w:r>
            <w:r w:rsidR="00723861" w:rsidRPr="00183F00">
              <w:rPr>
                <w:sz w:val="22"/>
                <w:szCs w:val="22"/>
                <w:lang w:val="fr-FR"/>
              </w:rPr>
              <w:t xml:space="preserve"> les pays puissent évaluer si leurs prélèvements ont un</w:t>
            </w:r>
            <w:r w:rsidRPr="00183F00">
              <w:rPr>
                <w:sz w:val="22"/>
                <w:szCs w:val="22"/>
                <w:lang w:val="fr-FR"/>
              </w:rPr>
              <w:t xml:space="preserve"> impact </w:t>
            </w:r>
            <w:r w:rsidR="00723861" w:rsidRPr="00183F00">
              <w:rPr>
                <w:sz w:val="22"/>
                <w:szCs w:val="22"/>
                <w:lang w:val="fr-FR"/>
              </w:rPr>
              <w:t>défavorable sur l’état de</w:t>
            </w:r>
            <w:r w:rsidRPr="00183F00">
              <w:rPr>
                <w:sz w:val="22"/>
                <w:szCs w:val="22"/>
                <w:lang w:val="fr-FR"/>
              </w:rPr>
              <w:t xml:space="preserve"> conservation </w:t>
            </w:r>
            <w:r w:rsidR="00723861" w:rsidRPr="00183F00">
              <w:rPr>
                <w:sz w:val="22"/>
                <w:szCs w:val="22"/>
                <w:lang w:val="fr-FR"/>
              </w:rPr>
              <w:t>de la</w:t>
            </w:r>
            <w:r w:rsidRPr="00183F00">
              <w:rPr>
                <w:sz w:val="22"/>
                <w:szCs w:val="22"/>
                <w:lang w:val="fr-FR"/>
              </w:rPr>
              <w:t xml:space="preserve"> population concern</w:t>
            </w:r>
            <w:r w:rsidR="00723861" w:rsidRPr="00183F00">
              <w:rPr>
                <w:sz w:val="22"/>
                <w:szCs w:val="22"/>
                <w:lang w:val="fr-FR"/>
              </w:rPr>
              <w:t>é</w:t>
            </w:r>
            <w:r w:rsidRPr="00183F00">
              <w:rPr>
                <w:sz w:val="22"/>
                <w:szCs w:val="22"/>
                <w:lang w:val="fr-FR"/>
              </w:rPr>
              <w:t>e.</w:t>
            </w:r>
          </w:p>
          <w:p w:rsidR="00717B5E" w:rsidRPr="00183F00" w:rsidRDefault="00717B5E" w:rsidP="00717B5E">
            <w:pPr>
              <w:ind w:left="750"/>
              <w:jc w:val="both"/>
              <w:rPr>
                <w:sz w:val="22"/>
                <w:szCs w:val="22"/>
                <w:lang w:val="fr-FR"/>
              </w:rPr>
            </w:pPr>
          </w:p>
          <w:p w:rsidR="00286BE7" w:rsidRPr="00183F00" w:rsidRDefault="00262391" w:rsidP="008C01B7">
            <w:pPr>
              <w:numPr>
                <w:ilvl w:val="0"/>
                <w:numId w:val="7"/>
              </w:numPr>
              <w:jc w:val="both"/>
              <w:rPr>
                <w:sz w:val="22"/>
                <w:szCs w:val="22"/>
                <w:lang w:val="fr-FR"/>
              </w:rPr>
            </w:pPr>
            <w:r w:rsidRPr="00183F00">
              <w:rPr>
                <w:sz w:val="22"/>
                <w:szCs w:val="22"/>
                <w:lang w:val="fr-FR"/>
              </w:rPr>
              <w:t xml:space="preserve">Pour examiner les périodes au cours desquelles les populations </w:t>
            </w:r>
            <w:r w:rsidR="000F6B6E" w:rsidRPr="00183F00">
              <w:rPr>
                <w:sz w:val="22"/>
                <w:szCs w:val="22"/>
                <w:lang w:val="fr-FR"/>
              </w:rPr>
              <w:t xml:space="preserve">menacées </w:t>
            </w:r>
            <w:r w:rsidRPr="00183F00">
              <w:rPr>
                <w:sz w:val="22"/>
                <w:szCs w:val="22"/>
                <w:lang w:val="fr-FR"/>
              </w:rPr>
              <w:t xml:space="preserve">d’oiseaux chassables couvertes par l’Accord retournent vers leurs sites de reproduction et se reproduisent, le document AEWA/MOP Inf. </w:t>
            </w:r>
            <w:smartTag w:uri="urn:schemas-microsoft-com:office:smarttags" w:element="metricconverter">
              <w:smartTagPr>
                <w:attr w:name="ProductID" w:val="5.3 a"/>
              </w:smartTagPr>
              <w:r w:rsidRPr="00183F00">
                <w:rPr>
                  <w:sz w:val="22"/>
                  <w:szCs w:val="22"/>
                  <w:lang w:val="fr-FR"/>
                </w:rPr>
                <w:t>5.3 a</w:t>
              </w:r>
            </w:smartTag>
            <w:r w:rsidRPr="00183F00">
              <w:rPr>
                <w:sz w:val="22"/>
                <w:szCs w:val="22"/>
                <w:lang w:val="fr-FR"/>
              </w:rPr>
              <w:t xml:space="preserve"> été é</w:t>
            </w:r>
            <w:r w:rsidR="000F6B6E" w:rsidRPr="00183F00">
              <w:rPr>
                <w:sz w:val="22"/>
                <w:szCs w:val="22"/>
                <w:lang w:val="fr-FR"/>
              </w:rPr>
              <w:t>laboré</w:t>
            </w:r>
            <w:r w:rsidRPr="00183F00">
              <w:rPr>
                <w:sz w:val="22"/>
                <w:szCs w:val="22"/>
                <w:lang w:val="fr-FR"/>
              </w:rPr>
              <w:t>.</w:t>
            </w:r>
            <w:r w:rsidR="003D580F" w:rsidRPr="00183F00">
              <w:rPr>
                <w:sz w:val="22"/>
                <w:szCs w:val="22"/>
                <w:lang w:val="fr-FR"/>
              </w:rPr>
              <w:t xml:space="preserve"> </w:t>
            </w:r>
            <w:r w:rsidRPr="00183F00">
              <w:rPr>
                <w:sz w:val="22"/>
                <w:szCs w:val="22"/>
                <w:lang w:val="fr-FR"/>
              </w:rPr>
              <w:t xml:space="preserve">Ce document propose </w:t>
            </w:r>
            <w:r w:rsidRPr="00183F00">
              <w:rPr>
                <w:sz w:val="22"/>
                <w:szCs w:val="22"/>
                <w:lang w:val="fr-FR"/>
              </w:rPr>
              <w:lastRenderedPageBreak/>
              <w:t>une liste des directives de l’UE et donne la définition de la « période de reproduction ».</w:t>
            </w:r>
            <w:r w:rsidR="003D580F" w:rsidRPr="00183F00">
              <w:rPr>
                <w:sz w:val="22"/>
                <w:szCs w:val="22"/>
                <w:lang w:val="fr-FR"/>
              </w:rPr>
              <w:t xml:space="preserve"> </w:t>
            </w:r>
            <w:r w:rsidRPr="00183F00">
              <w:rPr>
                <w:sz w:val="22"/>
                <w:szCs w:val="22"/>
                <w:lang w:val="fr-FR"/>
              </w:rPr>
              <w:t>La période de migration prénuptiale</w:t>
            </w:r>
            <w:r w:rsidR="00734722" w:rsidRPr="00183F00">
              <w:rPr>
                <w:sz w:val="22"/>
                <w:szCs w:val="22"/>
                <w:lang w:val="fr-FR"/>
              </w:rPr>
              <w:t xml:space="preserve"> de chaque espèce ne peut pas être aisément évaluée car elle change en fonction de la latitude</w:t>
            </w:r>
            <w:r w:rsidRPr="00183F00">
              <w:rPr>
                <w:sz w:val="22"/>
                <w:szCs w:val="22"/>
                <w:lang w:val="fr-FR"/>
              </w:rPr>
              <w:t xml:space="preserve">, </w:t>
            </w:r>
            <w:r w:rsidR="00734722" w:rsidRPr="00183F00">
              <w:rPr>
                <w:sz w:val="22"/>
                <w:szCs w:val="22"/>
                <w:lang w:val="fr-FR"/>
              </w:rPr>
              <w:t>de l’é</w:t>
            </w:r>
            <w:r w:rsidRPr="00183F00">
              <w:rPr>
                <w:sz w:val="22"/>
                <w:szCs w:val="22"/>
                <w:lang w:val="fr-FR"/>
              </w:rPr>
              <w:t>l</w:t>
            </w:r>
            <w:r w:rsidR="00734722" w:rsidRPr="00183F00">
              <w:rPr>
                <w:sz w:val="22"/>
                <w:szCs w:val="22"/>
                <w:lang w:val="fr-FR"/>
              </w:rPr>
              <w:t>é</w:t>
            </w:r>
            <w:r w:rsidRPr="00183F00">
              <w:rPr>
                <w:sz w:val="22"/>
                <w:szCs w:val="22"/>
                <w:lang w:val="fr-FR"/>
              </w:rPr>
              <w:t xml:space="preserve">vation </w:t>
            </w:r>
            <w:r w:rsidR="00734722" w:rsidRPr="00183F00">
              <w:rPr>
                <w:sz w:val="22"/>
                <w:szCs w:val="22"/>
                <w:lang w:val="fr-FR"/>
              </w:rPr>
              <w:t>et autres facteurs, et est influencée par les variations géographique</w:t>
            </w:r>
            <w:r w:rsidR="00AE2F82" w:rsidRPr="00183F00">
              <w:rPr>
                <w:sz w:val="22"/>
                <w:szCs w:val="22"/>
                <w:lang w:val="fr-FR"/>
              </w:rPr>
              <w:t>s</w:t>
            </w:r>
            <w:r w:rsidR="00734722" w:rsidRPr="00183F00">
              <w:rPr>
                <w:sz w:val="22"/>
                <w:szCs w:val="22"/>
                <w:lang w:val="fr-FR"/>
              </w:rPr>
              <w:t xml:space="preserve"> et </w:t>
            </w:r>
            <w:r w:rsidR="00AE2F82" w:rsidRPr="00183F00">
              <w:rPr>
                <w:sz w:val="22"/>
                <w:szCs w:val="22"/>
                <w:lang w:val="fr-FR"/>
              </w:rPr>
              <w:t>annuelles</w:t>
            </w:r>
            <w:r w:rsidR="00734722" w:rsidRPr="00183F00">
              <w:rPr>
                <w:sz w:val="22"/>
                <w:szCs w:val="22"/>
                <w:lang w:val="fr-FR"/>
              </w:rPr>
              <w:t xml:space="preserve"> à l’intérieur du pays</w:t>
            </w:r>
            <w:r w:rsidRPr="00183F00">
              <w:rPr>
                <w:sz w:val="22"/>
                <w:szCs w:val="22"/>
                <w:lang w:val="fr-FR"/>
              </w:rPr>
              <w:t>.</w:t>
            </w:r>
            <w:r w:rsidR="003D580F" w:rsidRPr="00183F00">
              <w:rPr>
                <w:sz w:val="22"/>
                <w:szCs w:val="22"/>
                <w:lang w:val="fr-FR"/>
              </w:rPr>
              <w:t xml:space="preserve"> </w:t>
            </w:r>
            <w:r w:rsidR="00734722" w:rsidRPr="00183F00">
              <w:rPr>
                <w:sz w:val="22"/>
                <w:szCs w:val="22"/>
                <w:lang w:val="fr-FR"/>
              </w:rPr>
              <w:t xml:space="preserve">Pour aider les Parties à évaluer la période de la saison de reproduction, </w:t>
            </w:r>
            <w:r w:rsidR="00A2116E" w:rsidRPr="00183F00">
              <w:rPr>
                <w:sz w:val="22"/>
                <w:szCs w:val="22"/>
                <w:lang w:val="fr-FR"/>
              </w:rPr>
              <w:t>les définitions du début et de la fin des périodes de reproduction sont données pour chaque espèce</w:t>
            </w:r>
            <w:r w:rsidR="00734722" w:rsidRPr="00183F00">
              <w:rPr>
                <w:sz w:val="22"/>
                <w:szCs w:val="22"/>
                <w:lang w:val="fr-FR"/>
              </w:rPr>
              <w:t>.</w:t>
            </w:r>
            <w:r w:rsidR="003D580F" w:rsidRPr="00183F00">
              <w:rPr>
                <w:sz w:val="22"/>
                <w:szCs w:val="22"/>
                <w:lang w:val="fr-FR"/>
              </w:rPr>
              <w:t xml:space="preserve"> </w:t>
            </w:r>
            <w:r w:rsidR="00A2116E" w:rsidRPr="00183F00">
              <w:rPr>
                <w:sz w:val="22"/>
                <w:szCs w:val="22"/>
                <w:lang w:val="fr-FR"/>
              </w:rPr>
              <w:t>Ceci n’a été possible que pour les espèces européennes, tandis que pour tous les oiseaux d’eau, les sources d’information les plus précieuses</w:t>
            </w:r>
            <w:r w:rsidR="00E46508" w:rsidRPr="00183F00">
              <w:rPr>
                <w:sz w:val="22"/>
                <w:szCs w:val="22"/>
                <w:lang w:val="fr-FR"/>
              </w:rPr>
              <w:t xml:space="preserve">, utiles pour déterminer le début et la fin de la période de reproduction, et le </w:t>
            </w:r>
            <w:r w:rsidR="00AE2F82" w:rsidRPr="00183F00">
              <w:rPr>
                <w:sz w:val="22"/>
                <w:szCs w:val="22"/>
                <w:lang w:val="fr-FR"/>
              </w:rPr>
              <w:t>calendrier</w:t>
            </w:r>
            <w:r w:rsidR="00E46508" w:rsidRPr="00183F00">
              <w:rPr>
                <w:sz w:val="22"/>
                <w:szCs w:val="22"/>
                <w:lang w:val="fr-FR"/>
              </w:rPr>
              <w:t xml:space="preserve"> de la migration, ont </w:t>
            </w:r>
            <w:r w:rsidR="00CD6084" w:rsidRPr="00183F00">
              <w:rPr>
                <w:sz w:val="22"/>
                <w:szCs w:val="22"/>
                <w:lang w:val="fr-FR"/>
              </w:rPr>
              <w:t>é</w:t>
            </w:r>
            <w:r w:rsidR="00E46508" w:rsidRPr="00183F00">
              <w:rPr>
                <w:sz w:val="22"/>
                <w:szCs w:val="22"/>
                <w:lang w:val="fr-FR"/>
              </w:rPr>
              <w:t>té données</w:t>
            </w:r>
            <w:r w:rsidR="00A2116E" w:rsidRPr="00183F00">
              <w:rPr>
                <w:sz w:val="22"/>
                <w:szCs w:val="22"/>
                <w:lang w:val="fr-FR"/>
              </w:rPr>
              <w:t>.</w:t>
            </w:r>
          </w:p>
          <w:p w:rsidR="00717B5E" w:rsidRPr="00183F00" w:rsidRDefault="00717B5E" w:rsidP="00717B5E">
            <w:pPr>
              <w:jc w:val="both"/>
              <w:rPr>
                <w:sz w:val="22"/>
                <w:szCs w:val="22"/>
                <w:lang w:val="fr-FR"/>
              </w:rPr>
            </w:pPr>
          </w:p>
          <w:p w:rsidR="003C7510" w:rsidRPr="00183F00" w:rsidRDefault="00E46508" w:rsidP="008C01B7">
            <w:pPr>
              <w:numPr>
                <w:ilvl w:val="0"/>
                <w:numId w:val="7"/>
              </w:numPr>
              <w:jc w:val="both"/>
              <w:rPr>
                <w:sz w:val="22"/>
                <w:szCs w:val="22"/>
                <w:lang w:val="fr-FR"/>
              </w:rPr>
            </w:pPr>
            <w:r w:rsidRPr="00183F00">
              <w:rPr>
                <w:sz w:val="22"/>
                <w:szCs w:val="22"/>
                <w:lang w:val="fr-FR"/>
              </w:rPr>
              <w:t>Pour fournir des conseils sur les « </w:t>
            </w:r>
            <w:r w:rsidRPr="00183F00">
              <w:rPr>
                <w:i/>
                <w:sz w:val="22"/>
                <w:szCs w:val="22"/>
                <w:lang w:val="fr-FR"/>
              </w:rPr>
              <w:t>modes de prélèvement</w:t>
            </w:r>
            <w:r w:rsidRPr="00183F00">
              <w:rPr>
                <w:sz w:val="22"/>
                <w:szCs w:val="22"/>
                <w:lang w:val="fr-FR"/>
              </w:rPr>
              <w:t> », une liste des modes de prélèvement basée sur l’Annexe 4 de la Convention de Bern a été é</w:t>
            </w:r>
            <w:r w:rsidR="00850386" w:rsidRPr="00183F00">
              <w:rPr>
                <w:sz w:val="22"/>
                <w:szCs w:val="22"/>
                <w:lang w:val="fr-FR"/>
              </w:rPr>
              <w:t>labor</w:t>
            </w:r>
            <w:r w:rsidRPr="00183F00">
              <w:rPr>
                <w:sz w:val="22"/>
                <w:szCs w:val="22"/>
                <w:lang w:val="fr-FR"/>
              </w:rPr>
              <w:t xml:space="preserve">ée et proposée </w:t>
            </w:r>
            <w:r w:rsidR="00850386" w:rsidRPr="00183F00">
              <w:rPr>
                <w:sz w:val="22"/>
                <w:szCs w:val="22"/>
                <w:lang w:val="fr-FR"/>
              </w:rPr>
              <w:t>afin d’être ajoutée</w:t>
            </w:r>
            <w:r w:rsidRPr="00183F00">
              <w:rPr>
                <w:sz w:val="22"/>
                <w:szCs w:val="22"/>
                <w:lang w:val="fr-FR"/>
              </w:rPr>
              <w:t xml:space="preserve"> au paragraphe 2.1.3.b du PA.</w:t>
            </w:r>
            <w:r w:rsidR="003C7510" w:rsidRPr="00183F00">
              <w:rPr>
                <w:sz w:val="22"/>
                <w:szCs w:val="22"/>
                <w:lang w:val="fr-FR"/>
              </w:rPr>
              <w:t xml:space="preserve"> </w:t>
            </w:r>
            <w:r w:rsidRPr="00183F00">
              <w:rPr>
                <w:sz w:val="22"/>
                <w:szCs w:val="22"/>
                <w:lang w:val="fr-FR"/>
              </w:rPr>
              <w:t xml:space="preserve">Toutefois, une phrase supplémentaire a été proposée, qui laisse de la place </w:t>
            </w:r>
            <w:r w:rsidR="00B82CE5" w:rsidRPr="00183F00">
              <w:rPr>
                <w:sz w:val="22"/>
                <w:szCs w:val="22"/>
                <w:lang w:val="fr-FR"/>
              </w:rPr>
              <w:t>pour les dérogations à des fins de subsistance</w:t>
            </w:r>
            <w:r w:rsidRPr="00183F00">
              <w:rPr>
                <w:sz w:val="22"/>
                <w:szCs w:val="22"/>
                <w:lang w:val="fr-FR"/>
              </w:rPr>
              <w:t xml:space="preserve">, </w:t>
            </w:r>
            <w:r w:rsidR="00B82CE5" w:rsidRPr="00183F00">
              <w:rPr>
                <w:sz w:val="22"/>
                <w:szCs w:val="22"/>
                <w:lang w:val="fr-FR"/>
              </w:rPr>
              <w:t>lorsque les prélèvements sont durables</w:t>
            </w:r>
            <w:r w:rsidRPr="00183F00">
              <w:rPr>
                <w:sz w:val="22"/>
                <w:szCs w:val="22"/>
                <w:lang w:val="fr-FR"/>
              </w:rPr>
              <w:t xml:space="preserve"> (</w:t>
            </w:r>
            <w:r w:rsidR="00B82CE5" w:rsidRPr="00183F00">
              <w:rPr>
                <w:sz w:val="22"/>
                <w:szCs w:val="22"/>
                <w:lang w:val="fr-FR"/>
              </w:rPr>
              <w:t>voir</w:t>
            </w:r>
            <w:r w:rsidRPr="00183F00">
              <w:rPr>
                <w:sz w:val="22"/>
                <w:szCs w:val="22"/>
                <w:lang w:val="fr-FR"/>
              </w:rPr>
              <w:t xml:space="preserve"> document AEWA/MOP 5.20).</w:t>
            </w:r>
          </w:p>
          <w:p w:rsidR="00717B5E" w:rsidRPr="00183F00" w:rsidRDefault="00717B5E" w:rsidP="00717B5E">
            <w:pPr>
              <w:jc w:val="both"/>
              <w:rPr>
                <w:sz w:val="22"/>
                <w:szCs w:val="22"/>
                <w:lang w:val="fr-FR"/>
              </w:rPr>
            </w:pPr>
          </w:p>
          <w:p w:rsidR="00984D57" w:rsidRPr="00183F00" w:rsidRDefault="00B82CE5" w:rsidP="008C01B7">
            <w:pPr>
              <w:numPr>
                <w:ilvl w:val="0"/>
                <w:numId w:val="7"/>
              </w:numPr>
              <w:jc w:val="both"/>
              <w:rPr>
                <w:sz w:val="22"/>
                <w:szCs w:val="22"/>
                <w:lang w:val="fr-FR"/>
              </w:rPr>
            </w:pPr>
            <w:r w:rsidRPr="00183F00">
              <w:rPr>
                <w:sz w:val="22"/>
                <w:szCs w:val="22"/>
                <w:lang w:val="fr-FR"/>
              </w:rPr>
              <w:t xml:space="preserve">Le paragraphe 2.1.2(c) de l’AP demande aux Parties d’établir des limites au prélèvement, </w:t>
            </w:r>
            <w:r w:rsidR="007C79F5" w:rsidRPr="00183F00">
              <w:rPr>
                <w:sz w:val="22"/>
                <w:szCs w:val="22"/>
                <w:lang w:val="fr-FR"/>
              </w:rPr>
              <w:t>« lorsque cela s’avère approprié »</w:t>
            </w:r>
            <w:r w:rsidRPr="00183F00">
              <w:rPr>
                <w:sz w:val="22"/>
                <w:szCs w:val="22"/>
                <w:lang w:val="fr-FR"/>
              </w:rPr>
              <w:t>.</w:t>
            </w:r>
            <w:r w:rsidR="003445A8" w:rsidRPr="00183F00">
              <w:rPr>
                <w:sz w:val="22"/>
                <w:szCs w:val="22"/>
                <w:lang w:val="fr-FR"/>
              </w:rPr>
              <w:t xml:space="preserve"> </w:t>
            </w:r>
            <w:r w:rsidR="00AE2F82" w:rsidRPr="00183F00">
              <w:rPr>
                <w:sz w:val="22"/>
                <w:szCs w:val="22"/>
                <w:lang w:val="fr-FR"/>
              </w:rPr>
              <w:t xml:space="preserve">Le </w:t>
            </w:r>
            <w:r w:rsidR="001348BF">
              <w:rPr>
                <w:sz w:val="22"/>
                <w:szCs w:val="22"/>
                <w:lang w:val="fr-FR"/>
              </w:rPr>
              <w:t>CT</w:t>
            </w:r>
            <w:r w:rsidR="00AE2F82" w:rsidRPr="00183F00">
              <w:rPr>
                <w:sz w:val="22"/>
                <w:szCs w:val="22"/>
                <w:lang w:val="fr-FR"/>
              </w:rPr>
              <w:t xml:space="preserve"> a abordé la question de la formulation de</w:t>
            </w:r>
            <w:r w:rsidR="007C79F5" w:rsidRPr="00183F00">
              <w:rPr>
                <w:sz w:val="22"/>
                <w:szCs w:val="22"/>
                <w:lang w:val="fr-FR"/>
              </w:rPr>
              <w:t xml:space="preserve"> « </w:t>
            </w:r>
            <w:r w:rsidR="007C79F5" w:rsidRPr="00183F00">
              <w:rPr>
                <w:i/>
                <w:sz w:val="22"/>
                <w:szCs w:val="22"/>
                <w:lang w:val="fr-FR"/>
              </w:rPr>
              <w:t>lorsque cela est approprié</w:t>
            </w:r>
            <w:r w:rsidR="007C79F5" w:rsidRPr="00183F00">
              <w:rPr>
                <w:sz w:val="22"/>
                <w:szCs w:val="22"/>
                <w:lang w:val="fr-FR"/>
              </w:rPr>
              <w:t> » afin de clarifier si des limites de prise doivent être établies et comment.</w:t>
            </w:r>
            <w:r w:rsidR="003445A8" w:rsidRPr="00183F00">
              <w:rPr>
                <w:sz w:val="22"/>
                <w:szCs w:val="22"/>
                <w:lang w:val="fr-FR"/>
              </w:rPr>
              <w:t xml:space="preserve"> </w:t>
            </w:r>
            <w:r w:rsidR="005B0569" w:rsidRPr="00183F00">
              <w:rPr>
                <w:sz w:val="22"/>
                <w:szCs w:val="22"/>
                <w:lang w:val="fr-FR"/>
              </w:rPr>
              <w:t>La question des</w:t>
            </w:r>
            <w:r w:rsidR="007C79F5" w:rsidRPr="00183F00">
              <w:rPr>
                <w:sz w:val="22"/>
                <w:szCs w:val="22"/>
                <w:lang w:val="fr-FR"/>
              </w:rPr>
              <w:t xml:space="preserve"> </w:t>
            </w:r>
            <w:r w:rsidR="005B0569" w:rsidRPr="00183F00">
              <w:rPr>
                <w:sz w:val="22"/>
                <w:szCs w:val="22"/>
                <w:lang w:val="fr-FR"/>
              </w:rPr>
              <w:t>« </w:t>
            </w:r>
            <w:r w:rsidR="007C79F5" w:rsidRPr="00183F00">
              <w:rPr>
                <w:i/>
                <w:sz w:val="22"/>
                <w:szCs w:val="22"/>
                <w:lang w:val="fr-FR"/>
              </w:rPr>
              <w:t>limit</w:t>
            </w:r>
            <w:r w:rsidR="005B0569" w:rsidRPr="00183F00">
              <w:rPr>
                <w:i/>
                <w:sz w:val="22"/>
                <w:szCs w:val="22"/>
                <w:lang w:val="fr-FR"/>
              </w:rPr>
              <w:t>e</w:t>
            </w:r>
            <w:r w:rsidR="007C79F5" w:rsidRPr="00183F00">
              <w:rPr>
                <w:i/>
                <w:sz w:val="22"/>
                <w:szCs w:val="22"/>
                <w:lang w:val="fr-FR"/>
              </w:rPr>
              <w:t xml:space="preserve">s </w:t>
            </w:r>
            <w:r w:rsidR="005B0569" w:rsidRPr="00183F00">
              <w:rPr>
                <w:i/>
                <w:sz w:val="22"/>
                <w:szCs w:val="22"/>
                <w:lang w:val="fr-FR"/>
              </w:rPr>
              <w:t>de prélèvement</w:t>
            </w:r>
            <w:r w:rsidR="005B0569" w:rsidRPr="00183F00">
              <w:rPr>
                <w:sz w:val="22"/>
                <w:szCs w:val="22"/>
                <w:lang w:val="fr-FR"/>
              </w:rPr>
              <w:t> »</w:t>
            </w:r>
            <w:r w:rsidR="007C79F5" w:rsidRPr="00183F00">
              <w:rPr>
                <w:sz w:val="22"/>
                <w:szCs w:val="22"/>
                <w:lang w:val="fr-FR"/>
              </w:rPr>
              <w:t xml:space="preserve"> </w:t>
            </w:r>
            <w:r w:rsidR="005B0569" w:rsidRPr="00183F00">
              <w:rPr>
                <w:sz w:val="22"/>
                <w:szCs w:val="22"/>
                <w:lang w:val="fr-FR"/>
              </w:rPr>
              <w:t>inclut des limites</w:t>
            </w:r>
            <w:r w:rsidR="007C79F5" w:rsidRPr="00183F00">
              <w:rPr>
                <w:sz w:val="22"/>
                <w:szCs w:val="22"/>
                <w:lang w:val="fr-FR"/>
              </w:rPr>
              <w:t xml:space="preserve"> tempor</w:t>
            </w:r>
            <w:r w:rsidR="005B0569" w:rsidRPr="00183F00">
              <w:rPr>
                <w:sz w:val="22"/>
                <w:szCs w:val="22"/>
                <w:lang w:val="fr-FR"/>
              </w:rPr>
              <w:t xml:space="preserve">elles, </w:t>
            </w:r>
            <w:r w:rsidR="00436D54" w:rsidRPr="00183F00">
              <w:rPr>
                <w:sz w:val="22"/>
                <w:szCs w:val="22"/>
                <w:lang w:val="fr-FR"/>
              </w:rPr>
              <w:t>spatiales</w:t>
            </w:r>
            <w:r w:rsidR="007C79F5" w:rsidRPr="00183F00">
              <w:rPr>
                <w:sz w:val="22"/>
                <w:szCs w:val="22"/>
                <w:lang w:val="fr-FR"/>
              </w:rPr>
              <w:t xml:space="preserve">, </w:t>
            </w:r>
            <w:r w:rsidR="005B0569" w:rsidRPr="00183F00">
              <w:rPr>
                <w:sz w:val="22"/>
                <w:szCs w:val="22"/>
                <w:lang w:val="fr-FR"/>
              </w:rPr>
              <w:t xml:space="preserve">pratiques </w:t>
            </w:r>
            <w:r w:rsidR="007C79F5" w:rsidRPr="00183F00">
              <w:rPr>
                <w:sz w:val="22"/>
                <w:szCs w:val="22"/>
                <w:lang w:val="fr-FR"/>
              </w:rPr>
              <w:t>(m</w:t>
            </w:r>
            <w:r w:rsidR="005B0569" w:rsidRPr="00183F00">
              <w:rPr>
                <w:sz w:val="22"/>
                <w:szCs w:val="22"/>
                <w:lang w:val="fr-FR"/>
              </w:rPr>
              <w:t>é</w:t>
            </w:r>
            <w:r w:rsidR="007C79F5" w:rsidRPr="00183F00">
              <w:rPr>
                <w:sz w:val="22"/>
                <w:szCs w:val="22"/>
                <w:lang w:val="fr-FR"/>
              </w:rPr>
              <w:t>thod</w:t>
            </w:r>
            <w:r w:rsidR="005B0569" w:rsidRPr="00183F00">
              <w:rPr>
                <w:sz w:val="22"/>
                <w:szCs w:val="22"/>
                <w:lang w:val="fr-FR"/>
              </w:rPr>
              <w:t>e</w:t>
            </w:r>
            <w:r w:rsidR="007C79F5" w:rsidRPr="00183F00">
              <w:rPr>
                <w:sz w:val="22"/>
                <w:szCs w:val="22"/>
                <w:lang w:val="fr-FR"/>
              </w:rPr>
              <w:t xml:space="preserve">s) </w:t>
            </w:r>
            <w:r w:rsidR="005B0569" w:rsidRPr="00183F00">
              <w:rPr>
                <w:sz w:val="22"/>
                <w:szCs w:val="22"/>
                <w:lang w:val="fr-FR"/>
              </w:rPr>
              <w:t>et</w:t>
            </w:r>
            <w:r w:rsidR="007C79F5" w:rsidRPr="00183F00">
              <w:rPr>
                <w:sz w:val="22"/>
                <w:szCs w:val="22"/>
                <w:lang w:val="fr-FR"/>
              </w:rPr>
              <w:t xml:space="preserve"> quantitative</w:t>
            </w:r>
            <w:r w:rsidR="005B0569" w:rsidRPr="00183F00">
              <w:rPr>
                <w:sz w:val="22"/>
                <w:szCs w:val="22"/>
                <w:lang w:val="fr-FR"/>
              </w:rPr>
              <w:t>s</w:t>
            </w:r>
            <w:r w:rsidR="007C79F5" w:rsidRPr="00183F00">
              <w:rPr>
                <w:sz w:val="22"/>
                <w:szCs w:val="22"/>
                <w:lang w:val="fr-FR"/>
              </w:rPr>
              <w:t>.</w:t>
            </w:r>
            <w:r w:rsidR="003445A8" w:rsidRPr="00183F00">
              <w:rPr>
                <w:sz w:val="22"/>
                <w:szCs w:val="22"/>
                <w:lang w:val="fr-FR"/>
              </w:rPr>
              <w:t xml:space="preserve"> </w:t>
            </w:r>
            <w:r w:rsidR="005B0569" w:rsidRPr="00183F00">
              <w:rPr>
                <w:sz w:val="22"/>
                <w:szCs w:val="22"/>
                <w:lang w:val="fr-FR"/>
              </w:rPr>
              <w:t>Les types de limites appliquées doivent l’être en relation avec les conditions locales et nationales, et les ressources disponibles.</w:t>
            </w:r>
            <w:r w:rsidR="003445A8" w:rsidRPr="00183F00">
              <w:rPr>
                <w:sz w:val="22"/>
                <w:szCs w:val="22"/>
                <w:lang w:val="fr-FR"/>
              </w:rPr>
              <w:t xml:space="preserve"> </w:t>
            </w:r>
            <w:r w:rsidR="00531134" w:rsidRPr="00183F00">
              <w:rPr>
                <w:sz w:val="22"/>
                <w:szCs w:val="22"/>
                <w:lang w:val="fr-FR"/>
              </w:rPr>
              <w:t xml:space="preserve">Par conséquent, il a été décidé de ne pas changer la formulation employée, mais d’ajouter </w:t>
            </w:r>
            <w:r w:rsidR="00850386" w:rsidRPr="00183F00">
              <w:rPr>
                <w:sz w:val="22"/>
                <w:szCs w:val="22"/>
                <w:lang w:val="fr-FR"/>
              </w:rPr>
              <w:t xml:space="preserve">aux lignes directrices sur le prélèvement durable, lorsqu’elles auront été réécrites, </w:t>
            </w:r>
            <w:r w:rsidR="00531134" w:rsidRPr="00183F00">
              <w:rPr>
                <w:sz w:val="22"/>
                <w:szCs w:val="22"/>
                <w:lang w:val="fr-FR"/>
              </w:rPr>
              <w:t>des conseils sur les termes et les possibilités des « </w:t>
            </w:r>
            <w:r w:rsidR="00531134" w:rsidRPr="00183F00">
              <w:rPr>
                <w:i/>
                <w:sz w:val="22"/>
                <w:szCs w:val="22"/>
                <w:lang w:val="fr-FR"/>
              </w:rPr>
              <w:t>limites de prélèvement</w:t>
            </w:r>
            <w:r w:rsidR="00531134" w:rsidRPr="00183F00">
              <w:rPr>
                <w:sz w:val="22"/>
                <w:szCs w:val="22"/>
                <w:lang w:val="fr-FR"/>
              </w:rPr>
              <w:t> ».</w:t>
            </w:r>
          </w:p>
          <w:p w:rsidR="00717B5E" w:rsidRPr="00183F00" w:rsidRDefault="00717B5E" w:rsidP="00717B5E">
            <w:pPr>
              <w:jc w:val="both"/>
              <w:rPr>
                <w:sz w:val="22"/>
                <w:szCs w:val="22"/>
                <w:lang w:val="fr-FR"/>
              </w:rPr>
            </w:pPr>
          </w:p>
          <w:p w:rsidR="001E3CA6" w:rsidRPr="00183F00" w:rsidRDefault="00BE761A" w:rsidP="001E3CA6">
            <w:pPr>
              <w:numPr>
                <w:ilvl w:val="0"/>
                <w:numId w:val="7"/>
              </w:numPr>
              <w:jc w:val="both"/>
              <w:rPr>
                <w:sz w:val="22"/>
                <w:szCs w:val="22"/>
                <w:lang w:val="fr-FR"/>
              </w:rPr>
            </w:pPr>
            <w:r w:rsidRPr="00183F00">
              <w:rPr>
                <w:sz w:val="22"/>
                <w:szCs w:val="22"/>
                <w:lang w:val="fr-FR"/>
              </w:rPr>
              <w:t xml:space="preserve">Afin de mettre le texte paragraphe 2.5 du Plan d’action en conformité avec l’Article </w:t>
            </w:r>
            <w:r w:rsidRPr="00183F00">
              <w:rPr>
                <w:sz w:val="22"/>
                <w:szCs w:val="22"/>
                <w:lang w:val="fr-FR"/>
              </w:rPr>
              <w:lastRenderedPageBreak/>
              <w:t>III 2 (g) du texte de l’Accord, il a été proposé de supprimer la phrase « </w:t>
            </w:r>
            <w:r w:rsidRPr="00183F00">
              <w:rPr>
                <w:i/>
                <w:sz w:val="22"/>
                <w:szCs w:val="22"/>
                <w:lang w:val="fr-FR"/>
              </w:rPr>
              <w:t>si elles le jugent nécessaire</w:t>
            </w:r>
            <w:r w:rsidRPr="00183F00">
              <w:rPr>
                <w:sz w:val="22"/>
                <w:szCs w:val="22"/>
                <w:lang w:val="fr-FR"/>
              </w:rPr>
              <w:t> » des paragraphes 2.5.1 et 2.5.2.du Plan d’action (voir document AEWA/MOP 5.20).</w:t>
            </w:r>
          </w:p>
          <w:p w:rsidR="00717B5E" w:rsidRPr="00183F00" w:rsidRDefault="00717B5E" w:rsidP="00717B5E">
            <w:pPr>
              <w:jc w:val="both"/>
              <w:rPr>
                <w:sz w:val="22"/>
                <w:szCs w:val="22"/>
                <w:lang w:val="fr-FR"/>
              </w:rPr>
            </w:pPr>
          </w:p>
          <w:p w:rsidR="00F55A94" w:rsidRPr="00183F00" w:rsidRDefault="00E40496" w:rsidP="00717B5E">
            <w:pPr>
              <w:numPr>
                <w:ilvl w:val="0"/>
                <w:numId w:val="7"/>
              </w:numPr>
              <w:jc w:val="both"/>
              <w:rPr>
                <w:color w:val="FF0000"/>
                <w:sz w:val="22"/>
                <w:szCs w:val="22"/>
                <w:lang w:val="fr-FR"/>
              </w:rPr>
            </w:pPr>
            <w:r w:rsidRPr="00183F00">
              <w:rPr>
                <w:sz w:val="22"/>
                <w:szCs w:val="22"/>
                <w:lang w:val="fr-FR"/>
              </w:rPr>
              <w:t xml:space="preserve">Le </w:t>
            </w:r>
            <w:r w:rsidR="001348BF">
              <w:rPr>
                <w:sz w:val="22"/>
                <w:szCs w:val="22"/>
                <w:lang w:val="fr-FR"/>
              </w:rPr>
              <w:t>CT</w:t>
            </w:r>
            <w:r w:rsidRPr="00183F00">
              <w:rPr>
                <w:sz w:val="22"/>
                <w:szCs w:val="22"/>
                <w:lang w:val="fr-FR"/>
              </w:rPr>
              <w:t xml:space="preserve"> a </w:t>
            </w:r>
            <w:r w:rsidR="00197B98" w:rsidRPr="00183F00">
              <w:rPr>
                <w:sz w:val="22"/>
                <w:szCs w:val="22"/>
                <w:lang w:val="fr-FR"/>
              </w:rPr>
              <w:t>examiné l</w:t>
            </w:r>
            <w:r w:rsidRPr="00183F00">
              <w:rPr>
                <w:sz w:val="22"/>
                <w:szCs w:val="22"/>
                <w:lang w:val="fr-FR"/>
              </w:rPr>
              <w:t>es implications d</w:t>
            </w:r>
            <w:r w:rsidR="00F96D47" w:rsidRPr="00183F00">
              <w:rPr>
                <w:sz w:val="22"/>
                <w:szCs w:val="22"/>
                <w:lang w:val="fr-FR"/>
              </w:rPr>
              <w:t>écoulant d</w:t>
            </w:r>
            <w:r w:rsidRPr="00183F00">
              <w:rPr>
                <w:sz w:val="22"/>
                <w:szCs w:val="22"/>
                <w:lang w:val="fr-FR"/>
              </w:rPr>
              <w:t xml:space="preserve">e </w:t>
            </w:r>
            <w:r w:rsidR="00E24624" w:rsidRPr="00183F00">
              <w:rPr>
                <w:sz w:val="22"/>
                <w:szCs w:val="22"/>
                <w:lang w:val="fr-FR"/>
              </w:rPr>
              <w:t>l’</w:t>
            </w:r>
            <w:r w:rsidRPr="00183F00">
              <w:rPr>
                <w:sz w:val="22"/>
                <w:szCs w:val="22"/>
                <w:lang w:val="fr-FR"/>
              </w:rPr>
              <w:t>égalisation des colonnes B et C du tableau de l’AEWA</w:t>
            </w:r>
            <w:r w:rsidR="00E24624" w:rsidRPr="00183F00">
              <w:rPr>
                <w:sz w:val="22"/>
                <w:szCs w:val="22"/>
                <w:lang w:val="fr-FR"/>
              </w:rPr>
              <w:t>,</w:t>
            </w:r>
            <w:r w:rsidRPr="00183F00">
              <w:rPr>
                <w:sz w:val="22"/>
                <w:szCs w:val="22"/>
                <w:lang w:val="fr-FR"/>
              </w:rPr>
              <w:t xml:space="preserve"> et </w:t>
            </w:r>
            <w:r w:rsidR="00E24624" w:rsidRPr="00183F00">
              <w:rPr>
                <w:sz w:val="22"/>
                <w:szCs w:val="22"/>
                <w:lang w:val="fr-FR"/>
              </w:rPr>
              <w:t>a</w:t>
            </w:r>
            <w:r w:rsidRPr="00183F00">
              <w:rPr>
                <w:sz w:val="22"/>
                <w:szCs w:val="22"/>
                <w:lang w:val="fr-FR"/>
              </w:rPr>
              <w:t xml:space="preserve"> décidé qu’il n’y avait pas besoin d’exigences de chasse spécifiques pour les populations de </w:t>
            </w:r>
            <w:smartTag w:uri="urn:schemas-microsoft-com:office:smarttags" w:element="PersonName">
              <w:smartTagPr>
                <w:attr w:name="ProductID" w:val="la colonne C"/>
              </w:smartTagPr>
              <w:r w:rsidRPr="00183F00">
                <w:rPr>
                  <w:sz w:val="22"/>
                  <w:szCs w:val="22"/>
                  <w:lang w:val="fr-FR"/>
                </w:rPr>
                <w:t>la colonne C</w:t>
              </w:r>
            </w:smartTag>
            <w:r w:rsidRPr="00183F00">
              <w:rPr>
                <w:sz w:val="22"/>
                <w:szCs w:val="22"/>
                <w:lang w:val="fr-FR"/>
              </w:rPr>
              <w:t xml:space="preserve">, mais qu’il serait préférable de se conformer au système actuel du Plan d’action de l’AEWA, qui fournit des restrictions </w:t>
            </w:r>
            <w:r w:rsidR="00523B15" w:rsidRPr="00183F00">
              <w:rPr>
                <w:sz w:val="22"/>
                <w:szCs w:val="22"/>
                <w:lang w:val="fr-FR"/>
              </w:rPr>
              <w:t xml:space="preserve">spécifiques pour les </w:t>
            </w:r>
            <w:r w:rsidRPr="00183F00">
              <w:rPr>
                <w:sz w:val="22"/>
                <w:szCs w:val="22"/>
                <w:lang w:val="fr-FR"/>
              </w:rPr>
              <w:t>populations</w:t>
            </w:r>
            <w:r w:rsidR="00523B15" w:rsidRPr="00183F00">
              <w:rPr>
                <w:sz w:val="22"/>
                <w:szCs w:val="22"/>
                <w:lang w:val="fr-FR"/>
              </w:rPr>
              <w:t xml:space="preserve"> de </w:t>
            </w:r>
            <w:smartTag w:uri="urn:schemas-microsoft-com:office:smarttags" w:element="PersonName">
              <w:smartTagPr>
                <w:attr w:name="ProductID" w:val="la colonne A"/>
              </w:smartTagPr>
              <w:r w:rsidR="00523B15" w:rsidRPr="00183F00">
                <w:rPr>
                  <w:sz w:val="22"/>
                  <w:szCs w:val="22"/>
                  <w:lang w:val="fr-FR"/>
                </w:rPr>
                <w:t>la colonne A</w:t>
              </w:r>
            </w:smartTag>
            <w:r w:rsidR="00523B15" w:rsidRPr="00183F00">
              <w:rPr>
                <w:sz w:val="22"/>
                <w:szCs w:val="22"/>
                <w:lang w:val="fr-FR"/>
              </w:rPr>
              <w:t xml:space="preserve"> et des exigences plus générales pour les populations des colonnes</w:t>
            </w:r>
            <w:r w:rsidRPr="00183F00">
              <w:rPr>
                <w:sz w:val="22"/>
                <w:szCs w:val="22"/>
                <w:lang w:val="fr-FR"/>
              </w:rPr>
              <w:t xml:space="preserve"> B </w:t>
            </w:r>
            <w:r w:rsidR="00523B15" w:rsidRPr="00183F00">
              <w:rPr>
                <w:sz w:val="22"/>
                <w:szCs w:val="22"/>
                <w:lang w:val="fr-FR"/>
              </w:rPr>
              <w:t>et</w:t>
            </w:r>
            <w:r w:rsidRPr="00183F00">
              <w:rPr>
                <w:sz w:val="22"/>
                <w:szCs w:val="22"/>
                <w:lang w:val="fr-FR"/>
              </w:rPr>
              <w:t xml:space="preserve"> C</w:t>
            </w:r>
            <w:r w:rsidR="00523B15" w:rsidRPr="00183F00">
              <w:rPr>
                <w:sz w:val="22"/>
                <w:szCs w:val="22"/>
                <w:lang w:val="fr-FR"/>
              </w:rPr>
              <w:t>.</w:t>
            </w:r>
            <w:r w:rsidRPr="00183F00">
              <w:rPr>
                <w:sz w:val="22"/>
                <w:szCs w:val="22"/>
                <w:lang w:val="fr-FR"/>
              </w:rPr>
              <w:t xml:space="preserve"> </w:t>
            </w:r>
            <w:r w:rsidR="00523B15" w:rsidRPr="00183F00">
              <w:rPr>
                <w:sz w:val="22"/>
                <w:szCs w:val="22"/>
                <w:lang w:val="fr-FR"/>
              </w:rPr>
              <w:t>Dans le cas où le Plan d’action de l’AEWA serait mis à jour pour</w:t>
            </w:r>
            <w:r w:rsidRPr="00183F00">
              <w:rPr>
                <w:sz w:val="22"/>
                <w:szCs w:val="22"/>
                <w:lang w:val="fr-FR"/>
              </w:rPr>
              <w:t xml:space="preserve"> </w:t>
            </w:r>
            <w:r w:rsidR="00523B15" w:rsidRPr="00183F00">
              <w:rPr>
                <w:sz w:val="22"/>
                <w:szCs w:val="22"/>
                <w:lang w:val="fr-FR"/>
              </w:rPr>
              <w:t xml:space="preserve">exiger des actions concrètes pour la chasse et le commerce des populations de </w:t>
            </w:r>
            <w:smartTag w:uri="urn:schemas-microsoft-com:office:smarttags" w:element="PersonName">
              <w:smartTagPr>
                <w:attr w:name="ProductID" w:val="la colonne C"/>
              </w:smartTagPr>
              <w:r w:rsidR="00523B15" w:rsidRPr="00183F00">
                <w:rPr>
                  <w:sz w:val="22"/>
                  <w:szCs w:val="22"/>
                  <w:lang w:val="fr-FR"/>
                </w:rPr>
                <w:t>la colonne</w:t>
              </w:r>
              <w:r w:rsidRPr="00183F00">
                <w:rPr>
                  <w:sz w:val="22"/>
                  <w:szCs w:val="22"/>
                  <w:lang w:val="fr-FR"/>
                </w:rPr>
                <w:t xml:space="preserve"> C</w:t>
              </w:r>
            </w:smartTag>
            <w:r w:rsidRPr="00183F00">
              <w:rPr>
                <w:sz w:val="22"/>
                <w:szCs w:val="22"/>
                <w:lang w:val="fr-FR"/>
              </w:rPr>
              <w:t xml:space="preserve">, </w:t>
            </w:r>
            <w:r w:rsidR="00523B15" w:rsidRPr="00183F00">
              <w:rPr>
                <w:sz w:val="22"/>
                <w:szCs w:val="22"/>
                <w:lang w:val="fr-FR"/>
              </w:rPr>
              <w:t>au moins une partie des</w:t>
            </w:r>
            <w:r w:rsidRPr="00183F00">
              <w:rPr>
                <w:sz w:val="22"/>
                <w:szCs w:val="22"/>
                <w:lang w:val="fr-FR"/>
              </w:rPr>
              <w:t xml:space="preserve"> </w:t>
            </w:r>
            <w:r w:rsidR="00523B15" w:rsidRPr="00183F00">
              <w:rPr>
                <w:sz w:val="22"/>
                <w:szCs w:val="22"/>
                <w:lang w:val="fr-FR"/>
              </w:rPr>
              <w:t>Parties contractantes devraient réviser et probablement amender leur législation nationale</w:t>
            </w:r>
            <w:r w:rsidRPr="00183F00">
              <w:rPr>
                <w:sz w:val="22"/>
                <w:szCs w:val="22"/>
                <w:lang w:val="fr-FR"/>
              </w:rPr>
              <w:t>.</w:t>
            </w:r>
          </w:p>
          <w:p w:rsidR="00717B5E" w:rsidRPr="00183F00" w:rsidRDefault="002E7873" w:rsidP="00F55A94">
            <w:pPr>
              <w:jc w:val="both"/>
              <w:rPr>
                <w:color w:val="FF0000"/>
                <w:sz w:val="22"/>
                <w:szCs w:val="22"/>
                <w:lang w:val="fr-FR"/>
              </w:rPr>
            </w:pPr>
            <w:r w:rsidRPr="00183F00">
              <w:rPr>
                <w:sz w:val="22"/>
                <w:szCs w:val="22"/>
                <w:lang w:val="fr-FR"/>
              </w:rPr>
              <w:t xml:space="preserve"> </w:t>
            </w:r>
          </w:p>
          <w:p w:rsidR="003724A9" w:rsidRPr="00183F00" w:rsidRDefault="00523B15" w:rsidP="001E3CA6">
            <w:pPr>
              <w:numPr>
                <w:ilvl w:val="0"/>
                <w:numId w:val="7"/>
              </w:numPr>
              <w:jc w:val="both"/>
              <w:rPr>
                <w:sz w:val="22"/>
                <w:szCs w:val="22"/>
                <w:lang w:val="fr-FR"/>
              </w:rPr>
            </w:pPr>
            <w:r w:rsidRPr="00183F00">
              <w:rPr>
                <w:sz w:val="22"/>
                <w:szCs w:val="22"/>
                <w:lang w:val="fr-FR"/>
              </w:rPr>
              <w:t xml:space="preserve">La MOP4 a demandé des conseils sur </w:t>
            </w:r>
            <w:r w:rsidR="00EB0AF9" w:rsidRPr="00183F00">
              <w:rPr>
                <w:sz w:val="22"/>
                <w:szCs w:val="22"/>
                <w:lang w:val="fr-FR"/>
              </w:rPr>
              <w:t>comment mettre en œuvre le</w:t>
            </w:r>
            <w:r w:rsidRPr="00183F00">
              <w:rPr>
                <w:sz w:val="22"/>
                <w:szCs w:val="22"/>
                <w:lang w:val="fr-FR"/>
              </w:rPr>
              <w:t xml:space="preserve"> </w:t>
            </w:r>
            <w:r w:rsidR="00EB0AF9" w:rsidRPr="00183F00">
              <w:rPr>
                <w:sz w:val="22"/>
                <w:szCs w:val="22"/>
                <w:lang w:val="fr-FR"/>
              </w:rPr>
              <w:t>p</w:t>
            </w:r>
            <w:r w:rsidRPr="00183F00">
              <w:rPr>
                <w:sz w:val="22"/>
                <w:szCs w:val="22"/>
                <w:lang w:val="fr-FR"/>
              </w:rPr>
              <w:t>aragraph</w:t>
            </w:r>
            <w:r w:rsidR="00EB0AF9" w:rsidRPr="00183F00">
              <w:rPr>
                <w:sz w:val="22"/>
                <w:szCs w:val="22"/>
                <w:lang w:val="fr-FR"/>
              </w:rPr>
              <w:t>e</w:t>
            </w:r>
            <w:r w:rsidRPr="00183F00">
              <w:rPr>
                <w:sz w:val="22"/>
                <w:szCs w:val="22"/>
                <w:lang w:val="fr-FR"/>
              </w:rPr>
              <w:t xml:space="preserve"> 4.1.1 </w:t>
            </w:r>
            <w:r w:rsidR="00EB0AF9" w:rsidRPr="00183F00">
              <w:rPr>
                <w:sz w:val="22"/>
                <w:szCs w:val="22"/>
                <w:lang w:val="fr-FR"/>
              </w:rPr>
              <w:t>du Plan d’action, pour fournir aux</w:t>
            </w:r>
            <w:r w:rsidRPr="00183F00">
              <w:rPr>
                <w:sz w:val="22"/>
                <w:szCs w:val="22"/>
                <w:lang w:val="fr-FR"/>
              </w:rPr>
              <w:t xml:space="preserve"> Parties </w:t>
            </w:r>
            <w:r w:rsidR="00EB0AF9" w:rsidRPr="00183F00">
              <w:rPr>
                <w:sz w:val="22"/>
                <w:szCs w:val="22"/>
                <w:lang w:val="fr-FR"/>
              </w:rPr>
              <w:t>des exigences plus spécifiques sur le</w:t>
            </w:r>
            <w:r w:rsidRPr="00183F00">
              <w:rPr>
                <w:sz w:val="22"/>
                <w:szCs w:val="22"/>
                <w:lang w:val="fr-FR"/>
              </w:rPr>
              <w:t xml:space="preserve"> </w:t>
            </w:r>
            <w:r w:rsidR="00EB0AF9" w:rsidRPr="00183F00">
              <w:rPr>
                <w:sz w:val="22"/>
                <w:szCs w:val="22"/>
                <w:lang w:val="fr-FR"/>
              </w:rPr>
              <w:t>« </w:t>
            </w:r>
            <w:r w:rsidRPr="00183F00">
              <w:rPr>
                <w:sz w:val="22"/>
                <w:szCs w:val="22"/>
                <w:lang w:val="fr-FR"/>
              </w:rPr>
              <w:t xml:space="preserve">principe </w:t>
            </w:r>
            <w:r w:rsidR="00EB0AF9" w:rsidRPr="00183F00">
              <w:rPr>
                <w:sz w:val="22"/>
                <w:szCs w:val="22"/>
                <w:lang w:val="fr-FR"/>
              </w:rPr>
              <w:t>d’utilisation durable »</w:t>
            </w:r>
            <w:r w:rsidRPr="00183F00">
              <w:rPr>
                <w:sz w:val="22"/>
                <w:szCs w:val="22"/>
                <w:lang w:val="fr-FR"/>
              </w:rPr>
              <w:t>.</w:t>
            </w:r>
            <w:r w:rsidR="00671A83" w:rsidRPr="00183F00">
              <w:rPr>
                <w:sz w:val="22"/>
                <w:szCs w:val="22"/>
                <w:lang w:val="fr-FR"/>
              </w:rPr>
              <w:t xml:space="preserve"> </w:t>
            </w:r>
            <w:r w:rsidR="00EB0AF9" w:rsidRPr="00183F00">
              <w:rPr>
                <w:sz w:val="22"/>
                <w:szCs w:val="22"/>
                <w:lang w:val="fr-FR"/>
              </w:rPr>
              <w:t xml:space="preserve">Cette question est prise en main par </w:t>
            </w:r>
            <w:r w:rsidR="00F96D47" w:rsidRPr="00183F00">
              <w:rPr>
                <w:sz w:val="22"/>
                <w:szCs w:val="22"/>
                <w:lang w:val="fr-FR"/>
              </w:rPr>
              <w:t>l</w:t>
            </w:r>
            <w:r w:rsidR="00850C33" w:rsidRPr="00183F00">
              <w:rPr>
                <w:sz w:val="22"/>
                <w:szCs w:val="22"/>
                <w:lang w:val="fr-FR"/>
              </w:rPr>
              <w:t>es lignes directrices de l’</w:t>
            </w:r>
            <w:r w:rsidR="00EB0AF9" w:rsidRPr="00183F00">
              <w:rPr>
                <w:sz w:val="22"/>
                <w:szCs w:val="22"/>
                <w:lang w:val="fr-FR"/>
              </w:rPr>
              <w:t xml:space="preserve">AEWA </w:t>
            </w:r>
            <w:r w:rsidR="00850C33" w:rsidRPr="00183F00">
              <w:rPr>
                <w:sz w:val="22"/>
                <w:szCs w:val="22"/>
                <w:lang w:val="fr-FR"/>
              </w:rPr>
              <w:t>sur le prélèvement durable des oiseaux d’eau migrateurs</w:t>
            </w:r>
            <w:r w:rsidR="00EB0AF9" w:rsidRPr="00183F00">
              <w:rPr>
                <w:sz w:val="22"/>
                <w:szCs w:val="22"/>
                <w:lang w:val="fr-FR"/>
              </w:rPr>
              <w:t xml:space="preserve"> (N</w:t>
            </w:r>
            <w:r w:rsidR="00850C33" w:rsidRPr="00183F00">
              <w:rPr>
                <w:sz w:val="22"/>
                <w:szCs w:val="22"/>
                <w:vertAlign w:val="superscript"/>
                <w:lang w:val="fr-FR"/>
              </w:rPr>
              <w:t>o</w:t>
            </w:r>
            <w:r w:rsidR="00850C33" w:rsidRPr="00183F00">
              <w:rPr>
                <w:sz w:val="22"/>
                <w:szCs w:val="22"/>
                <w:lang w:val="fr-FR"/>
              </w:rPr>
              <w:t xml:space="preserve"> </w:t>
            </w:r>
            <w:r w:rsidR="00EB0AF9" w:rsidRPr="00183F00">
              <w:rPr>
                <w:sz w:val="22"/>
                <w:szCs w:val="22"/>
                <w:lang w:val="fr-FR"/>
              </w:rPr>
              <w:t xml:space="preserve">5), </w:t>
            </w:r>
            <w:r w:rsidR="00850C33" w:rsidRPr="00183F00">
              <w:rPr>
                <w:sz w:val="22"/>
                <w:szCs w:val="22"/>
                <w:lang w:val="fr-FR"/>
              </w:rPr>
              <w:t>qui ont tout d’abord été développées en</w:t>
            </w:r>
            <w:r w:rsidR="00EB0AF9" w:rsidRPr="00183F00">
              <w:rPr>
                <w:sz w:val="22"/>
                <w:szCs w:val="22"/>
                <w:lang w:val="fr-FR"/>
              </w:rPr>
              <w:t xml:space="preserve"> 2002 </w:t>
            </w:r>
            <w:r w:rsidR="00850C33" w:rsidRPr="00183F00">
              <w:rPr>
                <w:sz w:val="22"/>
                <w:szCs w:val="22"/>
                <w:lang w:val="fr-FR"/>
              </w:rPr>
              <w:t>puis mises à jour en</w:t>
            </w:r>
            <w:r w:rsidR="00EB0AF9" w:rsidRPr="00183F00">
              <w:rPr>
                <w:sz w:val="22"/>
                <w:szCs w:val="22"/>
                <w:lang w:val="fr-FR"/>
              </w:rPr>
              <w:t xml:space="preserve"> 2005. </w:t>
            </w:r>
            <w:r w:rsidR="00850C33" w:rsidRPr="00183F00">
              <w:rPr>
                <w:sz w:val="22"/>
                <w:szCs w:val="22"/>
                <w:lang w:val="fr-FR"/>
              </w:rPr>
              <w:t xml:space="preserve">Ce </w:t>
            </w:r>
            <w:r w:rsidR="00EB0AF9" w:rsidRPr="00183F00">
              <w:rPr>
                <w:sz w:val="22"/>
                <w:szCs w:val="22"/>
                <w:lang w:val="fr-FR"/>
              </w:rPr>
              <w:t xml:space="preserve">document </w:t>
            </w:r>
            <w:r w:rsidR="00850C33" w:rsidRPr="00183F00">
              <w:rPr>
                <w:sz w:val="22"/>
                <w:szCs w:val="22"/>
                <w:lang w:val="fr-FR"/>
              </w:rPr>
              <w:t>ne prend pas en considération le Principe</w:t>
            </w:r>
            <w:r w:rsidR="00EB0AF9" w:rsidRPr="00183F00">
              <w:rPr>
                <w:sz w:val="22"/>
                <w:szCs w:val="22"/>
                <w:lang w:val="fr-FR"/>
              </w:rPr>
              <w:t xml:space="preserve"> </w:t>
            </w:r>
            <w:r w:rsidR="00850C33" w:rsidRPr="00183F00">
              <w:rPr>
                <w:sz w:val="22"/>
                <w:szCs w:val="22"/>
                <w:lang w:val="fr-FR"/>
              </w:rPr>
              <w:t>d’</w:t>
            </w:r>
            <w:r w:rsidR="00EB0AF9" w:rsidRPr="00183F00">
              <w:rPr>
                <w:sz w:val="22"/>
                <w:szCs w:val="22"/>
                <w:lang w:val="fr-FR"/>
              </w:rPr>
              <w:t>Addis Ab</w:t>
            </w:r>
            <w:r w:rsidR="00C508A4" w:rsidRPr="00183F00">
              <w:rPr>
                <w:sz w:val="22"/>
                <w:szCs w:val="22"/>
                <w:lang w:val="fr-FR"/>
              </w:rPr>
              <w:t>e</w:t>
            </w:r>
            <w:r w:rsidR="00EB0AF9" w:rsidRPr="00183F00">
              <w:rPr>
                <w:sz w:val="22"/>
                <w:szCs w:val="22"/>
                <w:lang w:val="fr-FR"/>
              </w:rPr>
              <w:t>ba</w:t>
            </w:r>
            <w:r w:rsidR="00F96D47" w:rsidRPr="00183F00">
              <w:rPr>
                <w:sz w:val="22"/>
                <w:szCs w:val="22"/>
                <w:lang w:val="fr-FR"/>
              </w:rPr>
              <w:t>,</w:t>
            </w:r>
            <w:r w:rsidR="00EB0AF9" w:rsidRPr="00183F00">
              <w:rPr>
                <w:sz w:val="22"/>
                <w:szCs w:val="22"/>
                <w:lang w:val="fr-FR"/>
              </w:rPr>
              <w:t xml:space="preserve"> </w:t>
            </w:r>
            <w:r w:rsidR="00C508A4" w:rsidRPr="00183F00">
              <w:rPr>
                <w:sz w:val="22"/>
                <w:szCs w:val="22"/>
                <w:lang w:val="fr-FR"/>
              </w:rPr>
              <w:t xml:space="preserve">ni les Lignes </w:t>
            </w:r>
            <w:r w:rsidR="00436D54" w:rsidRPr="00183F00">
              <w:rPr>
                <w:sz w:val="22"/>
                <w:szCs w:val="22"/>
                <w:lang w:val="fr-FR"/>
              </w:rPr>
              <w:t>directrices</w:t>
            </w:r>
            <w:r w:rsidR="00EB0AF9" w:rsidRPr="00183F00">
              <w:rPr>
                <w:sz w:val="22"/>
                <w:szCs w:val="22"/>
                <w:lang w:val="fr-FR"/>
              </w:rPr>
              <w:t xml:space="preserve"> </w:t>
            </w:r>
            <w:r w:rsidR="00C508A4" w:rsidRPr="00183F00">
              <w:rPr>
                <w:sz w:val="22"/>
                <w:szCs w:val="22"/>
                <w:lang w:val="fr-FR"/>
              </w:rPr>
              <w:t>sur l’utilisation durable de la biodiversité</w:t>
            </w:r>
            <w:r w:rsidR="00EB0AF9" w:rsidRPr="00183F00">
              <w:rPr>
                <w:sz w:val="22"/>
                <w:szCs w:val="22"/>
                <w:lang w:val="fr-FR"/>
              </w:rPr>
              <w:t xml:space="preserve"> (2004)</w:t>
            </w:r>
            <w:r w:rsidR="00C508A4" w:rsidRPr="00183F00">
              <w:rPr>
                <w:sz w:val="22"/>
                <w:szCs w:val="22"/>
                <w:lang w:val="fr-FR"/>
              </w:rPr>
              <w:t>, ni la Charte européenne</w:t>
            </w:r>
            <w:r w:rsidR="00EB0AF9" w:rsidRPr="00183F00">
              <w:rPr>
                <w:sz w:val="22"/>
                <w:szCs w:val="22"/>
                <w:lang w:val="fr-FR"/>
              </w:rPr>
              <w:t xml:space="preserve"> </w:t>
            </w:r>
            <w:r w:rsidR="00C508A4" w:rsidRPr="00183F00">
              <w:rPr>
                <w:sz w:val="22"/>
                <w:szCs w:val="22"/>
                <w:lang w:val="fr-FR"/>
              </w:rPr>
              <w:t>sur la chasse et la biodiversité</w:t>
            </w:r>
            <w:r w:rsidR="00EB0AF9" w:rsidRPr="00183F00">
              <w:rPr>
                <w:sz w:val="22"/>
                <w:szCs w:val="22"/>
                <w:lang w:val="fr-FR"/>
              </w:rPr>
              <w:t xml:space="preserve"> (2008), </w:t>
            </w:r>
            <w:r w:rsidR="00C508A4" w:rsidRPr="00183F00">
              <w:rPr>
                <w:sz w:val="22"/>
                <w:szCs w:val="22"/>
                <w:lang w:val="fr-FR"/>
              </w:rPr>
              <w:t>qui offre</w:t>
            </w:r>
            <w:r w:rsidR="00974791" w:rsidRPr="00183F00">
              <w:rPr>
                <w:sz w:val="22"/>
                <w:szCs w:val="22"/>
                <w:lang w:val="fr-FR"/>
              </w:rPr>
              <w:t>nt</w:t>
            </w:r>
            <w:r w:rsidR="00C508A4" w:rsidRPr="00183F00">
              <w:rPr>
                <w:sz w:val="22"/>
                <w:szCs w:val="22"/>
                <w:lang w:val="fr-FR"/>
              </w:rPr>
              <w:t xml:space="preserve"> des conseils plus détaillés</w:t>
            </w:r>
            <w:r w:rsidR="00EB0AF9" w:rsidRPr="00183F00">
              <w:rPr>
                <w:sz w:val="22"/>
                <w:szCs w:val="22"/>
                <w:lang w:val="fr-FR"/>
              </w:rPr>
              <w:t xml:space="preserve"> </w:t>
            </w:r>
            <w:r w:rsidR="00C508A4" w:rsidRPr="00183F00">
              <w:rPr>
                <w:sz w:val="22"/>
                <w:szCs w:val="22"/>
                <w:lang w:val="fr-FR"/>
              </w:rPr>
              <w:t>tant pour les régulateurs que pour les</w:t>
            </w:r>
            <w:r w:rsidR="00EB0AF9" w:rsidRPr="00183F00">
              <w:rPr>
                <w:sz w:val="22"/>
                <w:szCs w:val="22"/>
                <w:lang w:val="fr-FR"/>
              </w:rPr>
              <w:t xml:space="preserve"> pr</w:t>
            </w:r>
            <w:r w:rsidR="001E7EBD" w:rsidRPr="00183F00">
              <w:rPr>
                <w:sz w:val="22"/>
                <w:szCs w:val="22"/>
                <w:lang w:val="fr-FR"/>
              </w:rPr>
              <w:t>ofessionnels</w:t>
            </w:r>
            <w:r w:rsidR="00EB0AF9" w:rsidRPr="00183F00">
              <w:rPr>
                <w:sz w:val="22"/>
                <w:szCs w:val="22"/>
                <w:lang w:val="fr-FR"/>
              </w:rPr>
              <w:t>.</w:t>
            </w:r>
            <w:r w:rsidR="006B069A" w:rsidRPr="00183F00">
              <w:rPr>
                <w:sz w:val="22"/>
                <w:szCs w:val="22"/>
                <w:lang w:val="fr-FR"/>
              </w:rPr>
              <w:t xml:space="preserve"> </w:t>
            </w:r>
            <w:r w:rsidR="00DD4ADA" w:rsidRPr="00183F00">
              <w:rPr>
                <w:sz w:val="22"/>
                <w:szCs w:val="22"/>
                <w:lang w:val="fr-FR"/>
              </w:rPr>
              <w:t xml:space="preserve">Le </w:t>
            </w:r>
            <w:r w:rsidR="001348BF">
              <w:rPr>
                <w:sz w:val="22"/>
                <w:szCs w:val="22"/>
                <w:lang w:val="fr-FR"/>
              </w:rPr>
              <w:t>CT</w:t>
            </w:r>
            <w:r w:rsidR="00DD4ADA" w:rsidRPr="00183F00">
              <w:rPr>
                <w:sz w:val="22"/>
                <w:szCs w:val="22"/>
                <w:lang w:val="fr-FR"/>
              </w:rPr>
              <w:t xml:space="preserve"> a proposé de réécrire entièrement les Lignes directrices sur le prélèvement durable des oiseaux d’eau migrateurs.</w:t>
            </w:r>
            <w:r w:rsidR="000270D5" w:rsidRPr="00183F00">
              <w:rPr>
                <w:sz w:val="22"/>
                <w:szCs w:val="22"/>
                <w:lang w:val="fr-FR"/>
              </w:rPr>
              <w:t xml:space="preserve"> </w:t>
            </w:r>
            <w:r w:rsidR="00DD4ADA" w:rsidRPr="00183F00">
              <w:rPr>
                <w:sz w:val="22"/>
                <w:szCs w:val="22"/>
                <w:lang w:val="fr-FR"/>
              </w:rPr>
              <w:t xml:space="preserve">Cette tâche a été ajoutée aux </w:t>
            </w:r>
            <w:smartTag w:uri="urn:schemas-microsoft-com:office:smarttags" w:element="stockticker">
              <w:r w:rsidR="00DD4ADA" w:rsidRPr="00183F00">
                <w:rPr>
                  <w:sz w:val="22"/>
                  <w:szCs w:val="22"/>
                  <w:lang w:val="fr-FR"/>
                </w:rPr>
                <w:t>IIT</w:t>
              </w:r>
            </w:smartTag>
            <w:r w:rsidR="00DD4ADA" w:rsidRPr="00183F00">
              <w:rPr>
                <w:sz w:val="22"/>
                <w:szCs w:val="22"/>
                <w:lang w:val="fr-FR"/>
              </w:rPr>
              <w:t xml:space="preserve"> pour la prochaine période triennale.</w:t>
            </w:r>
          </w:p>
          <w:p w:rsidR="00B50B65" w:rsidRPr="00183F00" w:rsidRDefault="00B50B65" w:rsidP="00CA73C7">
            <w:pPr>
              <w:jc w:val="both"/>
              <w:rPr>
                <w:iCs/>
                <w:color w:val="0000FF"/>
                <w:sz w:val="22"/>
                <w:szCs w:val="22"/>
                <w:lang w:val="fr-FR"/>
              </w:rPr>
            </w:pPr>
          </w:p>
        </w:tc>
      </w:tr>
      <w:tr w:rsidR="00B50B65" w:rsidRPr="00183F00">
        <w:tblPrEx>
          <w:tblCellMar>
            <w:top w:w="0" w:type="dxa"/>
            <w:bottom w:w="0" w:type="dxa"/>
          </w:tblCellMar>
        </w:tblPrEx>
        <w:tc>
          <w:tcPr>
            <w:tcW w:w="3369" w:type="dxa"/>
            <w:tcBorders>
              <w:top w:val="single" w:sz="4" w:space="0" w:color="auto"/>
              <w:bottom w:val="single" w:sz="4" w:space="0" w:color="auto"/>
            </w:tcBorders>
          </w:tcPr>
          <w:p w:rsidR="00B50B65" w:rsidRPr="00183F00" w:rsidRDefault="00B50B65" w:rsidP="00CA73C7">
            <w:pPr>
              <w:rPr>
                <w:color w:val="0000FF"/>
                <w:sz w:val="20"/>
                <w:lang w:val="fr-FR"/>
              </w:rPr>
            </w:pPr>
          </w:p>
          <w:p w:rsidR="00B50B65" w:rsidRPr="00183F00" w:rsidRDefault="00B50B65" w:rsidP="00CA73C7">
            <w:pPr>
              <w:rPr>
                <w:sz w:val="20"/>
                <w:lang w:val="fr-FR"/>
              </w:rPr>
            </w:pPr>
            <w:r w:rsidRPr="00183F00">
              <w:rPr>
                <w:b/>
                <w:bCs/>
                <w:sz w:val="20"/>
                <w:lang w:val="fr-FR"/>
              </w:rPr>
              <w:t xml:space="preserve">2. </w:t>
            </w:r>
            <w:r w:rsidR="00DD4ADA" w:rsidRPr="00183F00">
              <w:rPr>
                <w:b/>
                <w:sz w:val="20"/>
                <w:lang w:val="fr-FR"/>
              </w:rPr>
              <w:t>Rétablissement</w:t>
            </w:r>
            <w:r w:rsidR="00566D40" w:rsidRPr="00183F00">
              <w:rPr>
                <w:sz w:val="20"/>
                <w:lang w:val="fr-FR"/>
              </w:rPr>
              <w:t xml:space="preserve"> </w:t>
            </w:r>
          </w:p>
          <w:p w:rsidR="003F7F14" w:rsidRPr="00183F00" w:rsidRDefault="003F7F14" w:rsidP="00CA73C7">
            <w:pPr>
              <w:rPr>
                <w:sz w:val="20"/>
                <w:lang w:val="fr-FR"/>
              </w:rPr>
            </w:pPr>
          </w:p>
          <w:p w:rsidR="003F7F14" w:rsidRPr="00183F00" w:rsidRDefault="00DD4ADA" w:rsidP="003F7F14">
            <w:pPr>
              <w:rPr>
                <w:sz w:val="20"/>
                <w:lang w:val="fr-FR"/>
              </w:rPr>
            </w:pPr>
            <w:r w:rsidRPr="00183F00">
              <w:rPr>
                <w:sz w:val="20"/>
                <w:lang w:val="fr-FR"/>
              </w:rPr>
              <w:t xml:space="preserve">a) </w:t>
            </w:r>
            <w:r w:rsidR="00671ED2" w:rsidRPr="00183F00">
              <w:rPr>
                <w:sz w:val="20"/>
                <w:lang w:val="fr-FR"/>
              </w:rPr>
              <w:t>élaborer</w:t>
            </w:r>
            <w:r w:rsidRPr="00183F00">
              <w:rPr>
                <w:sz w:val="20"/>
                <w:lang w:val="fr-FR"/>
              </w:rPr>
              <w:t xml:space="preserve"> des </w:t>
            </w:r>
            <w:r w:rsidR="00671ED2" w:rsidRPr="00183F00">
              <w:rPr>
                <w:sz w:val="20"/>
                <w:lang w:val="fr-FR"/>
              </w:rPr>
              <w:t>conseils</w:t>
            </w:r>
            <w:r w:rsidRPr="00183F00">
              <w:rPr>
                <w:sz w:val="20"/>
                <w:lang w:val="fr-FR"/>
              </w:rPr>
              <w:t xml:space="preserve"> supplémentaires pour le rétablissement </w:t>
            </w:r>
            <w:r w:rsidRPr="00183F00">
              <w:rPr>
                <w:sz w:val="20"/>
                <w:lang w:val="fr-FR"/>
              </w:rPr>
              <w:lastRenderedPageBreak/>
              <w:t xml:space="preserve">des oiseaux d’eau </w:t>
            </w:r>
            <w:r w:rsidR="00A95F0E" w:rsidRPr="00183F00">
              <w:rPr>
                <w:sz w:val="20"/>
                <w:lang w:val="fr-FR"/>
              </w:rPr>
              <w:t>en puisant dans les données</w:t>
            </w:r>
            <w:r w:rsidRPr="00183F00">
              <w:rPr>
                <w:sz w:val="20"/>
                <w:lang w:val="fr-FR"/>
              </w:rPr>
              <w:t xml:space="preserve"> </w:t>
            </w:r>
            <w:r w:rsidR="00A95F0E" w:rsidRPr="00183F00">
              <w:rPr>
                <w:sz w:val="20"/>
                <w:lang w:val="fr-FR"/>
              </w:rPr>
              <w:t>et les</w:t>
            </w:r>
            <w:r w:rsidRPr="00183F00">
              <w:rPr>
                <w:sz w:val="20"/>
                <w:lang w:val="fr-FR"/>
              </w:rPr>
              <w:t xml:space="preserve"> information</w:t>
            </w:r>
            <w:r w:rsidR="00A95F0E" w:rsidRPr="00183F00">
              <w:rPr>
                <w:sz w:val="20"/>
                <w:lang w:val="fr-FR"/>
              </w:rPr>
              <w:t>s</w:t>
            </w:r>
            <w:r w:rsidRPr="00183F00">
              <w:rPr>
                <w:sz w:val="20"/>
                <w:lang w:val="fr-FR"/>
              </w:rPr>
              <w:t xml:space="preserve"> compil</w:t>
            </w:r>
            <w:r w:rsidR="00A95F0E" w:rsidRPr="00183F00">
              <w:rPr>
                <w:sz w:val="20"/>
                <w:lang w:val="fr-FR"/>
              </w:rPr>
              <w:t>ées dans l’étude de l’AEWA</w:t>
            </w:r>
            <w:r w:rsidRPr="00183F00">
              <w:rPr>
                <w:sz w:val="20"/>
                <w:lang w:val="fr-FR"/>
              </w:rPr>
              <w:t xml:space="preserve">, </w:t>
            </w:r>
            <w:r w:rsidR="00A95F0E" w:rsidRPr="00183F00">
              <w:rPr>
                <w:sz w:val="20"/>
                <w:lang w:val="fr-FR"/>
              </w:rPr>
              <w:t xml:space="preserve">et, entre autres, en incluant de simples </w:t>
            </w:r>
            <w:r w:rsidRPr="00183F00">
              <w:rPr>
                <w:sz w:val="20"/>
                <w:lang w:val="fr-FR"/>
              </w:rPr>
              <w:t xml:space="preserve">check-lists </w:t>
            </w:r>
            <w:r w:rsidR="00A95F0E" w:rsidRPr="00183F00">
              <w:rPr>
                <w:sz w:val="20"/>
                <w:lang w:val="fr-FR"/>
              </w:rPr>
              <w:t>d’activités nécessaires pour guider les pr</w:t>
            </w:r>
            <w:r w:rsidR="001E7EBD" w:rsidRPr="00183F00">
              <w:rPr>
                <w:sz w:val="20"/>
                <w:lang w:val="fr-FR"/>
              </w:rPr>
              <w:t>ofessionnels</w:t>
            </w:r>
            <w:r w:rsidR="00A95F0E" w:rsidRPr="00183F00">
              <w:rPr>
                <w:sz w:val="20"/>
                <w:lang w:val="fr-FR"/>
              </w:rPr>
              <w:t xml:space="preserve"> de la conservation</w:t>
            </w:r>
            <w:r w:rsidRPr="00183F00">
              <w:rPr>
                <w:sz w:val="20"/>
                <w:lang w:val="fr-FR"/>
              </w:rPr>
              <w:t xml:space="preserve"> (R</w:t>
            </w:r>
            <w:r w:rsidR="00A95F0E" w:rsidRPr="00183F00">
              <w:rPr>
                <w:sz w:val="20"/>
                <w:lang w:val="fr-FR"/>
              </w:rPr>
              <w:t>é</w:t>
            </w:r>
            <w:r w:rsidRPr="00183F00">
              <w:rPr>
                <w:sz w:val="20"/>
                <w:lang w:val="fr-FR"/>
              </w:rPr>
              <w:t>solution 4.4)</w:t>
            </w:r>
          </w:p>
          <w:p w:rsidR="003F7F14" w:rsidRPr="00183F00" w:rsidRDefault="003F7F14" w:rsidP="003F7F14">
            <w:pPr>
              <w:rPr>
                <w:sz w:val="20"/>
                <w:lang w:val="fr-FR"/>
              </w:rPr>
            </w:pPr>
          </w:p>
          <w:p w:rsidR="003F7F14" w:rsidRPr="00183F00" w:rsidRDefault="001E7EBD" w:rsidP="003F7F14">
            <w:pPr>
              <w:rPr>
                <w:sz w:val="20"/>
                <w:lang w:val="fr-FR"/>
              </w:rPr>
            </w:pPr>
            <w:r w:rsidRPr="00183F00">
              <w:rPr>
                <w:sz w:val="20"/>
                <w:lang w:val="fr-FR"/>
              </w:rPr>
              <w:t xml:space="preserve">b) développer une structure de présentation des rapports, incluant un volet standard de critères d’évaluation, pour encourager les professionnels à fournir des informations détaillées </w:t>
            </w:r>
            <w:r w:rsidR="00F34EFA" w:rsidRPr="00183F00">
              <w:rPr>
                <w:sz w:val="20"/>
                <w:lang w:val="fr-FR"/>
              </w:rPr>
              <w:t>à chaque étape du projet</w:t>
            </w:r>
            <w:r w:rsidRPr="00183F00">
              <w:rPr>
                <w:sz w:val="20"/>
                <w:lang w:val="fr-FR"/>
              </w:rPr>
              <w:t xml:space="preserve">, </w:t>
            </w:r>
            <w:r w:rsidR="00F34EFA" w:rsidRPr="00183F00">
              <w:rPr>
                <w:sz w:val="20"/>
                <w:lang w:val="fr-FR"/>
              </w:rPr>
              <w:t>et rendre cette information largement accessible</w:t>
            </w:r>
            <w:r w:rsidRPr="00183F00">
              <w:rPr>
                <w:sz w:val="20"/>
                <w:lang w:val="fr-FR"/>
              </w:rPr>
              <w:t xml:space="preserve"> (R</w:t>
            </w:r>
            <w:r w:rsidR="00F34EFA" w:rsidRPr="00183F00">
              <w:rPr>
                <w:sz w:val="20"/>
                <w:lang w:val="fr-FR"/>
              </w:rPr>
              <w:t>é</w:t>
            </w:r>
            <w:r w:rsidRPr="00183F00">
              <w:rPr>
                <w:sz w:val="20"/>
                <w:lang w:val="fr-FR"/>
              </w:rPr>
              <w:t>solution 4.4)</w:t>
            </w:r>
          </w:p>
        </w:tc>
        <w:tc>
          <w:tcPr>
            <w:tcW w:w="1842" w:type="dxa"/>
            <w:tcBorders>
              <w:top w:val="single" w:sz="4" w:space="0" w:color="auto"/>
              <w:bottom w:val="single" w:sz="4" w:space="0" w:color="auto"/>
            </w:tcBorders>
            <w:shd w:val="clear" w:color="auto" w:fill="FFCC99"/>
          </w:tcPr>
          <w:p w:rsidR="00B50B65" w:rsidRPr="00183F00" w:rsidRDefault="00B50B65" w:rsidP="00CA73C7">
            <w:pPr>
              <w:rPr>
                <w:color w:val="0000FF"/>
                <w:sz w:val="22"/>
                <w:szCs w:val="22"/>
                <w:lang w:val="fr-FR"/>
              </w:rPr>
            </w:pPr>
          </w:p>
          <w:p w:rsidR="00B50B65" w:rsidRPr="00F301B8" w:rsidRDefault="00974791" w:rsidP="00CA73C7">
            <w:pPr>
              <w:rPr>
                <w:color w:val="0000FF"/>
                <w:sz w:val="22"/>
                <w:szCs w:val="22"/>
              </w:rPr>
            </w:pPr>
            <w:r w:rsidRPr="00F301B8">
              <w:rPr>
                <w:b/>
                <w:bCs/>
                <w:sz w:val="20"/>
              </w:rPr>
              <w:t>JCV, ON, ML, DS, JOS/NC, BH, PT/GNO, SD</w:t>
            </w:r>
            <w:r w:rsidR="00566D40" w:rsidRPr="00F301B8">
              <w:rPr>
                <w:color w:val="0000FF"/>
                <w:sz w:val="22"/>
                <w:szCs w:val="22"/>
              </w:rPr>
              <w:t xml:space="preserve"> </w:t>
            </w:r>
          </w:p>
          <w:p w:rsidR="00B50B65" w:rsidRPr="00F301B8" w:rsidRDefault="00B50B65" w:rsidP="00CA73C7">
            <w:pPr>
              <w:pStyle w:val="Textkrper3"/>
              <w:rPr>
                <w:color w:val="0000FF"/>
                <w:sz w:val="22"/>
                <w:szCs w:val="22"/>
              </w:rPr>
            </w:pPr>
          </w:p>
        </w:tc>
        <w:tc>
          <w:tcPr>
            <w:tcW w:w="8577" w:type="dxa"/>
            <w:tcBorders>
              <w:top w:val="single" w:sz="4" w:space="0" w:color="auto"/>
              <w:bottom w:val="single" w:sz="4" w:space="0" w:color="auto"/>
            </w:tcBorders>
          </w:tcPr>
          <w:p w:rsidR="00B50B65" w:rsidRPr="00F301B8" w:rsidRDefault="00B50B65" w:rsidP="00CA73C7">
            <w:pPr>
              <w:rPr>
                <w:color w:val="0000FF"/>
                <w:sz w:val="22"/>
                <w:szCs w:val="22"/>
              </w:rPr>
            </w:pPr>
          </w:p>
          <w:p w:rsidR="00B50B65" w:rsidRPr="00183F00" w:rsidRDefault="00974791" w:rsidP="00CA73C7">
            <w:pPr>
              <w:jc w:val="both"/>
              <w:rPr>
                <w:sz w:val="22"/>
                <w:szCs w:val="22"/>
                <w:lang w:val="fr-FR"/>
              </w:rPr>
            </w:pPr>
            <w:r w:rsidRPr="00183F00">
              <w:rPr>
                <w:sz w:val="22"/>
                <w:szCs w:val="22"/>
                <w:lang w:val="fr-FR"/>
              </w:rPr>
              <w:t>Le</w:t>
            </w:r>
            <w:r w:rsidR="00197B98" w:rsidRPr="00183F00">
              <w:rPr>
                <w:sz w:val="22"/>
                <w:szCs w:val="22"/>
                <w:lang w:val="fr-FR"/>
              </w:rPr>
              <w:t>s termes de référence</w:t>
            </w:r>
            <w:r w:rsidRPr="00183F00">
              <w:rPr>
                <w:sz w:val="22"/>
                <w:szCs w:val="22"/>
                <w:lang w:val="fr-FR"/>
              </w:rPr>
              <w:t xml:space="preserve"> </w:t>
            </w:r>
            <w:r w:rsidR="00197B98" w:rsidRPr="00183F00">
              <w:rPr>
                <w:sz w:val="22"/>
                <w:szCs w:val="22"/>
                <w:lang w:val="fr-FR"/>
              </w:rPr>
              <w:t>d’</w:t>
            </w:r>
            <w:r w:rsidRPr="00183F00">
              <w:rPr>
                <w:sz w:val="22"/>
                <w:szCs w:val="22"/>
                <w:lang w:val="fr-FR"/>
              </w:rPr>
              <w:t xml:space="preserve">un contrat de sous-traitance à un bureau externe de consultance a été préparé lors du </w:t>
            </w:r>
            <w:r w:rsidR="001348BF">
              <w:rPr>
                <w:sz w:val="22"/>
                <w:szCs w:val="22"/>
                <w:lang w:val="fr-FR"/>
              </w:rPr>
              <w:t>CT</w:t>
            </w:r>
            <w:r w:rsidRPr="00183F00">
              <w:rPr>
                <w:sz w:val="22"/>
                <w:szCs w:val="22"/>
                <w:lang w:val="fr-FR"/>
              </w:rPr>
              <w:t xml:space="preserve">9 (2009). </w:t>
            </w:r>
            <w:r w:rsidR="007B465F" w:rsidRPr="00183F00">
              <w:rPr>
                <w:sz w:val="22"/>
                <w:szCs w:val="22"/>
                <w:lang w:val="fr-FR"/>
              </w:rPr>
              <w:t>Les Lignes directrices de l’AEWA sur le transfert des oiseaux d’eau à des fins de conservation</w:t>
            </w:r>
            <w:r w:rsidRPr="00183F00">
              <w:rPr>
                <w:sz w:val="22"/>
                <w:szCs w:val="22"/>
                <w:lang w:val="fr-FR"/>
              </w:rPr>
              <w:t xml:space="preserve"> </w:t>
            </w:r>
            <w:r w:rsidR="007B465F" w:rsidRPr="00183F00">
              <w:rPr>
                <w:sz w:val="22"/>
                <w:szCs w:val="22"/>
                <w:lang w:val="fr-FR"/>
              </w:rPr>
              <w:t>ont été développées</w:t>
            </w:r>
            <w:r w:rsidRPr="00183F00">
              <w:rPr>
                <w:sz w:val="22"/>
                <w:szCs w:val="22"/>
                <w:lang w:val="fr-FR"/>
              </w:rPr>
              <w:t xml:space="preserve"> </w:t>
            </w:r>
            <w:r w:rsidR="007B465F" w:rsidRPr="00183F00">
              <w:rPr>
                <w:sz w:val="22"/>
                <w:szCs w:val="22"/>
                <w:lang w:val="fr-FR"/>
              </w:rPr>
              <w:t>par le</w:t>
            </w:r>
            <w:r w:rsidRPr="00183F00">
              <w:rPr>
                <w:sz w:val="22"/>
                <w:szCs w:val="22"/>
                <w:lang w:val="fr-FR"/>
              </w:rPr>
              <w:t xml:space="preserve"> Wildfowl and Wetlands Trust</w:t>
            </w:r>
            <w:r w:rsidR="007B465F" w:rsidRPr="00183F00">
              <w:rPr>
                <w:sz w:val="22"/>
                <w:szCs w:val="22"/>
                <w:lang w:val="fr-FR"/>
              </w:rPr>
              <w:t xml:space="preserve"> </w:t>
            </w:r>
            <w:r w:rsidR="007B465F" w:rsidRPr="00183F00">
              <w:rPr>
                <w:sz w:val="22"/>
                <w:szCs w:val="22"/>
                <w:lang w:val="fr-FR"/>
              </w:rPr>
              <w:lastRenderedPageBreak/>
              <w:t xml:space="preserve">début </w:t>
            </w:r>
            <w:r w:rsidRPr="00183F00">
              <w:rPr>
                <w:sz w:val="22"/>
                <w:szCs w:val="22"/>
                <w:lang w:val="fr-FR"/>
              </w:rPr>
              <w:t xml:space="preserve">2012, </w:t>
            </w:r>
            <w:r w:rsidR="007B465F" w:rsidRPr="00183F00">
              <w:rPr>
                <w:sz w:val="22"/>
                <w:szCs w:val="22"/>
                <w:lang w:val="fr-FR"/>
              </w:rPr>
              <w:t xml:space="preserve">et </w:t>
            </w:r>
            <w:r w:rsidR="00197B98" w:rsidRPr="00183F00">
              <w:rPr>
                <w:sz w:val="22"/>
                <w:szCs w:val="22"/>
                <w:lang w:val="fr-FR"/>
              </w:rPr>
              <w:t>examinées</w:t>
            </w:r>
            <w:r w:rsidR="007B465F" w:rsidRPr="00183F00">
              <w:rPr>
                <w:sz w:val="22"/>
                <w:szCs w:val="22"/>
                <w:lang w:val="fr-FR"/>
              </w:rPr>
              <w:t xml:space="preserve"> et approuvées par le </w:t>
            </w:r>
            <w:r w:rsidR="001348BF">
              <w:rPr>
                <w:sz w:val="22"/>
                <w:szCs w:val="22"/>
                <w:lang w:val="fr-FR"/>
              </w:rPr>
              <w:t>CT</w:t>
            </w:r>
            <w:r w:rsidR="007B465F" w:rsidRPr="00183F00">
              <w:rPr>
                <w:sz w:val="22"/>
                <w:szCs w:val="22"/>
                <w:lang w:val="fr-FR"/>
              </w:rPr>
              <w:t xml:space="preserve"> par correspondance</w:t>
            </w:r>
            <w:r w:rsidRPr="00183F00">
              <w:rPr>
                <w:sz w:val="22"/>
                <w:szCs w:val="22"/>
                <w:lang w:val="fr-FR"/>
              </w:rPr>
              <w:t>.</w:t>
            </w:r>
            <w:r w:rsidR="00F45C4B" w:rsidRPr="00183F00">
              <w:rPr>
                <w:sz w:val="22"/>
                <w:szCs w:val="22"/>
                <w:lang w:val="fr-FR"/>
              </w:rPr>
              <w:t xml:space="preserve"> </w:t>
            </w:r>
            <w:r w:rsidR="009900A0" w:rsidRPr="00183F00">
              <w:rPr>
                <w:sz w:val="22"/>
                <w:szCs w:val="22"/>
                <w:lang w:val="fr-FR"/>
              </w:rPr>
              <w:t xml:space="preserve">Les lignes directrices elles-mêmes fournissent un volet très détaillé et très utile d’orientations à chaque étape du processus, </w:t>
            </w:r>
            <w:r w:rsidR="00B20C25" w:rsidRPr="00183F00">
              <w:rPr>
                <w:sz w:val="22"/>
                <w:szCs w:val="22"/>
                <w:lang w:val="fr-FR"/>
              </w:rPr>
              <w:t xml:space="preserve">allant </w:t>
            </w:r>
            <w:r w:rsidR="009900A0" w:rsidRPr="00183F00">
              <w:rPr>
                <w:sz w:val="22"/>
                <w:szCs w:val="22"/>
                <w:lang w:val="fr-FR"/>
              </w:rPr>
              <w:t xml:space="preserve">de la planification avant le projet à l’étape de suivi de la délivrance du projet, et suggère une structure pour la présentation des rapports </w:t>
            </w:r>
            <w:r w:rsidR="00B20C25" w:rsidRPr="00183F00">
              <w:rPr>
                <w:sz w:val="22"/>
                <w:szCs w:val="22"/>
                <w:lang w:val="fr-FR"/>
              </w:rPr>
              <w:t xml:space="preserve">sur les projets de transfert </w:t>
            </w:r>
            <w:r w:rsidR="009900A0" w:rsidRPr="00183F00">
              <w:rPr>
                <w:sz w:val="22"/>
                <w:szCs w:val="22"/>
                <w:lang w:val="fr-FR"/>
              </w:rPr>
              <w:t>par les Parties au Secrétariat de l’AEWA.</w:t>
            </w:r>
            <w:r w:rsidR="00241BC2" w:rsidRPr="00183F00">
              <w:rPr>
                <w:sz w:val="22"/>
                <w:szCs w:val="22"/>
                <w:lang w:val="fr-FR"/>
              </w:rPr>
              <w:t xml:space="preserve"> </w:t>
            </w:r>
            <w:r w:rsidR="00B20C25" w:rsidRPr="00183F00">
              <w:rPr>
                <w:sz w:val="22"/>
                <w:szCs w:val="22"/>
                <w:lang w:val="fr-FR"/>
              </w:rPr>
              <w:t>Les lignes directrices sont présentées dans le document AEWA/MOP 5.36.</w:t>
            </w:r>
          </w:p>
          <w:p w:rsidR="00241BC2" w:rsidRPr="00183F00" w:rsidRDefault="00241BC2" w:rsidP="00CA73C7">
            <w:pPr>
              <w:jc w:val="both"/>
              <w:rPr>
                <w:sz w:val="22"/>
                <w:szCs w:val="22"/>
                <w:lang w:val="fr-FR"/>
              </w:rPr>
            </w:pPr>
          </w:p>
          <w:p w:rsidR="00241BC2" w:rsidRPr="00183F00" w:rsidRDefault="00241BC2" w:rsidP="00CA73C7">
            <w:pPr>
              <w:jc w:val="both"/>
              <w:rPr>
                <w:sz w:val="22"/>
                <w:szCs w:val="22"/>
                <w:lang w:val="fr-FR"/>
              </w:rPr>
            </w:pPr>
          </w:p>
          <w:p w:rsidR="00B50B65" w:rsidRPr="00183F00" w:rsidRDefault="00B50B65" w:rsidP="00CA73C7">
            <w:pPr>
              <w:ind w:right="-1768"/>
              <w:jc w:val="both"/>
              <w:rPr>
                <w:i/>
                <w:color w:val="0000FF"/>
                <w:sz w:val="22"/>
                <w:szCs w:val="22"/>
                <w:lang w:val="fr-FR"/>
              </w:rPr>
            </w:pPr>
          </w:p>
          <w:p w:rsidR="00B50B65" w:rsidRPr="00183F00" w:rsidRDefault="00B50B65" w:rsidP="00CA73C7">
            <w:pPr>
              <w:ind w:right="-1768"/>
              <w:jc w:val="both"/>
              <w:rPr>
                <w:color w:val="0000FF"/>
                <w:sz w:val="22"/>
                <w:szCs w:val="22"/>
                <w:lang w:val="fr-FR"/>
              </w:rPr>
            </w:pPr>
          </w:p>
        </w:tc>
      </w:tr>
      <w:tr w:rsidR="00B50B65" w:rsidRPr="00183F00">
        <w:tblPrEx>
          <w:tblCellMar>
            <w:top w:w="0" w:type="dxa"/>
            <w:bottom w:w="0" w:type="dxa"/>
          </w:tblCellMar>
        </w:tblPrEx>
        <w:tc>
          <w:tcPr>
            <w:tcW w:w="3369" w:type="dxa"/>
            <w:tcBorders>
              <w:top w:val="single" w:sz="4" w:space="0" w:color="auto"/>
              <w:bottom w:val="single" w:sz="4" w:space="0" w:color="auto"/>
            </w:tcBorders>
          </w:tcPr>
          <w:p w:rsidR="00B50B65" w:rsidRPr="00183F00" w:rsidRDefault="00B50B65" w:rsidP="00CA73C7">
            <w:pPr>
              <w:rPr>
                <w:color w:val="0000FF"/>
                <w:sz w:val="20"/>
                <w:lang w:val="fr-FR"/>
              </w:rPr>
            </w:pPr>
          </w:p>
          <w:p w:rsidR="00B50B65" w:rsidRPr="00183F00" w:rsidRDefault="00B50B65" w:rsidP="00CA73C7">
            <w:pPr>
              <w:rPr>
                <w:b/>
                <w:sz w:val="20"/>
                <w:szCs w:val="22"/>
                <w:lang w:val="fr-FR"/>
              </w:rPr>
            </w:pPr>
            <w:r w:rsidRPr="00183F00">
              <w:rPr>
                <w:b/>
                <w:bCs/>
                <w:sz w:val="20"/>
                <w:lang w:val="fr-FR"/>
              </w:rPr>
              <w:t xml:space="preserve">3. </w:t>
            </w:r>
            <w:r w:rsidR="00B61B2D" w:rsidRPr="00183F00">
              <w:rPr>
                <w:b/>
                <w:sz w:val="20"/>
                <w:lang w:val="fr-FR"/>
              </w:rPr>
              <w:t>Annexes 2 et 3</w:t>
            </w:r>
            <w:r w:rsidR="00B61B2D" w:rsidRPr="00183F00">
              <w:rPr>
                <w:b/>
                <w:sz w:val="20"/>
                <w:szCs w:val="22"/>
                <w:lang w:val="fr-FR"/>
              </w:rPr>
              <w:t xml:space="preserve"> de l’AEWA (Résolution 3.3)</w:t>
            </w:r>
          </w:p>
          <w:p w:rsidR="00B50B65" w:rsidRPr="00183F00" w:rsidRDefault="00B50B65" w:rsidP="00CA73C7">
            <w:pPr>
              <w:rPr>
                <w:color w:val="0000FF"/>
                <w:sz w:val="20"/>
                <w:lang w:val="fr-FR"/>
              </w:rPr>
            </w:pPr>
          </w:p>
          <w:p w:rsidR="003F7F14" w:rsidRPr="00183F00" w:rsidRDefault="00B61B2D" w:rsidP="003F7F14">
            <w:pPr>
              <w:rPr>
                <w:color w:val="000000"/>
                <w:sz w:val="20"/>
                <w:lang w:val="fr-FR"/>
              </w:rPr>
            </w:pPr>
            <w:r w:rsidRPr="00183F00">
              <w:rPr>
                <w:color w:val="000000"/>
                <w:sz w:val="20"/>
                <w:lang w:val="fr-FR"/>
              </w:rPr>
              <w:t xml:space="preserve">a) examiner les données </w:t>
            </w:r>
            <w:r w:rsidR="00436D54" w:rsidRPr="00183F00">
              <w:rPr>
                <w:color w:val="000000"/>
                <w:sz w:val="20"/>
                <w:lang w:val="fr-FR"/>
              </w:rPr>
              <w:t>ornithologiques</w:t>
            </w:r>
            <w:r w:rsidRPr="00183F00">
              <w:rPr>
                <w:color w:val="000000"/>
                <w:sz w:val="20"/>
                <w:lang w:val="fr-FR"/>
              </w:rPr>
              <w:t xml:space="preserve"> sur </w:t>
            </w:r>
            <w:r w:rsidR="006500E7" w:rsidRPr="00183F00">
              <w:rPr>
                <w:color w:val="000000"/>
                <w:sz w:val="20"/>
                <w:lang w:val="fr-FR"/>
              </w:rPr>
              <w:t>l</w:t>
            </w:r>
            <w:r w:rsidR="00CB48BF" w:rsidRPr="00183F00">
              <w:rPr>
                <w:color w:val="000000"/>
                <w:sz w:val="20"/>
                <w:lang w:val="fr-FR"/>
              </w:rPr>
              <w:t>a</w:t>
            </w:r>
            <w:r w:rsidR="006500E7" w:rsidRPr="00183F00">
              <w:rPr>
                <w:color w:val="000000"/>
                <w:sz w:val="20"/>
                <w:lang w:val="fr-FR"/>
              </w:rPr>
              <w:t xml:space="preserve"> Sterne naine</w:t>
            </w:r>
            <w:r w:rsidRPr="00183F00">
              <w:rPr>
                <w:color w:val="000000"/>
                <w:sz w:val="20"/>
                <w:lang w:val="fr-FR"/>
              </w:rPr>
              <w:t xml:space="preserve"> </w:t>
            </w:r>
            <w:r w:rsidRPr="00183F00">
              <w:rPr>
                <w:i/>
                <w:color w:val="000000"/>
                <w:sz w:val="20"/>
                <w:lang w:val="fr-FR"/>
              </w:rPr>
              <w:t>Sterna albifrons</w:t>
            </w:r>
            <w:r w:rsidRPr="00183F00">
              <w:rPr>
                <w:color w:val="000000"/>
                <w:sz w:val="20"/>
                <w:lang w:val="fr-FR"/>
              </w:rPr>
              <w:t xml:space="preserve"> </w:t>
            </w:r>
            <w:r w:rsidR="00955061" w:rsidRPr="00183F00">
              <w:rPr>
                <w:color w:val="000000"/>
                <w:sz w:val="20"/>
                <w:lang w:val="fr-FR"/>
              </w:rPr>
              <w:t>pour une meilleure délimitation des populations méditerranéennes, en tenant compte des informations importantes sur la population se reproduisant en Italie, et rédiger</w:t>
            </w:r>
            <w:r w:rsidRPr="00183F00">
              <w:rPr>
                <w:color w:val="000000"/>
                <w:sz w:val="20"/>
                <w:lang w:val="fr-FR"/>
              </w:rPr>
              <w:t xml:space="preserve"> </w:t>
            </w:r>
            <w:r w:rsidR="00955061" w:rsidRPr="00183F00">
              <w:rPr>
                <w:color w:val="000000"/>
                <w:sz w:val="20"/>
                <w:lang w:val="fr-FR"/>
              </w:rPr>
              <w:t xml:space="preserve">à partir de là une proposition d’amendement </w:t>
            </w:r>
            <w:r w:rsidR="00CB48BF" w:rsidRPr="00183F00">
              <w:rPr>
                <w:color w:val="000000"/>
                <w:sz w:val="20"/>
                <w:lang w:val="fr-FR"/>
              </w:rPr>
              <w:t>d</w:t>
            </w:r>
            <w:r w:rsidR="00955061" w:rsidRPr="00183F00">
              <w:rPr>
                <w:color w:val="000000"/>
                <w:sz w:val="20"/>
                <w:lang w:val="fr-FR"/>
              </w:rPr>
              <w:t>u</w:t>
            </w:r>
            <w:r w:rsidRPr="00183F00">
              <w:rPr>
                <w:color w:val="000000"/>
                <w:sz w:val="20"/>
                <w:lang w:val="fr-FR"/>
              </w:rPr>
              <w:t xml:space="preserve"> </w:t>
            </w:r>
            <w:r w:rsidR="00955061" w:rsidRPr="00183F00">
              <w:rPr>
                <w:color w:val="000000"/>
                <w:sz w:val="20"/>
                <w:lang w:val="fr-FR"/>
              </w:rPr>
              <w:t>t</w:t>
            </w:r>
            <w:r w:rsidRPr="00183F00">
              <w:rPr>
                <w:color w:val="000000"/>
                <w:sz w:val="20"/>
                <w:lang w:val="fr-FR"/>
              </w:rPr>
              <w:t>able</w:t>
            </w:r>
            <w:r w:rsidR="00955061" w:rsidRPr="00183F00">
              <w:rPr>
                <w:color w:val="000000"/>
                <w:sz w:val="20"/>
                <w:lang w:val="fr-FR"/>
              </w:rPr>
              <w:t>au</w:t>
            </w:r>
            <w:r w:rsidRPr="00183F00">
              <w:rPr>
                <w:color w:val="000000"/>
                <w:sz w:val="20"/>
                <w:lang w:val="fr-FR"/>
              </w:rPr>
              <w:t xml:space="preserve"> 1, </w:t>
            </w:r>
            <w:r w:rsidR="00197B98" w:rsidRPr="00183F00">
              <w:rPr>
                <w:color w:val="000000"/>
                <w:sz w:val="20"/>
                <w:lang w:val="fr-FR"/>
              </w:rPr>
              <w:t>le cas échéant</w:t>
            </w:r>
            <w:r w:rsidRPr="00183F00">
              <w:rPr>
                <w:color w:val="000000"/>
                <w:sz w:val="20"/>
                <w:lang w:val="fr-FR"/>
              </w:rPr>
              <w:t xml:space="preserve">, </w:t>
            </w:r>
            <w:r w:rsidR="00A513FC" w:rsidRPr="00183F00">
              <w:rPr>
                <w:color w:val="000000"/>
                <w:sz w:val="20"/>
                <w:lang w:val="fr-FR"/>
              </w:rPr>
              <w:t>à présenter à la</w:t>
            </w:r>
            <w:r w:rsidRPr="00183F00">
              <w:rPr>
                <w:color w:val="000000"/>
                <w:sz w:val="20"/>
                <w:lang w:val="fr-FR"/>
              </w:rPr>
              <w:t xml:space="preserve"> MOP5 (R</w:t>
            </w:r>
            <w:r w:rsidR="00A513FC" w:rsidRPr="00183F00">
              <w:rPr>
                <w:color w:val="000000"/>
                <w:sz w:val="20"/>
                <w:lang w:val="fr-FR"/>
              </w:rPr>
              <w:t>é</w:t>
            </w:r>
            <w:r w:rsidRPr="00183F00">
              <w:rPr>
                <w:color w:val="000000"/>
                <w:sz w:val="20"/>
                <w:lang w:val="fr-FR"/>
              </w:rPr>
              <w:t>solution 4.11)</w:t>
            </w:r>
          </w:p>
          <w:p w:rsidR="003F7F14" w:rsidRPr="00183F00" w:rsidRDefault="003F7F14" w:rsidP="003F7F14">
            <w:pPr>
              <w:rPr>
                <w:color w:val="000000"/>
                <w:sz w:val="20"/>
                <w:lang w:val="fr-FR"/>
              </w:rPr>
            </w:pPr>
          </w:p>
          <w:p w:rsidR="003F7F14" w:rsidRPr="00183F00" w:rsidRDefault="00A513FC" w:rsidP="003F7F14">
            <w:pPr>
              <w:rPr>
                <w:color w:val="000000"/>
                <w:sz w:val="20"/>
                <w:lang w:val="fr-FR"/>
              </w:rPr>
            </w:pPr>
            <w:r w:rsidRPr="00183F00">
              <w:rPr>
                <w:color w:val="000000"/>
                <w:sz w:val="20"/>
                <w:lang w:val="fr-FR"/>
              </w:rPr>
              <w:t xml:space="preserve">b) examiner les définitions des termes </w:t>
            </w:r>
            <w:r w:rsidRPr="00183F00">
              <w:rPr>
                <w:color w:val="000000"/>
                <w:sz w:val="20"/>
                <w:lang w:val="fr-FR"/>
              </w:rPr>
              <w:lastRenderedPageBreak/>
              <w:t xml:space="preserve">géographiques employés dans la description des aires de répartition des populations </w:t>
            </w:r>
            <w:r w:rsidR="00CB48BF" w:rsidRPr="00183F00">
              <w:rPr>
                <w:color w:val="000000"/>
                <w:sz w:val="20"/>
                <w:lang w:val="fr-FR"/>
              </w:rPr>
              <w:t>d</w:t>
            </w:r>
            <w:r w:rsidRPr="00183F00">
              <w:rPr>
                <w:color w:val="000000"/>
                <w:sz w:val="20"/>
                <w:lang w:val="fr-FR"/>
              </w:rPr>
              <w:t xml:space="preserve">u tableau 1 et rédiger à partir de là une proposition d’amendement </w:t>
            </w:r>
            <w:r w:rsidR="007B1C5A" w:rsidRPr="00183F00">
              <w:rPr>
                <w:color w:val="000000"/>
                <w:sz w:val="20"/>
                <w:lang w:val="fr-FR"/>
              </w:rPr>
              <w:t>d</w:t>
            </w:r>
            <w:r w:rsidRPr="00183F00">
              <w:rPr>
                <w:color w:val="000000"/>
                <w:sz w:val="20"/>
                <w:lang w:val="fr-FR"/>
              </w:rPr>
              <w:t xml:space="preserve">u tableau 1, </w:t>
            </w:r>
            <w:r w:rsidR="00197B98" w:rsidRPr="00183F00">
              <w:rPr>
                <w:color w:val="000000"/>
                <w:sz w:val="20"/>
                <w:lang w:val="fr-FR"/>
              </w:rPr>
              <w:t>le cas échéant</w:t>
            </w:r>
            <w:r w:rsidRPr="00183F00">
              <w:rPr>
                <w:color w:val="000000"/>
                <w:sz w:val="20"/>
                <w:lang w:val="fr-FR"/>
              </w:rPr>
              <w:t>, à présenter à la MOP5 (R</w:t>
            </w:r>
            <w:r w:rsidR="00CB48BF" w:rsidRPr="00183F00">
              <w:rPr>
                <w:color w:val="000000"/>
                <w:sz w:val="20"/>
                <w:lang w:val="fr-FR"/>
              </w:rPr>
              <w:t>é</w:t>
            </w:r>
            <w:r w:rsidRPr="00183F00">
              <w:rPr>
                <w:color w:val="000000"/>
                <w:sz w:val="20"/>
                <w:lang w:val="fr-FR"/>
              </w:rPr>
              <w:t>solution 4.11)</w:t>
            </w:r>
          </w:p>
          <w:p w:rsidR="003F7F14" w:rsidRPr="00183F00" w:rsidRDefault="003F7F14" w:rsidP="003F7F14">
            <w:pPr>
              <w:rPr>
                <w:color w:val="000000"/>
                <w:sz w:val="20"/>
                <w:lang w:val="fr-FR"/>
              </w:rPr>
            </w:pPr>
          </w:p>
          <w:p w:rsidR="003F7F14" w:rsidRPr="00183F00" w:rsidRDefault="00CB48BF" w:rsidP="003F7F14">
            <w:pPr>
              <w:rPr>
                <w:color w:val="000000"/>
                <w:sz w:val="20"/>
                <w:lang w:val="fr-FR"/>
              </w:rPr>
            </w:pPr>
            <w:r w:rsidRPr="00183F00">
              <w:rPr>
                <w:color w:val="000000"/>
                <w:sz w:val="20"/>
                <w:lang w:val="fr-FR"/>
              </w:rPr>
              <w:t xml:space="preserve">c) examiner, à titre de priorité, à la lumière du développement de la terminologie utilisée par la liste rouge de l’UICN, l’applicabilité du </w:t>
            </w:r>
            <w:r w:rsidR="007B1C5A" w:rsidRPr="00183F00">
              <w:rPr>
                <w:color w:val="000000"/>
                <w:sz w:val="20"/>
                <w:lang w:val="fr-FR"/>
              </w:rPr>
              <w:t>critère</w:t>
            </w:r>
            <w:r w:rsidRPr="00183F00">
              <w:rPr>
                <w:color w:val="000000"/>
                <w:sz w:val="20"/>
                <w:lang w:val="fr-FR"/>
              </w:rPr>
              <w:t xml:space="preserve"> « </w:t>
            </w:r>
            <w:r w:rsidR="007B1C5A" w:rsidRPr="00183F00">
              <w:rPr>
                <w:color w:val="000000"/>
                <w:sz w:val="20"/>
                <w:lang w:val="fr-FR"/>
              </w:rPr>
              <w:t>menacé</w:t>
            </w:r>
            <w:r w:rsidRPr="00183F00">
              <w:rPr>
                <w:color w:val="000000"/>
                <w:sz w:val="20"/>
                <w:lang w:val="fr-FR"/>
              </w:rPr>
              <w:t xml:space="preserve"> », </w:t>
            </w:r>
            <w:r w:rsidR="007B1C5A" w:rsidRPr="00183F00">
              <w:rPr>
                <w:color w:val="000000"/>
                <w:sz w:val="20"/>
                <w:lang w:val="fr-FR"/>
              </w:rPr>
              <w:t>notamment dans la catégorie « Quasi menacé » de l’UICN</w:t>
            </w:r>
            <w:r w:rsidRPr="00183F00">
              <w:rPr>
                <w:color w:val="000000"/>
                <w:sz w:val="20"/>
                <w:lang w:val="fr-FR"/>
              </w:rPr>
              <w:t xml:space="preserve">, </w:t>
            </w:r>
            <w:r w:rsidR="007B1C5A" w:rsidRPr="00183F00">
              <w:rPr>
                <w:color w:val="000000"/>
                <w:sz w:val="20"/>
                <w:lang w:val="fr-FR"/>
              </w:rPr>
              <w:t>à la liste de</w:t>
            </w:r>
            <w:r w:rsidRPr="00183F00">
              <w:rPr>
                <w:color w:val="000000"/>
                <w:sz w:val="20"/>
                <w:lang w:val="fr-FR"/>
              </w:rPr>
              <w:t xml:space="preserve"> populations </w:t>
            </w:r>
            <w:r w:rsidR="007B1C5A" w:rsidRPr="00183F00">
              <w:rPr>
                <w:color w:val="000000"/>
                <w:sz w:val="20"/>
                <w:lang w:val="fr-FR"/>
              </w:rPr>
              <w:t>du tableau</w:t>
            </w:r>
            <w:r w:rsidRPr="00183F00">
              <w:rPr>
                <w:color w:val="000000"/>
                <w:sz w:val="20"/>
                <w:lang w:val="fr-FR"/>
              </w:rPr>
              <w:t xml:space="preserve"> 1</w:t>
            </w:r>
            <w:r w:rsidR="007B1C5A" w:rsidRPr="00183F00">
              <w:rPr>
                <w:color w:val="000000"/>
                <w:sz w:val="20"/>
                <w:lang w:val="fr-FR"/>
              </w:rPr>
              <w:t>, et présenter des</w:t>
            </w:r>
            <w:r w:rsidRPr="00183F00">
              <w:rPr>
                <w:color w:val="000000"/>
                <w:sz w:val="20"/>
                <w:lang w:val="fr-FR"/>
              </w:rPr>
              <w:t xml:space="preserve"> options </w:t>
            </w:r>
            <w:r w:rsidR="007B1C5A" w:rsidRPr="00183F00">
              <w:rPr>
                <w:color w:val="000000"/>
                <w:sz w:val="20"/>
                <w:lang w:val="fr-FR"/>
              </w:rPr>
              <w:t>pour l’amendement</w:t>
            </w:r>
            <w:r w:rsidRPr="00183F00">
              <w:rPr>
                <w:color w:val="000000"/>
                <w:sz w:val="20"/>
                <w:lang w:val="fr-FR"/>
              </w:rPr>
              <w:t xml:space="preserve"> </w:t>
            </w:r>
            <w:r w:rsidR="007B1C5A" w:rsidRPr="00183F00">
              <w:rPr>
                <w:color w:val="000000"/>
                <w:sz w:val="20"/>
                <w:lang w:val="fr-FR"/>
              </w:rPr>
              <w:t>du</w:t>
            </w:r>
            <w:r w:rsidRPr="00183F00">
              <w:rPr>
                <w:color w:val="000000"/>
                <w:sz w:val="20"/>
                <w:lang w:val="fr-FR"/>
              </w:rPr>
              <w:t xml:space="preserve"> </w:t>
            </w:r>
            <w:r w:rsidR="007B1C5A" w:rsidRPr="00183F00">
              <w:rPr>
                <w:color w:val="000000"/>
                <w:sz w:val="20"/>
                <w:lang w:val="fr-FR"/>
              </w:rPr>
              <w:t>t</w:t>
            </w:r>
            <w:r w:rsidRPr="00183F00">
              <w:rPr>
                <w:color w:val="000000"/>
                <w:sz w:val="20"/>
                <w:lang w:val="fr-FR"/>
              </w:rPr>
              <w:t>able</w:t>
            </w:r>
            <w:r w:rsidR="007B1C5A" w:rsidRPr="00183F00">
              <w:rPr>
                <w:color w:val="000000"/>
                <w:sz w:val="20"/>
                <w:lang w:val="fr-FR"/>
              </w:rPr>
              <w:t>au</w:t>
            </w:r>
            <w:r w:rsidRPr="00183F00">
              <w:rPr>
                <w:color w:val="000000"/>
                <w:sz w:val="20"/>
                <w:lang w:val="fr-FR"/>
              </w:rPr>
              <w:t xml:space="preserve"> 1</w:t>
            </w:r>
            <w:r w:rsidR="007B1C5A" w:rsidRPr="00183F00">
              <w:rPr>
                <w:color w:val="000000"/>
                <w:sz w:val="20"/>
                <w:lang w:val="fr-FR"/>
              </w:rPr>
              <w:t>, à soumettre à la</w:t>
            </w:r>
            <w:r w:rsidRPr="00183F00">
              <w:rPr>
                <w:color w:val="000000"/>
                <w:sz w:val="20"/>
                <w:lang w:val="fr-FR"/>
              </w:rPr>
              <w:t xml:space="preserve"> MOP5 (R</w:t>
            </w:r>
            <w:r w:rsidR="007B1C5A" w:rsidRPr="00183F00">
              <w:rPr>
                <w:color w:val="000000"/>
                <w:sz w:val="20"/>
                <w:lang w:val="fr-FR"/>
              </w:rPr>
              <w:t>é</w:t>
            </w:r>
            <w:r w:rsidRPr="00183F00">
              <w:rPr>
                <w:color w:val="000000"/>
                <w:sz w:val="20"/>
                <w:lang w:val="fr-FR"/>
              </w:rPr>
              <w:t>solution 4.11)</w:t>
            </w:r>
          </w:p>
          <w:p w:rsidR="003F7F14" w:rsidRPr="00183F00" w:rsidRDefault="003F7F14" w:rsidP="003F7F14">
            <w:pPr>
              <w:rPr>
                <w:color w:val="000000"/>
                <w:sz w:val="20"/>
                <w:lang w:val="fr-FR"/>
              </w:rPr>
            </w:pPr>
          </w:p>
          <w:p w:rsidR="003F7F14" w:rsidRPr="00183F00" w:rsidRDefault="007B1C5A" w:rsidP="003F7F14">
            <w:pPr>
              <w:rPr>
                <w:color w:val="000000"/>
                <w:sz w:val="20"/>
                <w:lang w:val="fr-FR"/>
              </w:rPr>
            </w:pPr>
            <w:r w:rsidRPr="00183F00">
              <w:rPr>
                <w:color w:val="000000"/>
                <w:sz w:val="20"/>
                <w:lang w:val="fr-FR"/>
              </w:rPr>
              <w:t>d) examiner les classifications taxonomiques des oiseaux et suggérer la classification la plus appropriée</w:t>
            </w:r>
            <w:r w:rsidR="00A827D1" w:rsidRPr="00183F00">
              <w:rPr>
                <w:color w:val="000000"/>
                <w:sz w:val="20"/>
                <w:lang w:val="fr-FR"/>
              </w:rPr>
              <w:t xml:space="preserve"> aux besoins de l’Accord</w:t>
            </w:r>
            <w:r w:rsidRPr="00183F00">
              <w:rPr>
                <w:color w:val="000000"/>
                <w:sz w:val="20"/>
                <w:lang w:val="fr-FR"/>
              </w:rPr>
              <w:t xml:space="preserve">, </w:t>
            </w:r>
            <w:r w:rsidR="00A827D1" w:rsidRPr="00183F00">
              <w:rPr>
                <w:color w:val="000000"/>
                <w:sz w:val="20"/>
                <w:lang w:val="fr-FR"/>
              </w:rPr>
              <w:t>y compris l</w:t>
            </w:r>
            <w:r w:rsidR="00A20461" w:rsidRPr="00183F00">
              <w:rPr>
                <w:color w:val="000000"/>
                <w:sz w:val="20"/>
                <w:lang w:val="fr-FR"/>
              </w:rPr>
              <w:t xml:space="preserve">eur </w:t>
            </w:r>
            <w:r w:rsidRPr="00183F00">
              <w:rPr>
                <w:color w:val="000000"/>
                <w:sz w:val="20"/>
                <w:lang w:val="fr-FR"/>
              </w:rPr>
              <w:t xml:space="preserve">application </w:t>
            </w:r>
            <w:r w:rsidR="00A827D1" w:rsidRPr="00183F00">
              <w:rPr>
                <w:color w:val="000000"/>
                <w:sz w:val="20"/>
                <w:lang w:val="fr-FR"/>
              </w:rPr>
              <w:t>à l’</w:t>
            </w:r>
            <w:r w:rsidRPr="00183F00">
              <w:rPr>
                <w:color w:val="000000"/>
                <w:sz w:val="20"/>
                <w:lang w:val="fr-FR"/>
              </w:rPr>
              <w:t>Annex</w:t>
            </w:r>
            <w:r w:rsidR="00A827D1" w:rsidRPr="00183F00">
              <w:rPr>
                <w:color w:val="000000"/>
                <w:sz w:val="20"/>
                <w:lang w:val="fr-FR"/>
              </w:rPr>
              <w:t>e</w:t>
            </w:r>
            <w:r w:rsidRPr="00183F00">
              <w:rPr>
                <w:color w:val="000000"/>
                <w:sz w:val="20"/>
                <w:lang w:val="fr-FR"/>
              </w:rPr>
              <w:t xml:space="preserve"> 2, </w:t>
            </w:r>
            <w:r w:rsidR="00A827D1" w:rsidRPr="00183F00">
              <w:rPr>
                <w:color w:val="000000"/>
                <w:sz w:val="20"/>
                <w:lang w:val="fr-FR"/>
              </w:rPr>
              <w:t>et rédiger à partir de là des propositions d’amendement</w:t>
            </w:r>
            <w:r w:rsidRPr="00183F00">
              <w:rPr>
                <w:color w:val="000000"/>
                <w:sz w:val="20"/>
                <w:lang w:val="fr-FR"/>
              </w:rPr>
              <w:t xml:space="preserve"> </w:t>
            </w:r>
            <w:r w:rsidR="00A827D1" w:rsidRPr="00183F00">
              <w:rPr>
                <w:color w:val="000000"/>
                <w:sz w:val="20"/>
                <w:lang w:val="fr-FR"/>
              </w:rPr>
              <w:t>de l’</w:t>
            </w:r>
            <w:r w:rsidRPr="00183F00">
              <w:rPr>
                <w:color w:val="000000"/>
                <w:sz w:val="20"/>
                <w:lang w:val="fr-FR"/>
              </w:rPr>
              <w:t>Annex</w:t>
            </w:r>
            <w:r w:rsidR="00A827D1" w:rsidRPr="00183F00">
              <w:rPr>
                <w:color w:val="000000"/>
                <w:sz w:val="20"/>
                <w:lang w:val="fr-FR"/>
              </w:rPr>
              <w:t>e</w:t>
            </w:r>
            <w:r w:rsidRPr="00183F00">
              <w:rPr>
                <w:color w:val="000000"/>
                <w:sz w:val="20"/>
                <w:lang w:val="fr-FR"/>
              </w:rPr>
              <w:t xml:space="preserve"> 2 </w:t>
            </w:r>
            <w:r w:rsidR="00A827D1" w:rsidRPr="00183F00">
              <w:rPr>
                <w:color w:val="000000"/>
                <w:sz w:val="20"/>
                <w:lang w:val="fr-FR"/>
              </w:rPr>
              <w:t>et du tableau</w:t>
            </w:r>
            <w:r w:rsidRPr="00183F00">
              <w:rPr>
                <w:color w:val="000000"/>
                <w:sz w:val="20"/>
                <w:lang w:val="fr-FR"/>
              </w:rPr>
              <w:t xml:space="preserve"> 1, </w:t>
            </w:r>
            <w:r w:rsidR="00197B98" w:rsidRPr="00183F00">
              <w:rPr>
                <w:color w:val="000000"/>
                <w:sz w:val="20"/>
                <w:lang w:val="fr-FR"/>
              </w:rPr>
              <w:t>le cas échéant</w:t>
            </w:r>
            <w:r w:rsidRPr="00183F00">
              <w:rPr>
                <w:color w:val="000000"/>
                <w:sz w:val="20"/>
                <w:lang w:val="fr-FR"/>
              </w:rPr>
              <w:t xml:space="preserve">, </w:t>
            </w:r>
            <w:r w:rsidR="00A827D1" w:rsidRPr="00183F00">
              <w:rPr>
                <w:color w:val="000000"/>
                <w:sz w:val="20"/>
                <w:lang w:val="fr-FR"/>
              </w:rPr>
              <w:t xml:space="preserve">à présenter à la </w:t>
            </w:r>
            <w:r w:rsidRPr="00183F00">
              <w:rPr>
                <w:color w:val="000000"/>
                <w:sz w:val="20"/>
                <w:lang w:val="fr-FR"/>
              </w:rPr>
              <w:t>MOP (R</w:t>
            </w:r>
            <w:r w:rsidR="00A827D1" w:rsidRPr="00183F00">
              <w:rPr>
                <w:color w:val="000000"/>
                <w:sz w:val="20"/>
                <w:lang w:val="fr-FR"/>
              </w:rPr>
              <w:t>é</w:t>
            </w:r>
            <w:r w:rsidRPr="00183F00">
              <w:rPr>
                <w:color w:val="000000"/>
                <w:sz w:val="20"/>
                <w:lang w:val="fr-FR"/>
              </w:rPr>
              <w:t>solution 4.11)</w:t>
            </w:r>
          </w:p>
          <w:p w:rsidR="003F7F14" w:rsidRPr="00183F00" w:rsidRDefault="003F7F14" w:rsidP="003F7F14">
            <w:pPr>
              <w:rPr>
                <w:color w:val="000000"/>
                <w:sz w:val="20"/>
                <w:lang w:val="fr-FR"/>
              </w:rPr>
            </w:pPr>
          </w:p>
          <w:p w:rsidR="003F7F14" w:rsidRPr="00183F00" w:rsidRDefault="0017403F" w:rsidP="003F7F14">
            <w:pPr>
              <w:rPr>
                <w:color w:val="0000FF"/>
                <w:sz w:val="20"/>
                <w:lang w:val="fr-FR"/>
              </w:rPr>
            </w:pPr>
            <w:r w:rsidRPr="00183F00">
              <w:rPr>
                <w:color w:val="000000"/>
                <w:sz w:val="20"/>
                <w:lang w:val="fr-FR"/>
              </w:rPr>
              <w:t>e) rédiger une proposition d’amend</w:t>
            </w:r>
            <w:r w:rsidR="00A20461" w:rsidRPr="00183F00">
              <w:rPr>
                <w:color w:val="000000"/>
                <w:sz w:val="20"/>
                <w:lang w:val="fr-FR"/>
              </w:rPr>
              <w:t>e</w:t>
            </w:r>
            <w:r w:rsidRPr="00183F00">
              <w:rPr>
                <w:color w:val="000000"/>
                <w:sz w:val="20"/>
                <w:lang w:val="fr-FR"/>
              </w:rPr>
              <w:t xml:space="preserve">ment du Plan d’action de l’AEWA concernant les effets des </w:t>
            </w:r>
            <w:r w:rsidRPr="00183F00">
              <w:rPr>
                <w:color w:val="000000"/>
                <w:sz w:val="20"/>
                <w:lang w:val="fr-FR"/>
              </w:rPr>
              <w:lastRenderedPageBreak/>
              <w:t>espèces aquatiques invasives non indigènes sur les habitats des oiseaux d’eau à soumettre à la MOP5 (Résolution 4.11)</w:t>
            </w:r>
          </w:p>
        </w:tc>
        <w:tc>
          <w:tcPr>
            <w:tcW w:w="1842" w:type="dxa"/>
            <w:tcBorders>
              <w:top w:val="single" w:sz="4" w:space="0" w:color="auto"/>
              <w:bottom w:val="single" w:sz="4" w:space="0" w:color="auto"/>
            </w:tcBorders>
            <w:shd w:val="clear" w:color="auto" w:fill="FFCC99"/>
          </w:tcPr>
          <w:p w:rsidR="00B50B65" w:rsidRPr="00183F00" w:rsidRDefault="00B50B65" w:rsidP="00CA73C7">
            <w:pPr>
              <w:rPr>
                <w:color w:val="0000FF"/>
                <w:sz w:val="22"/>
                <w:szCs w:val="22"/>
                <w:lang w:val="fr-FR"/>
              </w:rPr>
            </w:pPr>
          </w:p>
          <w:p w:rsidR="00B50B65" w:rsidRPr="00183F00" w:rsidRDefault="0017403F" w:rsidP="00CA73C7">
            <w:pPr>
              <w:rPr>
                <w:color w:val="0000FF"/>
                <w:sz w:val="22"/>
                <w:szCs w:val="22"/>
                <w:lang w:val="fr-FR"/>
              </w:rPr>
            </w:pPr>
            <w:r w:rsidRPr="00183F00">
              <w:rPr>
                <w:b/>
                <w:bCs/>
                <w:sz w:val="20"/>
                <w:lang w:val="fr-FR"/>
              </w:rPr>
              <w:t>SK, HA, DS, JK, SN/WH, JOS/NC, BH, NK, SD</w:t>
            </w:r>
            <w:r w:rsidR="00566D40" w:rsidRPr="00183F00">
              <w:rPr>
                <w:color w:val="0000FF"/>
                <w:sz w:val="22"/>
                <w:szCs w:val="22"/>
                <w:lang w:val="fr-FR"/>
              </w:rPr>
              <w:t xml:space="preserve"> </w:t>
            </w:r>
          </w:p>
          <w:p w:rsidR="00B50B65" w:rsidRPr="00183F00" w:rsidRDefault="00B50B65" w:rsidP="00CA73C7">
            <w:pPr>
              <w:rPr>
                <w:color w:val="0000FF"/>
                <w:sz w:val="22"/>
                <w:szCs w:val="22"/>
                <w:lang w:val="fr-FR"/>
              </w:rPr>
            </w:pPr>
          </w:p>
        </w:tc>
        <w:tc>
          <w:tcPr>
            <w:tcW w:w="8577" w:type="dxa"/>
            <w:tcBorders>
              <w:top w:val="single" w:sz="4" w:space="0" w:color="auto"/>
              <w:bottom w:val="single" w:sz="4" w:space="0" w:color="auto"/>
            </w:tcBorders>
          </w:tcPr>
          <w:p w:rsidR="00B50B65" w:rsidRPr="00183F00" w:rsidRDefault="00B50B65" w:rsidP="00CA73C7">
            <w:pPr>
              <w:rPr>
                <w:sz w:val="22"/>
                <w:szCs w:val="22"/>
                <w:lang w:val="fr-FR"/>
              </w:rPr>
            </w:pPr>
          </w:p>
          <w:p w:rsidR="00022B21" w:rsidRPr="00183F00" w:rsidRDefault="00545A45" w:rsidP="00782849">
            <w:pPr>
              <w:numPr>
                <w:ilvl w:val="0"/>
                <w:numId w:val="8"/>
              </w:numPr>
              <w:jc w:val="both"/>
              <w:rPr>
                <w:sz w:val="22"/>
                <w:szCs w:val="22"/>
                <w:lang w:val="fr-FR"/>
              </w:rPr>
            </w:pPr>
            <w:bookmarkStart w:id="0" w:name="OLE_LINK2"/>
            <w:bookmarkStart w:id="1" w:name="OLE_LINK1"/>
            <w:r w:rsidRPr="00183F00">
              <w:rPr>
                <w:sz w:val="22"/>
                <w:szCs w:val="22"/>
                <w:lang w:val="fr-FR"/>
              </w:rPr>
              <w:t xml:space="preserve">Lors du </w:t>
            </w:r>
            <w:r w:rsidR="001348BF">
              <w:rPr>
                <w:sz w:val="22"/>
                <w:szCs w:val="22"/>
                <w:lang w:val="fr-FR"/>
              </w:rPr>
              <w:t>CT</w:t>
            </w:r>
            <w:r w:rsidRPr="00183F00">
              <w:rPr>
                <w:sz w:val="22"/>
                <w:szCs w:val="22"/>
                <w:lang w:val="fr-FR"/>
              </w:rPr>
              <w:t xml:space="preserve">9, l’état de la Sterne naine </w:t>
            </w:r>
            <w:r w:rsidRPr="00183F00">
              <w:rPr>
                <w:i/>
                <w:sz w:val="22"/>
                <w:szCs w:val="22"/>
                <w:lang w:val="fr-FR"/>
              </w:rPr>
              <w:t>Sterna albifrons</w:t>
            </w:r>
            <w:r w:rsidRPr="00183F00">
              <w:rPr>
                <w:sz w:val="22"/>
                <w:szCs w:val="22"/>
                <w:lang w:val="fr-FR"/>
              </w:rPr>
              <w:t xml:space="preserve"> a été examiné et la population existante a été divisée </w:t>
            </w:r>
            <w:r w:rsidR="007555FB" w:rsidRPr="00183F00">
              <w:rPr>
                <w:sz w:val="22"/>
                <w:szCs w:val="22"/>
                <w:lang w:val="fr-FR"/>
              </w:rPr>
              <w:t>en</w:t>
            </w:r>
            <w:r w:rsidRPr="00183F00">
              <w:rPr>
                <w:sz w:val="22"/>
                <w:szCs w:val="22"/>
                <w:lang w:val="fr-FR"/>
              </w:rPr>
              <w:t xml:space="preserve"> deux populations : une de l’ouest et une de l’est de </w:t>
            </w:r>
            <w:smartTag w:uri="urn:schemas-microsoft-com:office:smarttags" w:element="PersonName">
              <w:smartTagPr>
                <w:attr w:name="ProductID" w:val="la M￩diterran￩e. Ce"/>
              </w:smartTagPr>
              <w:r w:rsidRPr="00183F00">
                <w:rPr>
                  <w:sz w:val="22"/>
                  <w:szCs w:val="22"/>
                  <w:lang w:val="fr-FR"/>
                </w:rPr>
                <w:t>la Méditerranée.</w:t>
              </w:r>
              <w:r w:rsidR="00022B21" w:rsidRPr="00183F00">
                <w:rPr>
                  <w:sz w:val="22"/>
                  <w:szCs w:val="22"/>
                  <w:lang w:val="fr-FR"/>
                </w:rPr>
                <w:t xml:space="preserve"> </w:t>
              </w:r>
              <w:r w:rsidRPr="00183F00">
                <w:rPr>
                  <w:sz w:val="22"/>
                  <w:szCs w:val="22"/>
                  <w:lang w:val="fr-FR"/>
                </w:rPr>
                <w:t>Ce</w:t>
              </w:r>
            </w:smartTag>
            <w:r w:rsidRPr="00183F00">
              <w:rPr>
                <w:sz w:val="22"/>
                <w:szCs w:val="22"/>
                <w:lang w:val="fr-FR"/>
              </w:rPr>
              <w:t xml:space="preserve"> changement a été inclus dans la 5</w:t>
            </w:r>
            <w:r w:rsidRPr="00183F00">
              <w:rPr>
                <w:sz w:val="22"/>
                <w:szCs w:val="22"/>
                <w:vertAlign w:val="superscript"/>
                <w:lang w:val="fr-FR"/>
              </w:rPr>
              <w:t>ème</w:t>
            </w:r>
            <w:r w:rsidRPr="00183F00">
              <w:rPr>
                <w:sz w:val="22"/>
                <w:szCs w:val="22"/>
                <w:lang w:val="fr-FR"/>
              </w:rPr>
              <w:t xml:space="preserve"> édition du rapport sur l’état de conservation (voir document AEWA/MOP 5.14).</w:t>
            </w:r>
          </w:p>
          <w:p w:rsidR="00F06368" w:rsidRPr="00183F00" w:rsidRDefault="00F06368" w:rsidP="00F06368">
            <w:pPr>
              <w:ind w:left="720"/>
              <w:jc w:val="both"/>
              <w:rPr>
                <w:sz w:val="22"/>
                <w:szCs w:val="22"/>
                <w:lang w:val="fr-FR"/>
              </w:rPr>
            </w:pPr>
          </w:p>
          <w:p w:rsidR="00782849" w:rsidRPr="00183F00" w:rsidRDefault="00A7655C" w:rsidP="00782849">
            <w:pPr>
              <w:numPr>
                <w:ilvl w:val="0"/>
                <w:numId w:val="8"/>
              </w:numPr>
              <w:jc w:val="both"/>
              <w:rPr>
                <w:sz w:val="22"/>
                <w:szCs w:val="22"/>
                <w:lang w:val="fr-FR"/>
              </w:rPr>
            </w:pPr>
            <w:r w:rsidRPr="00183F00">
              <w:rPr>
                <w:sz w:val="22"/>
                <w:szCs w:val="22"/>
                <w:lang w:val="fr-FR"/>
              </w:rPr>
              <w:t>Le</w:t>
            </w:r>
            <w:r w:rsidR="00545A45" w:rsidRPr="00183F00">
              <w:rPr>
                <w:sz w:val="22"/>
                <w:szCs w:val="22"/>
                <w:lang w:val="fr-FR"/>
              </w:rPr>
              <w:t xml:space="preserve"> </w:t>
            </w:r>
            <w:r w:rsidR="001348BF">
              <w:rPr>
                <w:sz w:val="22"/>
                <w:szCs w:val="22"/>
                <w:lang w:val="fr-FR"/>
              </w:rPr>
              <w:t>CT</w:t>
            </w:r>
            <w:r w:rsidR="00545A45" w:rsidRPr="00183F00">
              <w:rPr>
                <w:sz w:val="22"/>
                <w:szCs w:val="22"/>
                <w:lang w:val="fr-FR"/>
              </w:rPr>
              <w:t xml:space="preserve"> a</w:t>
            </w:r>
            <w:r w:rsidRPr="00183F00">
              <w:rPr>
                <w:sz w:val="22"/>
                <w:szCs w:val="22"/>
                <w:lang w:val="fr-FR"/>
              </w:rPr>
              <w:t xml:space="preserve"> convenu que les termes géographiques utilisés dans les descriptions des aires de répartition des</w:t>
            </w:r>
            <w:r w:rsidR="00545A45" w:rsidRPr="00183F00">
              <w:rPr>
                <w:sz w:val="22"/>
                <w:szCs w:val="22"/>
                <w:lang w:val="fr-FR"/>
              </w:rPr>
              <w:t xml:space="preserve"> populations </w:t>
            </w:r>
            <w:r w:rsidRPr="00183F00">
              <w:rPr>
                <w:sz w:val="22"/>
                <w:szCs w:val="22"/>
                <w:lang w:val="fr-FR"/>
              </w:rPr>
              <w:t>du</w:t>
            </w:r>
            <w:r w:rsidR="00545A45" w:rsidRPr="00183F00">
              <w:rPr>
                <w:sz w:val="22"/>
                <w:szCs w:val="22"/>
                <w:lang w:val="fr-FR"/>
              </w:rPr>
              <w:t xml:space="preserve"> </w:t>
            </w:r>
            <w:r w:rsidR="000F48CB" w:rsidRPr="00183F00">
              <w:rPr>
                <w:sz w:val="22"/>
                <w:szCs w:val="22"/>
                <w:lang w:val="fr-FR"/>
              </w:rPr>
              <w:t>t</w:t>
            </w:r>
            <w:r w:rsidR="00545A45" w:rsidRPr="00183F00">
              <w:rPr>
                <w:sz w:val="22"/>
                <w:szCs w:val="22"/>
                <w:lang w:val="fr-FR"/>
              </w:rPr>
              <w:t>able</w:t>
            </w:r>
            <w:r w:rsidR="000F48CB" w:rsidRPr="00183F00">
              <w:rPr>
                <w:sz w:val="22"/>
                <w:szCs w:val="22"/>
                <w:lang w:val="fr-FR"/>
              </w:rPr>
              <w:t>au</w:t>
            </w:r>
            <w:r w:rsidR="00545A45" w:rsidRPr="00183F00">
              <w:rPr>
                <w:sz w:val="22"/>
                <w:szCs w:val="22"/>
                <w:lang w:val="fr-FR"/>
              </w:rPr>
              <w:t xml:space="preserve"> 1 </w:t>
            </w:r>
            <w:r w:rsidRPr="00183F00">
              <w:rPr>
                <w:sz w:val="22"/>
                <w:szCs w:val="22"/>
                <w:lang w:val="fr-FR"/>
              </w:rPr>
              <w:t xml:space="preserve">n’ont pas de signification politique et le court texte </w:t>
            </w:r>
            <w:r w:rsidR="007555FB" w:rsidRPr="00183F00">
              <w:rPr>
                <w:sz w:val="22"/>
                <w:szCs w:val="22"/>
                <w:lang w:val="fr-FR"/>
              </w:rPr>
              <w:t>suivant</w:t>
            </w:r>
            <w:r w:rsidR="000F48CB" w:rsidRPr="00183F00">
              <w:rPr>
                <w:sz w:val="22"/>
                <w:szCs w:val="22"/>
                <w:lang w:val="fr-FR"/>
              </w:rPr>
              <w:t>, qui</w:t>
            </w:r>
            <w:r w:rsidR="007555FB" w:rsidRPr="00183F00">
              <w:rPr>
                <w:sz w:val="22"/>
                <w:szCs w:val="22"/>
                <w:lang w:val="fr-FR"/>
              </w:rPr>
              <w:t xml:space="preserve"> </w:t>
            </w:r>
            <w:r w:rsidRPr="00183F00">
              <w:rPr>
                <w:sz w:val="22"/>
                <w:szCs w:val="22"/>
                <w:lang w:val="fr-FR"/>
              </w:rPr>
              <w:t>le soulign</w:t>
            </w:r>
            <w:r w:rsidR="000F48CB" w:rsidRPr="00183F00">
              <w:rPr>
                <w:sz w:val="22"/>
                <w:szCs w:val="22"/>
                <w:lang w:val="fr-FR"/>
              </w:rPr>
              <w:t>e,</w:t>
            </w:r>
            <w:r w:rsidRPr="00183F00">
              <w:rPr>
                <w:sz w:val="22"/>
                <w:szCs w:val="22"/>
                <w:lang w:val="fr-FR"/>
              </w:rPr>
              <w:t xml:space="preserve"> a été ajouté au tableau </w:t>
            </w:r>
            <w:r w:rsidR="00545A45" w:rsidRPr="00183F00">
              <w:rPr>
                <w:sz w:val="22"/>
                <w:szCs w:val="22"/>
                <w:lang w:val="fr-FR"/>
              </w:rPr>
              <w:t>1</w:t>
            </w:r>
            <w:r w:rsidRPr="00183F00">
              <w:rPr>
                <w:sz w:val="22"/>
                <w:szCs w:val="22"/>
                <w:lang w:val="fr-FR"/>
              </w:rPr>
              <w:t xml:space="preserve"> </w:t>
            </w:r>
            <w:r w:rsidR="00545A45" w:rsidRPr="00183F00">
              <w:rPr>
                <w:sz w:val="22"/>
                <w:szCs w:val="22"/>
                <w:lang w:val="fr-FR"/>
              </w:rPr>
              <w:t xml:space="preserve">: </w:t>
            </w:r>
            <w:r w:rsidRPr="00183F00">
              <w:rPr>
                <w:sz w:val="22"/>
                <w:szCs w:val="22"/>
                <w:lang w:val="fr-FR"/>
              </w:rPr>
              <w:t xml:space="preserve">« Veuillez noter que les aires de répartition des oiseaux d’eau respectent des frontières </w:t>
            </w:r>
            <w:r w:rsidR="00545A45" w:rsidRPr="00183F00">
              <w:rPr>
                <w:sz w:val="22"/>
                <w:szCs w:val="22"/>
                <w:lang w:val="fr-FR"/>
              </w:rPr>
              <w:t>biologi</w:t>
            </w:r>
            <w:r w:rsidRPr="00183F00">
              <w:rPr>
                <w:sz w:val="22"/>
                <w:szCs w:val="22"/>
                <w:lang w:val="fr-FR"/>
              </w:rPr>
              <w:t>ques et non politiques</w:t>
            </w:r>
            <w:r w:rsidR="00545A45" w:rsidRPr="00183F00">
              <w:rPr>
                <w:sz w:val="22"/>
                <w:szCs w:val="22"/>
                <w:lang w:val="fr-FR"/>
              </w:rPr>
              <w:t xml:space="preserve">, </w:t>
            </w:r>
            <w:r w:rsidR="009E0FEA" w:rsidRPr="00183F00">
              <w:rPr>
                <w:sz w:val="22"/>
                <w:szCs w:val="22"/>
                <w:lang w:val="fr-FR"/>
              </w:rPr>
              <w:t>et que l’alignement exact des entités biologiques et politiques est extrêmement inhabituel</w:t>
            </w:r>
            <w:r w:rsidR="00545A45" w:rsidRPr="00183F00">
              <w:rPr>
                <w:sz w:val="22"/>
                <w:szCs w:val="22"/>
                <w:lang w:val="fr-FR"/>
              </w:rPr>
              <w:t>.</w:t>
            </w:r>
            <w:r w:rsidR="00782849" w:rsidRPr="00183F00">
              <w:rPr>
                <w:sz w:val="22"/>
                <w:szCs w:val="22"/>
                <w:lang w:val="fr-FR"/>
              </w:rPr>
              <w:t xml:space="preserve"> </w:t>
            </w:r>
            <w:r w:rsidR="009E0FEA" w:rsidRPr="00183F00">
              <w:rPr>
                <w:sz w:val="22"/>
                <w:szCs w:val="22"/>
                <w:lang w:val="fr-FR"/>
              </w:rPr>
              <w:t xml:space="preserve">Les descriptions des aires de répartitions employées n’ont pas de signification politique et sont uniquement données à titre d’orientation générale, </w:t>
            </w:r>
            <w:r w:rsidR="00054318" w:rsidRPr="00183F00">
              <w:rPr>
                <w:sz w:val="22"/>
                <w:szCs w:val="22"/>
                <w:lang w:val="fr-FR"/>
              </w:rPr>
              <w:t xml:space="preserve">et pour des aires de répartition des oiseaux d’eau </w:t>
            </w:r>
            <w:r w:rsidR="009E0FEA" w:rsidRPr="00183F00">
              <w:rPr>
                <w:sz w:val="22"/>
                <w:szCs w:val="22"/>
                <w:lang w:val="fr-FR"/>
              </w:rPr>
              <w:t>concise</w:t>
            </w:r>
            <w:r w:rsidR="00054318" w:rsidRPr="00183F00">
              <w:rPr>
                <w:sz w:val="22"/>
                <w:szCs w:val="22"/>
                <w:lang w:val="fr-FR"/>
              </w:rPr>
              <w:t>s et cartographiées</w:t>
            </w:r>
            <w:r w:rsidR="009E0FEA" w:rsidRPr="00183F00">
              <w:rPr>
                <w:sz w:val="22"/>
                <w:szCs w:val="22"/>
                <w:lang w:val="fr-FR"/>
              </w:rPr>
              <w:t xml:space="preserve">, </w:t>
            </w:r>
            <w:r w:rsidR="00054318" w:rsidRPr="00183F00">
              <w:rPr>
                <w:sz w:val="22"/>
                <w:szCs w:val="22"/>
                <w:lang w:val="fr-FR"/>
              </w:rPr>
              <w:t xml:space="preserve">les professionnels doivent consulter le portail Internet de l’Outil Réseau de sites critiques </w:t>
            </w:r>
            <w:r w:rsidR="009E0FEA" w:rsidRPr="00183F00">
              <w:rPr>
                <w:sz w:val="22"/>
                <w:szCs w:val="22"/>
                <w:lang w:val="fr-FR"/>
              </w:rPr>
              <w:t>:</w:t>
            </w:r>
            <w:r w:rsidR="00782849" w:rsidRPr="00183F00">
              <w:rPr>
                <w:sz w:val="22"/>
                <w:szCs w:val="22"/>
                <w:lang w:val="fr-FR"/>
              </w:rPr>
              <w:t xml:space="preserve"> </w:t>
            </w:r>
            <w:hyperlink r:id="rId13" w:history="1">
              <w:r w:rsidR="00054318" w:rsidRPr="00183F00">
                <w:rPr>
                  <w:rStyle w:val="Hyperlink"/>
                  <w:sz w:val="22"/>
                  <w:szCs w:val="22"/>
                  <w:lang w:val="fr-FR"/>
                </w:rPr>
                <w:t>http://wow.wetlands.org/informationflyway/criticalsitenetworktool/tabid/1349/language/en-US/Default.aspx</w:t>
              </w:r>
            </w:hyperlink>
            <w:r w:rsidR="00054318" w:rsidRPr="00183F00">
              <w:rPr>
                <w:sz w:val="22"/>
                <w:szCs w:val="22"/>
                <w:lang w:val="fr-FR"/>
              </w:rPr>
              <w:t xml:space="preserve"> » </w:t>
            </w:r>
            <w:r w:rsidR="000F48CB" w:rsidRPr="00183F00">
              <w:rPr>
                <w:sz w:val="22"/>
                <w:szCs w:val="22"/>
                <w:lang w:val="fr-FR"/>
              </w:rPr>
              <w:t>(</w:t>
            </w:r>
            <w:r w:rsidR="006F404C" w:rsidRPr="00183F00">
              <w:rPr>
                <w:sz w:val="22"/>
                <w:szCs w:val="22"/>
                <w:lang w:val="fr-FR"/>
              </w:rPr>
              <w:t>voir la</w:t>
            </w:r>
            <w:r w:rsidR="00054318" w:rsidRPr="00183F00">
              <w:rPr>
                <w:sz w:val="22"/>
                <w:szCs w:val="22"/>
                <w:lang w:val="fr-FR"/>
              </w:rPr>
              <w:t xml:space="preserve"> 5</w:t>
            </w:r>
            <w:r w:rsidR="000F48CB" w:rsidRPr="00183F00">
              <w:rPr>
                <w:sz w:val="22"/>
                <w:szCs w:val="22"/>
                <w:vertAlign w:val="superscript"/>
                <w:lang w:val="fr-FR"/>
              </w:rPr>
              <w:t>ème</w:t>
            </w:r>
            <w:r w:rsidR="00054318" w:rsidRPr="00183F00">
              <w:rPr>
                <w:sz w:val="22"/>
                <w:szCs w:val="22"/>
                <w:lang w:val="fr-FR"/>
              </w:rPr>
              <w:t xml:space="preserve"> édition du rapport sur l’état de conservation</w:t>
            </w:r>
            <w:r w:rsidR="006F404C" w:rsidRPr="00183F00">
              <w:rPr>
                <w:sz w:val="22"/>
                <w:szCs w:val="22"/>
                <w:lang w:val="fr-FR"/>
              </w:rPr>
              <w:t xml:space="preserve">, </w:t>
            </w:r>
            <w:r w:rsidR="00054318" w:rsidRPr="00183F00">
              <w:rPr>
                <w:sz w:val="22"/>
                <w:szCs w:val="22"/>
                <w:lang w:val="fr-FR"/>
              </w:rPr>
              <w:t xml:space="preserve"> document AEWA/MOP 5.14)</w:t>
            </w:r>
          </w:p>
          <w:p w:rsidR="00F06368" w:rsidRPr="00183F00" w:rsidRDefault="00F06368" w:rsidP="00F06368">
            <w:pPr>
              <w:jc w:val="both"/>
              <w:rPr>
                <w:sz w:val="22"/>
                <w:szCs w:val="22"/>
                <w:lang w:val="fr-FR"/>
              </w:rPr>
            </w:pPr>
          </w:p>
          <w:p w:rsidR="00782849" w:rsidRPr="00183F00" w:rsidRDefault="006F404C" w:rsidP="00782849">
            <w:pPr>
              <w:numPr>
                <w:ilvl w:val="0"/>
                <w:numId w:val="8"/>
              </w:numPr>
              <w:jc w:val="both"/>
              <w:rPr>
                <w:sz w:val="22"/>
                <w:szCs w:val="22"/>
                <w:lang w:val="fr-FR"/>
              </w:rPr>
            </w:pPr>
            <w:r w:rsidRPr="00183F00">
              <w:rPr>
                <w:sz w:val="22"/>
                <w:szCs w:val="22"/>
                <w:lang w:val="fr-FR"/>
              </w:rPr>
              <w:t>L’applicabilité de la catégorie « Quasi menacé » de l’UICN à la liste de populations du tableau 1, ainsi que les conséquences des différentes options, ont été discutées.</w:t>
            </w:r>
            <w:r w:rsidR="00525C8A" w:rsidRPr="00183F00">
              <w:rPr>
                <w:sz w:val="22"/>
                <w:szCs w:val="22"/>
                <w:lang w:val="fr-FR"/>
              </w:rPr>
              <w:t xml:space="preserve"> </w:t>
            </w:r>
            <w:r w:rsidRPr="00183F00">
              <w:rPr>
                <w:sz w:val="22"/>
                <w:szCs w:val="22"/>
                <w:lang w:val="fr-FR"/>
              </w:rPr>
              <w:t xml:space="preserve">Le </w:t>
            </w:r>
            <w:r w:rsidR="001348BF">
              <w:rPr>
                <w:sz w:val="22"/>
                <w:szCs w:val="22"/>
                <w:lang w:val="fr-FR"/>
              </w:rPr>
              <w:t>CT</w:t>
            </w:r>
            <w:r w:rsidRPr="00183F00">
              <w:rPr>
                <w:sz w:val="22"/>
                <w:szCs w:val="22"/>
                <w:lang w:val="fr-FR"/>
              </w:rPr>
              <w:t xml:space="preserve"> a décidé d’ajouter une 4</w:t>
            </w:r>
            <w:r w:rsidRPr="00183F00">
              <w:rPr>
                <w:sz w:val="22"/>
                <w:szCs w:val="22"/>
                <w:vertAlign w:val="superscript"/>
                <w:lang w:val="fr-FR"/>
              </w:rPr>
              <w:t>ème</w:t>
            </w:r>
            <w:r w:rsidRPr="00183F00">
              <w:rPr>
                <w:sz w:val="22"/>
                <w:szCs w:val="22"/>
                <w:lang w:val="fr-FR"/>
              </w:rPr>
              <w:t xml:space="preserve"> catégorie à </w:t>
            </w:r>
            <w:smartTag w:uri="urn:schemas-microsoft-com:office:smarttags" w:element="PersonName">
              <w:smartTagPr>
                <w:attr w:name="ProductID" w:val="la colonne A"/>
              </w:smartTagPr>
              <w:r w:rsidRPr="00183F00">
                <w:rPr>
                  <w:sz w:val="22"/>
                  <w:szCs w:val="22"/>
                  <w:lang w:val="fr-FR"/>
                </w:rPr>
                <w:t>la colonne A</w:t>
              </w:r>
            </w:smartTag>
            <w:r w:rsidRPr="00183F00">
              <w:rPr>
                <w:sz w:val="22"/>
                <w:szCs w:val="22"/>
                <w:lang w:val="fr-FR"/>
              </w:rPr>
              <w:t xml:space="preserve"> pour les espèces du tableau 1, avec la description suivante :</w:t>
            </w:r>
            <w:r w:rsidR="00525C8A" w:rsidRPr="00183F00">
              <w:rPr>
                <w:sz w:val="22"/>
                <w:szCs w:val="22"/>
                <w:lang w:val="fr-FR"/>
              </w:rPr>
              <w:t xml:space="preserve"> </w:t>
            </w:r>
            <w:r w:rsidR="004038BC" w:rsidRPr="00183F00">
              <w:rPr>
                <w:sz w:val="22"/>
                <w:szCs w:val="22"/>
                <w:lang w:val="fr-FR"/>
              </w:rPr>
              <w:t>« </w:t>
            </w:r>
            <w:r w:rsidR="004038BC" w:rsidRPr="00183F00">
              <w:rPr>
                <w:i/>
                <w:sz w:val="22"/>
                <w:szCs w:val="22"/>
                <w:lang w:val="fr-FR"/>
              </w:rPr>
              <w:t xml:space="preserve">Catégorie 4 : Les espèces </w:t>
            </w:r>
            <w:r w:rsidR="00A20461" w:rsidRPr="00183F00">
              <w:rPr>
                <w:i/>
                <w:sz w:val="22"/>
                <w:szCs w:val="22"/>
                <w:lang w:val="fr-FR"/>
              </w:rPr>
              <w:t xml:space="preserve">qui sont </w:t>
            </w:r>
            <w:r w:rsidR="004038BC" w:rsidRPr="00183F00">
              <w:rPr>
                <w:i/>
                <w:sz w:val="22"/>
                <w:szCs w:val="22"/>
                <w:lang w:val="fr-FR"/>
              </w:rPr>
              <w:t xml:space="preserve">désignées </w:t>
            </w:r>
            <w:r w:rsidR="00B920A5" w:rsidRPr="00183F00">
              <w:rPr>
                <w:i/>
                <w:sz w:val="22"/>
                <w:szCs w:val="22"/>
                <w:lang w:val="fr-FR"/>
              </w:rPr>
              <w:t>“</w:t>
            </w:r>
            <w:r w:rsidR="004038BC" w:rsidRPr="00183F00">
              <w:rPr>
                <w:i/>
                <w:sz w:val="22"/>
                <w:szCs w:val="22"/>
                <w:lang w:val="fr-FR"/>
              </w:rPr>
              <w:t>Quasi menacées” dans la liste rouge de l’UICN des espèces menacées (</w:t>
            </w:r>
            <w:r w:rsidR="00751FDB" w:rsidRPr="00183F00">
              <w:rPr>
                <w:i/>
                <w:sz w:val="22"/>
                <w:szCs w:val="22"/>
                <w:lang w:val="fr-FR"/>
              </w:rPr>
              <w:t>comme indiqué dans le résumé le plus récent de</w:t>
            </w:r>
            <w:r w:rsidR="004038BC" w:rsidRPr="00183F00">
              <w:rPr>
                <w:i/>
                <w:sz w:val="22"/>
                <w:szCs w:val="22"/>
                <w:lang w:val="fr-FR"/>
              </w:rPr>
              <w:t xml:space="preserve"> BirdLife International), </w:t>
            </w:r>
            <w:r w:rsidR="00751FDB" w:rsidRPr="00183F00">
              <w:rPr>
                <w:i/>
                <w:sz w:val="22"/>
                <w:szCs w:val="22"/>
                <w:lang w:val="fr-FR"/>
              </w:rPr>
              <w:t>mais ne rempliss</w:t>
            </w:r>
            <w:r w:rsidR="00A20461" w:rsidRPr="00183F00">
              <w:rPr>
                <w:i/>
                <w:sz w:val="22"/>
                <w:szCs w:val="22"/>
                <w:lang w:val="fr-FR"/>
              </w:rPr>
              <w:t>e</w:t>
            </w:r>
            <w:r w:rsidR="00751FDB" w:rsidRPr="00183F00">
              <w:rPr>
                <w:i/>
                <w:sz w:val="22"/>
                <w:szCs w:val="22"/>
                <w:lang w:val="fr-FR"/>
              </w:rPr>
              <w:t>nt pas les conditions des catégories</w:t>
            </w:r>
            <w:r w:rsidR="004038BC" w:rsidRPr="00183F00">
              <w:rPr>
                <w:i/>
                <w:sz w:val="22"/>
                <w:szCs w:val="22"/>
                <w:lang w:val="fr-FR"/>
              </w:rPr>
              <w:t xml:space="preserve"> 1, 2 </w:t>
            </w:r>
            <w:r w:rsidR="00CF59B8" w:rsidRPr="00183F00">
              <w:rPr>
                <w:i/>
                <w:sz w:val="22"/>
                <w:szCs w:val="22"/>
                <w:lang w:val="fr-FR"/>
              </w:rPr>
              <w:t>ou</w:t>
            </w:r>
            <w:r w:rsidR="004038BC" w:rsidRPr="00183F00">
              <w:rPr>
                <w:sz w:val="22"/>
                <w:szCs w:val="22"/>
                <w:lang w:val="fr-FR"/>
              </w:rPr>
              <w:t xml:space="preserve"> </w:t>
            </w:r>
            <w:r w:rsidR="004038BC" w:rsidRPr="00183F00">
              <w:rPr>
                <w:i/>
                <w:sz w:val="22"/>
                <w:szCs w:val="22"/>
                <w:lang w:val="fr-FR"/>
              </w:rPr>
              <w:t>3</w:t>
            </w:r>
            <w:r w:rsidR="00B920A5" w:rsidRPr="00183F00">
              <w:rPr>
                <w:i/>
                <w:sz w:val="22"/>
                <w:szCs w:val="22"/>
                <w:lang w:val="fr-FR"/>
              </w:rPr>
              <w:t xml:space="preserve"> décrites ci-dessus</w:t>
            </w:r>
            <w:r w:rsidR="00B920A5" w:rsidRPr="00183F00">
              <w:rPr>
                <w:sz w:val="22"/>
                <w:szCs w:val="22"/>
                <w:lang w:val="fr-FR"/>
              </w:rPr>
              <w:t> »</w:t>
            </w:r>
            <w:r w:rsidR="004038BC" w:rsidRPr="00183F00">
              <w:rPr>
                <w:sz w:val="22"/>
                <w:szCs w:val="22"/>
                <w:lang w:val="fr-FR"/>
              </w:rPr>
              <w:t xml:space="preserve"> </w:t>
            </w:r>
            <w:r w:rsidR="00B920A5" w:rsidRPr="00183F00">
              <w:rPr>
                <w:sz w:val="22"/>
                <w:szCs w:val="22"/>
                <w:lang w:val="fr-FR"/>
              </w:rPr>
              <w:t xml:space="preserve">et de permettre la chasse des populations de la </w:t>
            </w:r>
            <w:r w:rsidR="004038BC" w:rsidRPr="00183F00">
              <w:rPr>
                <w:sz w:val="22"/>
                <w:szCs w:val="22"/>
                <w:lang w:val="fr-FR"/>
              </w:rPr>
              <w:t>Cat</w:t>
            </w:r>
            <w:r w:rsidR="00B920A5" w:rsidRPr="00183F00">
              <w:rPr>
                <w:sz w:val="22"/>
                <w:szCs w:val="22"/>
                <w:lang w:val="fr-FR"/>
              </w:rPr>
              <w:t>é</w:t>
            </w:r>
            <w:r w:rsidR="004038BC" w:rsidRPr="00183F00">
              <w:rPr>
                <w:sz w:val="22"/>
                <w:szCs w:val="22"/>
                <w:lang w:val="fr-FR"/>
              </w:rPr>
              <w:t>gor</w:t>
            </w:r>
            <w:r w:rsidR="00B920A5" w:rsidRPr="00183F00">
              <w:rPr>
                <w:sz w:val="22"/>
                <w:szCs w:val="22"/>
                <w:lang w:val="fr-FR"/>
              </w:rPr>
              <w:t>ie</w:t>
            </w:r>
            <w:r w:rsidR="004038BC" w:rsidRPr="00183F00">
              <w:rPr>
                <w:sz w:val="22"/>
                <w:szCs w:val="22"/>
                <w:lang w:val="fr-FR"/>
              </w:rPr>
              <w:t xml:space="preserve"> 4 </w:t>
            </w:r>
            <w:r w:rsidR="00B920A5" w:rsidRPr="00183F00">
              <w:rPr>
                <w:sz w:val="22"/>
                <w:szCs w:val="22"/>
                <w:lang w:val="fr-FR"/>
              </w:rPr>
              <w:t>sur une base durable</w:t>
            </w:r>
            <w:r w:rsidR="004038BC" w:rsidRPr="00183F00">
              <w:rPr>
                <w:sz w:val="22"/>
                <w:szCs w:val="22"/>
                <w:lang w:val="fr-FR"/>
              </w:rPr>
              <w:t xml:space="preserve">, </w:t>
            </w:r>
            <w:r w:rsidR="00197B98" w:rsidRPr="00183F00">
              <w:rPr>
                <w:sz w:val="22"/>
                <w:szCs w:val="22"/>
                <w:lang w:val="fr-FR"/>
              </w:rPr>
              <w:t>à condition que</w:t>
            </w:r>
            <w:r w:rsidR="00B920A5" w:rsidRPr="00183F00">
              <w:rPr>
                <w:sz w:val="22"/>
                <w:szCs w:val="22"/>
                <w:lang w:val="fr-FR"/>
              </w:rPr>
              <w:t xml:space="preserve"> cette chasse s</w:t>
            </w:r>
            <w:r w:rsidR="00197B98" w:rsidRPr="00183F00">
              <w:rPr>
                <w:sz w:val="22"/>
                <w:szCs w:val="22"/>
                <w:lang w:val="fr-FR"/>
              </w:rPr>
              <w:t>oit</w:t>
            </w:r>
            <w:r w:rsidR="00B920A5" w:rsidRPr="00183F00">
              <w:rPr>
                <w:sz w:val="22"/>
                <w:szCs w:val="22"/>
                <w:lang w:val="fr-FR"/>
              </w:rPr>
              <w:t xml:space="preserve"> réalisée dans le cadre d’un plan </w:t>
            </w:r>
            <w:r w:rsidR="004038BC" w:rsidRPr="00183F00">
              <w:rPr>
                <w:sz w:val="22"/>
                <w:szCs w:val="22"/>
                <w:lang w:val="fr-FR"/>
              </w:rPr>
              <w:t xml:space="preserve">international </w:t>
            </w:r>
            <w:r w:rsidR="00B920A5" w:rsidRPr="00183F00">
              <w:rPr>
                <w:sz w:val="22"/>
                <w:szCs w:val="22"/>
                <w:lang w:val="fr-FR"/>
              </w:rPr>
              <w:t>par espèce</w:t>
            </w:r>
            <w:r w:rsidR="004038BC" w:rsidRPr="00183F00">
              <w:rPr>
                <w:sz w:val="22"/>
                <w:szCs w:val="22"/>
                <w:lang w:val="fr-FR"/>
              </w:rPr>
              <w:t>.</w:t>
            </w:r>
            <w:r w:rsidR="00782849" w:rsidRPr="00183F00">
              <w:rPr>
                <w:sz w:val="22"/>
                <w:szCs w:val="22"/>
                <w:lang w:val="fr-FR"/>
              </w:rPr>
              <w:t xml:space="preserve"> </w:t>
            </w:r>
            <w:r w:rsidR="00CF59B8" w:rsidRPr="00183F00">
              <w:rPr>
                <w:sz w:val="22"/>
                <w:szCs w:val="22"/>
                <w:lang w:val="fr-FR"/>
              </w:rPr>
              <w:t xml:space="preserve">Les changements et amendements proposés </w:t>
            </w:r>
            <w:r w:rsidR="00A20461" w:rsidRPr="00183F00">
              <w:rPr>
                <w:sz w:val="22"/>
                <w:szCs w:val="22"/>
                <w:lang w:val="fr-FR"/>
              </w:rPr>
              <w:t>a</w:t>
            </w:r>
            <w:r w:rsidR="00CF59B8" w:rsidRPr="00183F00">
              <w:rPr>
                <w:sz w:val="22"/>
                <w:szCs w:val="22"/>
                <w:lang w:val="fr-FR"/>
              </w:rPr>
              <w:t xml:space="preserve">u tableau 1 et </w:t>
            </w:r>
            <w:r w:rsidR="00A20461" w:rsidRPr="00183F00">
              <w:rPr>
                <w:sz w:val="22"/>
                <w:szCs w:val="22"/>
                <w:lang w:val="fr-FR"/>
              </w:rPr>
              <w:t>a</w:t>
            </w:r>
            <w:r w:rsidR="00CF59B8" w:rsidRPr="00183F00">
              <w:rPr>
                <w:sz w:val="22"/>
                <w:szCs w:val="22"/>
                <w:lang w:val="fr-FR"/>
              </w:rPr>
              <w:t>u paragraphe 2.1.2 sont indiqués dans le document AEWA/MOP 5.20.</w:t>
            </w:r>
          </w:p>
          <w:p w:rsidR="00F06368" w:rsidRPr="00183F00" w:rsidRDefault="00F06368" w:rsidP="00F06368">
            <w:pPr>
              <w:jc w:val="both"/>
              <w:rPr>
                <w:sz w:val="22"/>
                <w:szCs w:val="22"/>
                <w:lang w:val="fr-FR"/>
              </w:rPr>
            </w:pPr>
          </w:p>
          <w:p w:rsidR="007E23DA" w:rsidRPr="00183F00" w:rsidRDefault="00CF59B8" w:rsidP="00782849">
            <w:pPr>
              <w:numPr>
                <w:ilvl w:val="0"/>
                <w:numId w:val="8"/>
              </w:numPr>
              <w:jc w:val="both"/>
              <w:rPr>
                <w:sz w:val="22"/>
                <w:szCs w:val="22"/>
                <w:lang w:val="fr-FR"/>
              </w:rPr>
            </w:pPr>
            <w:r w:rsidRPr="00183F00">
              <w:rPr>
                <w:sz w:val="22"/>
                <w:szCs w:val="22"/>
                <w:lang w:val="fr-FR"/>
              </w:rPr>
              <w:t xml:space="preserve">Au cours de l’évaluation de la classification taxonomique des oiseaux la plus appropriée pour les besoins de l’Accord, le </w:t>
            </w:r>
            <w:r w:rsidR="001348BF">
              <w:rPr>
                <w:sz w:val="22"/>
                <w:szCs w:val="22"/>
                <w:lang w:val="fr-FR"/>
              </w:rPr>
              <w:t>CT</w:t>
            </w:r>
            <w:r w:rsidRPr="00183F00">
              <w:rPr>
                <w:sz w:val="22"/>
                <w:szCs w:val="22"/>
                <w:lang w:val="fr-FR"/>
              </w:rPr>
              <w:t xml:space="preserve"> a pris en considération le rapport </w:t>
            </w:r>
            <w:r w:rsidR="002F3D3C" w:rsidRPr="00183F00">
              <w:rPr>
                <w:sz w:val="22"/>
                <w:szCs w:val="22"/>
                <w:lang w:val="fr-FR"/>
              </w:rPr>
              <w:t>du g</w:t>
            </w:r>
            <w:r w:rsidRPr="00183F00">
              <w:rPr>
                <w:sz w:val="22"/>
                <w:szCs w:val="22"/>
                <w:lang w:val="fr-FR"/>
              </w:rPr>
              <w:t xml:space="preserve">roupe de travail </w:t>
            </w:r>
            <w:r w:rsidR="003227EA" w:rsidRPr="00183F00">
              <w:rPr>
                <w:sz w:val="22"/>
                <w:szCs w:val="22"/>
                <w:lang w:val="fr-FR"/>
              </w:rPr>
              <w:t>du Conseil scientifique intersession</w:t>
            </w:r>
            <w:r w:rsidR="00197B98" w:rsidRPr="00183F00">
              <w:rPr>
                <w:sz w:val="22"/>
                <w:szCs w:val="22"/>
                <w:lang w:val="fr-FR"/>
              </w:rPr>
              <w:t>nel</w:t>
            </w:r>
            <w:r w:rsidR="003227EA" w:rsidRPr="00183F00">
              <w:rPr>
                <w:sz w:val="22"/>
                <w:szCs w:val="22"/>
                <w:lang w:val="fr-FR"/>
              </w:rPr>
              <w:t xml:space="preserve"> de la CMS</w:t>
            </w:r>
            <w:r w:rsidRPr="00183F00">
              <w:rPr>
                <w:sz w:val="22"/>
                <w:szCs w:val="22"/>
                <w:lang w:val="fr-FR"/>
              </w:rPr>
              <w:t xml:space="preserve"> </w:t>
            </w:r>
            <w:r w:rsidR="003227EA" w:rsidRPr="00183F00">
              <w:rPr>
                <w:sz w:val="22"/>
                <w:szCs w:val="22"/>
                <w:lang w:val="fr-FR"/>
              </w:rPr>
              <w:t>sur la taxonomie et la nomenclature des oiseaux.</w:t>
            </w:r>
            <w:r w:rsidR="003A2349" w:rsidRPr="00183F00">
              <w:rPr>
                <w:sz w:val="22"/>
                <w:szCs w:val="22"/>
                <w:lang w:val="fr-FR"/>
              </w:rPr>
              <w:t xml:space="preserve"> </w:t>
            </w:r>
            <w:r w:rsidR="00307406" w:rsidRPr="00183F00">
              <w:rPr>
                <w:sz w:val="22"/>
                <w:szCs w:val="22"/>
                <w:lang w:val="fr-FR"/>
              </w:rPr>
              <w:t>Ce groupe a proposé qu’en dehors des oiseaux relevant de l’Accord sur la conservation des albatros et des pétrels (ACAP), la CMS suiv</w:t>
            </w:r>
            <w:r w:rsidR="00BB1613" w:rsidRPr="00183F00">
              <w:rPr>
                <w:sz w:val="22"/>
                <w:szCs w:val="22"/>
                <w:lang w:val="fr-FR"/>
              </w:rPr>
              <w:t>e</w:t>
            </w:r>
            <w:r w:rsidR="00307406" w:rsidRPr="00183F00">
              <w:rPr>
                <w:sz w:val="22"/>
                <w:szCs w:val="22"/>
                <w:lang w:val="fr-FR"/>
              </w:rPr>
              <w:t xml:space="preserve"> la taxonomie et la nomenclature de Dickinson (2003). Le </w:t>
            </w:r>
            <w:r w:rsidR="001348BF">
              <w:rPr>
                <w:sz w:val="22"/>
                <w:szCs w:val="22"/>
                <w:lang w:val="fr-FR"/>
              </w:rPr>
              <w:t>CT</w:t>
            </w:r>
            <w:r w:rsidR="00307406" w:rsidRPr="00183F00">
              <w:rPr>
                <w:sz w:val="22"/>
                <w:szCs w:val="22"/>
                <w:lang w:val="fr-FR"/>
              </w:rPr>
              <w:t xml:space="preserve"> a examiné tous les aspects des classifications taxonomiques dans le cas des espèces de l’AEWA </w:t>
            </w:r>
            <w:r w:rsidR="002F3D3C" w:rsidRPr="00183F00">
              <w:rPr>
                <w:sz w:val="22"/>
                <w:szCs w:val="22"/>
                <w:lang w:val="fr-FR"/>
              </w:rPr>
              <w:t xml:space="preserve">et bien qu’il y ait des avantages évidents à aligner la taxonomie utilisée par la </w:t>
            </w:r>
            <w:r w:rsidR="00307406" w:rsidRPr="00183F00">
              <w:rPr>
                <w:sz w:val="22"/>
                <w:szCs w:val="22"/>
                <w:lang w:val="fr-FR"/>
              </w:rPr>
              <w:t xml:space="preserve">CMS </w:t>
            </w:r>
            <w:r w:rsidR="002F3D3C" w:rsidRPr="00183F00">
              <w:rPr>
                <w:sz w:val="22"/>
                <w:szCs w:val="22"/>
                <w:lang w:val="fr-FR"/>
              </w:rPr>
              <w:t>et l’</w:t>
            </w:r>
            <w:r w:rsidR="00307406" w:rsidRPr="00183F00">
              <w:rPr>
                <w:sz w:val="22"/>
                <w:szCs w:val="22"/>
                <w:lang w:val="fr-FR"/>
              </w:rPr>
              <w:t xml:space="preserve">AEWA, </w:t>
            </w:r>
            <w:r w:rsidR="002F3D3C" w:rsidRPr="00183F00">
              <w:rPr>
                <w:sz w:val="22"/>
                <w:szCs w:val="22"/>
                <w:lang w:val="fr-FR"/>
              </w:rPr>
              <w:t>et</w:t>
            </w:r>
            <w:r w:rsidR="00307406" w:rsidRPr="00183F00">
              <w:rPr>
                <w:sz w:val="22"/>
                <w:szCs w:val="22"/>
                <w:lang w:val="fr-FR"/>
              </w:rPr>
              <w:t xml:space="preserve">, </w:t>
            </w:r>
            <w:r w:rsidR="002F3D3C" w:rsidRPr="00183F00">
              <w:rPr>
                <w:sz w:val="22"/>
                <w:szCs w:val="22"/>
                <w:lang w:val="fr-FR"/>
              </w:rPr>
              <w:t xml:space="preserve">malgré l’inconvénient éventuel noté par le groupe de travail de la </w:t>
            </w:r>
            <w:r w:rsidR="00307406" w:rsidRPr="00183F00">
              <w:rPr>
                <w:sz w:val="22"/>
                <w:szCs w:val="22"/>
                <w:lang w:val="fr-FR"/>
              </w:rPr>
              <w:t>CMS</w:t>
            </w:r>
            <w:r w:rsidR="002F3D3C" w:rsidRPr="00183F00">
              <w:rPr>
                <w:sz w:val="22"/>
                <w:szCs w:val="22"/>
                <w:lang w:val="fr-FR"/>
              </w:rPr>
              <w:t xml:space="preserve">, représenté par le fait que la </w:t>
            </w:r>
            <w:r w:rsidR="00BB1613" w:rsidRPr="00183F00">
              <w:rPr>
                <w:sz w:val="22"/>
                <w:szCs w:val="22"/>
                <w:lang w:val="fr-FR"/>
              </w:rPr>
              <w:t>liste de référence taxonomique de</w:t>
            </w:r>
            <w:r w:rsidR="00307406" w:rsidRPr="00183F00">
              <w:rPr>
                <w:sz w:val="22"/>
                <w:szCs w:val="22"/>
                <w:lang w:val="fr-FR"/>
              </w:rPr>
              <w:t xml:space="preserve"> BirdLife International</w:t>
            </w:r>
            <w:r w:rsidR="00BB1613" w:rsidRPr="00183F00">
              <w:rPr>
                <w:sz w:val="22"/>
                <w:szCs w:val="22"/>
                <w:lang w:val="fr-FR"/>
              </w:rPr>
              <w:t xml:space="preserve"> ne soit pas imprimée</w:t>
            </w:r>
            <w:r w:rsidR="00307406" w:rsidRPr="00183F00">
              <w:rPr>
                <w:sz w:val="22"/>
                <w:szCs w:val="22"/>
                <w:lang w:val="fr-FR"/>
              </w:rPr>
              <w:t>, i</w:t>
            </w:r>
            <w:r w:rsidR="00BB1613" w:rsidRPr="00183F00">
              <w:rPr>
                <w:sz w:val="22"/>
                <w:szCs w:val="22"/>
                <w:lang w:val="fr-FR"/>
              </w:rPr>
              <w:t>l a considéré que la taxonomie de</w:t>
            </w:r>
            <w:r w:rsidR="00307406" w:rsidRPr="00183F00">
              <w:rPr>
                <w:sz w:val="22"/>
                <w:szCs w:val="22"/>
                <w:lang w:val="fr-FR"/>
              </w:rPr>
              <w:t xml:space="preserve"> BirdLife </w:t>
            </w:r>
            <w:r w:rsidR="00BB1613" w:rsidRPr="00183F00">
              <w:rPr>
                <w:sz w:val="22"/>
                <w:szCs w:val="22"/>
                <w:lang w:val="fr-FR"/>
              </w:rPr>
              <w:t>était plus appropriée</w:t>
            </w:r>
            <w:r w:rsidR="00307406" w:rsidRPr="00183F00">
              <w:rPr>
                <w:sz w:val="22"/>
                <w:szCs w:val="22"/>
                <w:lang w:val="fr-FR"/>
              </w:rPr>
              <w:t>.</w:t>
            </w:r>
            <w:r w:rsidR="003A2349" w:rsidRPr="00183F00">
              <w:rPr>
                <w:sz w:val="22"/>
                <w:szCs w:val="22"/>
                <w:lang w:val="fr-FR"/>
              </w:rPr>
              <w:t xml:space="preserve"> </w:t>
            </w:r>
            <w:r w:rsidR="00BB1613" w:rsidRPr="00183F00">
              <w:rPr>
                <w:sz w:val="22"/>
                <w:szCs w:val="22"/>
                <w:lang w:val="fr-FR"/>
              </w:rPr>
              <w:t xml:space="preserve">Le </w:t>
            </w:r>
            <w:r w:rsidR="001348BF">
              <w:rPr>
                <w:sz w:val="22"/>
                <w:szCs w:val="22"/>
                <w:lang w:val="fr-FR"/>
              </w:rPr>
              <w:t>CT</w:t>
            </w:r>
            <w:r w:rsidR="00BB1613" w:rsidRPr="00183F00">
              <w:rPr>
                <w:sz w:val="22"/>
                <w:szCs w:val="22"/>
                <w:lang w:val="fr-FR"/>
              </w:rPr>
              <w:t xml:space="preserve"> a</w:t>
            </w:r>
            <w:r w:rsidR="002F5018" w:rsidRPr="00183F00">
              <w:rPr>
                <w:sz w:val="22"/>
                <w:szCs w:val="22"/>
                <w:lang w:val="fr-FR"/>
              </w:rPr>
              <w:t xml:space="preserve"> donc </w:t>
            </w:r>
            <w:r w:rsidR="00BB1613" w:rsidRPr="00183F00">
              <w:rPr>
                <w:sz w:val="22"/>
                <w:szCs w:val="22"/>
                <w:lang w:val="fr-FR"/>
              </w:rPr>
              <w:t xml:space="preserve">compilé une communication </w:t>
            </w:r>
            <w:r w:rsidR="002F5018" w:rsidRPr="00183F00">
              <w:rPr>
                <w:sz w:val="22"/>
                <w:szCs w:val="22"/>
                <w:lang w:val="fr-FR"/>
              </w:rPr>
              <w:t xml:space="preserve">destinée </w:t>
            </w:r>
            <w:r w:rsidR="00C62DE6" w:rsidRPr="00183F00">
              <w:rPr>
                <w:sz w:val="22"/>
                <w:szCs w:val="22"/>
                <w:lang w:val="fr-FR"/>
              </w:rPr>
              <w:t>au groupe de travail de la</w:t>
            </w:r>
            <w:r w:rsidR="00BB1613" w:rsidRPr="00183F00">
              <w:rPr>
                <w:sz w:val="22"/>
                <w:szCs w:val="22"/>
                <w:lang w:val="fr-FR"/>
              </w:rPr>
              <w:t xml:space="preserve"> CMS</w:t>
            </w:r>
            <w:r w:rsidR="00C62DE6" w:rsidRPr="00183F00">
              <w:rPr>
                <w:sz w:val="22"/>
                <w:szCs w:val="22"/>
                <w:lang w:val="fr-FR"/>
              </w:rPr>
              <w:t xml:space="preserve">, contenant un tableau </w:t>
            </w:r>
            <w:r w:rsidR="005629EF" w:rsidRPr="00183F00">
              <w:rPr>
                <w:sz w:val="22"/>
                <w:szCs w:val="22"/>
                <w:lang w:val="fr-FR"/>
              </w:rPr>
              <w:t>décrivant</w:t>
            </w:r>
            <w:r w:rsidR="00C62DE6" w:rsidRPr="00183F00">
              <w:rPr>
                <w:sz w:val="22"/>
                <w:szCs w:val="22"/>
                <w:lang w:val="fr-FR"/>
              </w:rPr>
              <w:t xml:space="preserve"> les raisons pragmatiques et financières, et les avantages pour l’AEWA, à préférer la taxonomie de</w:t>
            </w:r>
            <w:r w:rsidR="00BB1613" w:rsidRPr="00183F00">
              <w:rPr>
                <w:sz w:val="22"/>
                <w:szCs w:val="22"/>
                <w:lang w:val="fr-FR"/>
              </w:rPr>
              <w:t xml:space="preserve"> BirdLife</w:t>
            </w:r>
            <w:r w:rsidR="00C62DE6" w:rsidRPr="00183F00">
              <w:rPr>
                <w:sz w:val="22"/>
                <w:szCs w:val="22"/>
                <w:lang w:val="fr-FR"/>
              </w:rPr>
              <w:t xml:space="preserve"> à celle de</w:t>
            </w:r>
            <w:r w:rsidR="00BB1613" w:rsidRPr="00183F00">
              <w:rPr>
                <w:sz w:val="22"/>
                <w:szCs w:val="22"/>
                <w:lang w:val="fr-FR"/>
              </w:rPr>
              <w:t xml:space="preserve"> Dickinson.</w:t>
            </w:r>
            <w:r w:rsidR="003A2349" w:rsidRPr="00183F00">
              <w:rPr>
                <w:sz w:val="22"/>
                <w:szCs w:val="22"/>
                <w:lang w:val="fr-FR"/>
              </w:rPr>
              <w:t xml:space="preserve"> </w:t>
            </w:r>
            <w:r w:rsidR="00C62DE6" w:rsidRPr="00183F00">
              <w:rPr>
                <w:sz w:val="22"/>
                <w:szCs w:val="22"/>
                <w:lang w:val="fr-FR"/>
              </w:rPr>
              <w:lastRenderedPageBreak/>
              <w:t>Lors de la 10</w:t>
            </w:r>
            <w:r w:rsidR="00C62DE6" w:rsidRPr="00183F00">
              <w:rPr>
                <w:sz w:val="22"/>
                <w:szCs w:val="22"/>
                <w:vertAlign w:val="superscript"/>
                <w:lang w:val="fr-FR"/>
              </w:rPr>
              <w:t>ème</w:t>
            </w:r>
            <w:r w:rsidR="00C62DE6" w:rsidRPr="00183F00">
              <w:rPr>
                <w:sz w:val="22"/>
                <w:szCs w:val="22"/>
                <w:lang w:val="fr-FR"/>
              </w:rPr>
              <w:t xml:space="preserve"> Conférence des Parties à la CMS, fin 2011, les Parties à la CMS ont décidé de remettre la décision à la prochaine réunion, et ont demandé </w:t>
            </w:r>
            <w:r w:rsidR="00A80639" w:rsidRPr="00183F00">
              <w:rPr>
                <w:sz w:val="22"/>
                <w:szCs w:val="22"/>
                <w:lang w:val="fr-FR"/>
              </w:rPr>
              <w:t>au président du Comité scientifique de la CMS</w:t>
            </w:r>
            <w:r w:rsidR="00C62DE6" w:rsidRPr="00183F00">
              <w:rPr>
                <w:sz w:val="22"/>
                <w:szCs w:val="22"/>
                <w:lang w:val="fr-FR"/>
              </w:rPr>
              <w:t xml:space="preserve"> </w:t>
            </w:r>
            <w:r w:rsidR="00A80639" w:rsidRPr="00183F00">
              <w:rPr>
                <w:sz w:val="22"/>
                <w:szCs w:val="22"/>
                <w:lang w:val="fr-FR"/>
              </w:rPr>
              <w:t xml:space="preserve">de </w:t>
            </w:r>
            <w:r w:rsidR="00C62DE6" w:rsidRPr="00183F00">
              <w:rPr>
                <w:sz w:val="22"/>
                <w:szCs w:val="22"/>
                <w:lang w:val="fr-FR"/>
              </w:rPr>
              <w:t>consult</w:t>
            </w:r>
            <w:r w:rsidR="00A80639" w:rsidRPr="00183F00">
              <w:rPr>
                <w:sz w:val="22"/>
                <w:szCs w:val="22"/>
                <w:lang w:val="fr-FR"/>
              </w:rPr>
              <w:t>er les autres AEM liés à la biodiversité et autres parties prenantes</w:t>
            </w:r>
            <w:r w:rsidR="00C62DE6" w:rsidRPr="00183F00">
              <w:rPr>
                <w:sz w:val="22"/>
                <w:szCs w:val="22"/>
                <w:lang w:val="fr-FR"/>
              </w:rPr>
              <w:t>.</w:t>
            </w:r>
            <w:r w:rsidR="00F06368" w:rsidRPr="00183F00">
              <w:rPr>
                <w:sz w:val="22"/>
                <w:szCs w:val="22"/>
                <w:lang w:val="fr-FR"/>
              </w:rPr>
              <w:t xml:space="preserve"> </w:t>
            </w:r>
            <w:r w:rsidR="00A80639" w:rsidRPr="00183F00">
              <w:rPr>
                <w:sz w:val="22"/>
                <w:szCs w:val="22"/>
                <w:lang w:val="fr-FR"/>
              </w:rPr>
              <w:t xml:space="preserve">Par conséquent, le </w:t>
            </w:r>
            <w:r w:rsidR="001348BF">
              <w:rPr>
                <w:sz w:val="22"/>
                <w:szCs w:val="22"/>
                <w:lang w:val="fr-FR"/>
              </w:rPr>
              <w:t>CT</w:t>
            </w:r>
            <w:r w:rsidR="00A80639" w:rsidRPr="00183F00">
              <w:rPr>
                <w:sz w:val="22"/>
                <w:szCs w:val="22"/>
                <w:lang w:val="fr-FR"/>
              </w:rPr>
              <w:t xml:space="preserve"> n’a pas fait de proposition à la MOP5 et </w:t>
            </w:r>
            <w:r w:rsidR="00E0718B" w:rsidRPr="00183F00">
              <w:rPr>
                <w:sz w:val="22"/>
                <w:szCs w:val="22"/>
                <w:lang w:val="fr-FR"/>
              </w:rPr>
              <w:t xml:space="preserve"> il </w:t>
            </w:r>
            <w:r w:rsidR="00A80639" w:rsidRPr="00183F00">
              <w:rPr>
                <w:sz w:val="22"/>
                <w:szCs w:val="22"/>
                <w:lang w:val="fr-FR"/>
              </w:rPr>
              <w:t>continuera à travailler à cette question durant</w:t>
            </w:r>
            <w:r w:rsidR="00E0718B" w:rsidRPr="00183F00">
              <w:rPr>
                <w:sz w:val="22"/>
                <w:szCs w:val="22"/>
                <w:lang w:val="fr-FR"/>
              </w:rPr>
              <w:t xml:space="preserve"> </w:t>
            </w:r>
            <w:r w:rsidR="00A80639" w:rsidRPr="00183F00">
              <w:rPr>
                <w:sz w:val="22"/>
                <w:szCs w:val="22"/>
                <w:lang w:val="fr-FR"/>
              </w:rPr>
              <w:t>la prochaine période intersession</w:t>
            </w:r>
            <w:r w:rsidR="00197B98" w:rsidRPr="00183F00">
              <w:rPr>
                <w:sz w:val="22"/>
                <w:szCs w:val="22"/>
                <w:lang w:val="fr-FR"/>
              </w:rPr>
              <w:t>nelle</w:t>
            </w:r>
            <w:r w:rsidR="00A80639" w:rsidRPr="00183F00">
              <w:rPr>
                <w:sz w:val="22"/>
                <w:szCs w:val="22"/>
                <w:lang w:val="fr-FR"/>
              </w:rPr>
              <w:t>, en collaboration avec le Conseil scientifique de la CMS.</w:t>
            </w:r>
          </w:p>
          <w:p w:rsidR="00F06368" w:rsidRPr="00183F00" w:rsidRDefault="00F06368" w:rsidP="00F06368">
            <w:pPr>
              <w:ind w:left="720"/>
              <w:jc w:val="both"/>
              <w:rPr>
                <w:sz w:val="22"/>
                <w:szCs w:val="22"/>
                <w:lang w:val="fr-FR"/>
              </w:rPr>
            </w:pPr>
          </w:p>
          <w:p w:rsidR="00301240" w:rsidRPr="00183F00" w:rsidRDefault="00013239" w:rsidP="00782849">
            <w:pPr>
              <w:numPr>
                <w:ilvl w:val="0"/>
                <w:numId w:val="8"/>
              </w:numPr>
              <w:jc w:val="both"/>
              <w:rPr>
                <w:sz w:val="22"/>
                <w:szCs w:val="22"/>
                <w:lang w:val="fr-FR"/>
              </w:rPr>
            </w:pPr>
            <w:r w:rsidRPr="00183F00">
              <w:rPr>
                <w:sz w:val="22"/>
                <w:szCs w:val="22"/>
                <w:lang w:val="fr-FR"/>
              </w:rPr>
              <w:t xml:space="preserve">La MOP4 a demandé au </w:t>
            </w:r>
            <w:r w:rsidR="001348BF">
              <w:rPr>
                <w:sz w:val="22"/>
                <w:szCs w:val="22"/>
                <w:lang w:val="fr-FR"/>
              </w:rPr>
              <w:t>CT</w:t>
            </w:r>
            <w:r w:rsidRPr="00183F00">
              <w:rPr>
                <w:sz w:val="22"/>
                <w:szCs w:val="22"/>
                <w:lang w:val="fr-FR"/>
              </w:rPr>
              <w:t xml:space="preserve"> de proposer</w:t>
            </w:r>
            <w:r w:rsidR="00A80639" w:rsidRPr="00183F00">
              <w:rPr>
                <w:sz w:val="22"/>
                <w:szCs w:val="22"/>
                <w:lang w:val="fr-FR"/>
              </w:rPr>
              <w:t xml:space="preserve"> d</w:t>
            </w:r>
            <w:r w:rsidRPr="00183F00">
              <w:rPr>
                <w:sz w:val="22"/>
                <w:szCs w:val="22"/>
                <w:lang w:val="fr-FR"/>
              </w:rPr>
              <w:t xml:space="preserve">es </w:t>
            </w:r>
            <w:r w:rsidR="00A80639" w:rsidRPr="00183F00">
              <w:rPr>
                <w:sz w:val="22"/>
                <w:szCs w:val="22"/>
                <w:lang w:val="fr-FR"/>
              </w:rPr>
              <w:t>amend</w:t>
            </w:r>
            <w:r w:rsidR="00E0718B" w:rsidRPr="00183F00">
              <w:rPr>
                <w:sz w:val="22"/>
                <w:szCs w:val="22"/>
                <w:lang w:val="fr-FR"/>
              </w:rPr>
              <w:t>e</w:t>
            </w:r>
            <w:r w:rsidR="00A80639" w:rsidRPr="00183F00">
              <w:rPr>
                <w:sz w:val="22"/>
                <w:szCs w:val="22"/>
                <w:lang w:val="fr-FR"/>
              </w:rPr>
              <w:t>ment</w:t>
            </w:r>
            <w:r w:rsidR="005629EF" w:rsidRPr="00183F00">
              <w:rPr>
                <w:sz w:val="22"/>
                <w:szCs w:val="22"/>
                <w:lang w:val="fr-FR"/>
              </w:rPr>
              <w:t>s</w:t>
            </w:r>
            <w:r w:rsidR="00A80639" w:rsidRPr="00183F00">
              <w:rPr>
                <w:sz w:val="22"/>
                <w:szCs w:val="22"/>
                <w:lang w:val="fr-FR"/>
              </w:rPr>
              <w:t xml:space="preserve"> </w:t>
            </w:r>
            <w:r w:rsidRPr="00183F00">
              <w:rPr>
                <w:sz w:val="22"/>
                <w:szCs w:val="22"/>
                <w:lang w:val="fr-FR"/>
              </w:rPr>
              <w:t>a</w:t>
            </w:r>
            <w:r w:rsidR="00A80639" w:rsidRPr="00183F00">
              <w:rPr>
                <w:sz w:val="22"/>
                <w:szCs w:val="22"/>
                <w:lang w:val="fr-FR"/>
              </w:rPr>
              <w:t>u Plan d’action de l’AEWA concernant les effets des espèces aquatiques invasives non indigènes sur les habitats des oiseaux d’eau</w:t>
            </w:r>
            <w:r w:rsidRPr="00183F00">
              <w:rPr>
                <w:sz w:val="22"/>
                <w:szCs w:val="22"/>
                <w:lang w:val="fr-FR"/>
              </w:rPr>
              <w:t>.</w:t>
            </w:r>
            <w:r w:rsidR="00301240" w:rsidRPr="00183F00">
              <w:rPr>
                <w:sz w:val="22"/>
                <w:szCs w:val="22"/>
                <w:lang w:val="fr-FR"/>
              </w:rPr>
              <w:t xml:space="preserve"> </w:t>
            </w:r>
            <w:r w:rsidRPr="00183F00">
              <w:rPr>
                <w:sz w:val="22"/>
                <w:szCs w:val="22"/>
                <w:lang w:val="fr-FR"/>
              </w:rPr>
              <w:t xml:space="preserve">Le paragraphe le plus approprié pour </w:t>
            </w:r>
            <w:r w:rsidR="00E0718B" w:rsidRPr="00183F00">
              <w:rPr>
                <w:sz w:val="22"/>
                <w:szCs w:val="22"/>
                <w:lang w:val="fr-FR"/>
              </w:rPr>
              <w:t>inclure ces amendements</w:t>
            </w:r>
            <w:r w:rsidRPr="00183F00">
              <w:rPr>
                <w:sz w:val="22"/>
                <w:szCs w:val="22"/>
                <w:lang w:val="fr-FR"/>
              </w:rPr>
              <w:t xml:space="preserve"> est le paragraphe 3.3. du Plan d’action de l’AEWA, traitant de la réhabilitation et de </w:t>
            </w:r>
            <w:smartTag w:uri="urn:schemas-microsoft-com:office:smarttags" w:element="PersonName">
              <w:smartTagPr>
                <w:attr w:name="ProductID" w:val="la restauration. On"/>
              </w:smartTagPr>
              <w:r w:rsidRPr="00183F00">
                <w:rPr>
                  <w:sz w:val="22"/>
                  <w:szCs w:val="22"/>
                  <w:lang w:val="fr-FR"/>
                </w:rPr>
                <w:t>la restauration.</w:t>
              </w:r>
              <w:r w:rsidR="00301240" w:rsidRPr="00183F00">
                <w:rPr>
                  <w:sz w:val="22"/>
                  <w:szCs w:val="22"/>
                  <w:lang w:val="fr-FR"/>
                </w:rPr>
                <w:t xml:space="preserve"> </w:t>
              </w:r>
              <w:r w:rsidR="00AF4198" w:rsidRPr="00183F00">
                <w:rPr>
                  <w:sz w:val="22"/>
                  <w:szCs w:val="22"/>
                  <w:lang w:val="fr-FR"/>
                </w:rPr>
                <w:t>On</w:t>
              </w:r>
            </w:smartTag>
            <w:r w:rsidR="00AF4198" w:rsidRPr="00183F00">
              <w:rPr>
                <w:sz w:val="22"/>
                <w:szCs w:val="22"/>
                <w:lang w:val="fr-FR"/>
              </w:rPr>
              <w:t xml:space="preserve"> a toutefois noté qu’il ne serait pas approprié de </w:t>
            </w:r>
            <w:r w:rsidR="00E0718B" w:rsidRPr="00183F00">
              <w:rPr>
                <w:sz w:val="22"/>
                <w:szCs w:val="22"/>
                <w:lang w:val="fr-FR"/>
              </w:rPr>
              <w:t xml:space="preserve">mettre </w:t>
            </w:r>
            <w:r w:rsidR="00AF4198" w:rsidRPr="00183F00">
              <w:rPr>
                <w:sz w:val="22"/>
                <w:szCs w:val="22"/>
                <w:lang w:val="fr-FR"/>
              </w:rPr>
              <w:t>uniquement l</w:t>
            </w:r>
            <w:r w:rsidR="00E0718B" w:rsidRPr="00183F00">
              <w:rPr>
                <w:sz w:val="22"/>
                <w:szCs w:val="22"/>
                <w:lang w:val="fr-FR"/>
              </w:rPr>
              <w:t>’accent sur l</w:t>
            </w:r>
            <w:r w:rsidR="00AF4198" w:rsidRPr="00183F00">
              <w:rPr>
                <w:sz w:val="22"/>
                <w:szCs w:val="22"/>
                <w:lang w:val="fr-FR"/>
              </w:rPr>
              <w:t xml:space="preserve">es espèces </w:t>
            </w:r>
            <w:r w:rsidR="00436D54" w:rsidRPr="00183F00">
              <w:rPr>
                <w:sz w:val="22"/>
                <w:szCs w:val="22"/>
                <w:lang w:val="fr-FR"/>
              </w:rPr>
              <w:t>aquatiques</w:t>
            </w:r>
            <w:r w:rsidR="00AF4198" w:rsidRPr="00183F00">
              <w:rPr>
                <w:sz w:val="22"/>
                <w:szCs w:val="22"/>
                <w:lang w:val="fr-FR"/>
              </w:rPr>
              <w:t xml:space="preserve"> invasives non indigènes.</w:t>
            </w:r>
            <w:r w:rsidR="00301240" w:rsidRPr="00183F00">
              <w:rPr>
                <w:sz w:val="22"/>
                <w:szCs w:val="22"/>
                <w:lang w:val="fr-FR"/>
              </w:rPr>
              <w:t xml:space="preserve"> </w:t>
            </w:r>
            <w:r w:rsidR="00AF4198" w:rsidRPr="00183F00">
              <w:rPr>
                <w:sz w:val="22"/>
                <w:szCs w:val="22"/>
                <w:lang w:val="fr-FR"/>
              </w:rPr>
              <w:t>Par conséquent, la liste d’autres impacts et facteurs pouvant entraîner la dégradation d’habitats est ajoutée au paragraphe 3.3 (voir document AEWA/MOP 5.20).</w:t>
            </w:r>
          </w:p>
          <w:p w:rsidR="00430B3D" w:rsidRPr="00183F00" w:rsidRDefault="00430B3D" w:rsidP="00CA73C7">
            <w:pPr>
              <w:jc w:val="both"/>
              <w:rPr>
                <w:sz w:val="22"/>
                <w:szCs w:val="22"/>
                <w:lang w:val="fr-FR"/>
              </w:rPr>
            </w:pPr>
          </w:p>
          <w:bookmarkEnd w:id="0"/>
          <w:bookmarkEnd w:id="1"/>
          <w:p w:rsidR="00B50B65" w:rsidRPr="00183F00" w:rsidRDefault="00B50B65" w:rsidP="00022B21">
            <w:pPr>
              <w:jc w:val="both"/>
              <w:rPr>
                <w:sz w:val="22"/>
                <w:szCs w:val="22"/>
                <w:lang w:val="fr-FR"/>
              </w:rPr>
            </w:pPr>
          </w:p>
        </w:tc>
      </w:tr>
      <w:tr w:rsidR="00B50B65" w:rsidRPr="00183F00">
        <w:tblPrEx>
          <w:tblCellMar>
            <w:top w:w="0" w:type="dxa"/>
            <w:bottom w:w="0" w:type="dxa"/>
          </w:tblCellMar>
        </w:tblPrEx>
        <w:tc>
          <w:tcPr>
            <w:tcW w:w="3369" w:type="dxa"/>
            <w:tcBorders>
              <w:top w:val="single" w:sz="4" w:space="0" w:color="auto"/>
              <w:bottom w:val="single" w:sz="4" w:space="0" w:color="auto"/>
            </w:tcBorders>
          </w:tcPr>
          <w:p w:rsidR="00B50B65" w:rsidRPr="00183F00" w:rsidRDefault="00B50B65" w:rsidP="00CA73C7">
            <w:pPr>
              <w:rPr>
                <w:color w:val="0000FF"/>
                <w:sz w:val="20"/>
                <w:lang w:val="fr-FR"/>
              </w:rPr>
            </w:pPr>
          </w:p>
          <w:p w:rsidR="007A6251" w:rsidRPr="00183F00" w:rsidRDefault="00B50B65" w:rsidP="007A6251">
            <w:pPr>
              <w:rPr>
                <w:b/>
                <w:sz w:val="20"/>
                <w:lang w:val="fr-FR"/>
              </w:rPr>
            </w:pPr>
            <w:r w:rsidRPr="00183F00">
              <w:rPr>
                <w:b/>
                <w:bCs/>
                <w:sz w:val="20"/>
                <w:lang w:val="fr-FR"/>
              </w:rPr>
              <w:t xml:space="preserve">4. </w:t>
            </w:r>
            <w:r w:rsidR="00AF4198" w:rsidRPr="00183F00">
              <w:rPr>
                <w:b/>
                <w:sz w:val="20"/>
                <w:lang w:val="fr-FR"/>
              </w:rPr>
              <w:t>Critères du tableau 1</w:t>
            </w:r>
          </w:p>
          <w:p w:rsidR="007A6251" w:rsidRPr="00183F00" w:rsidRDefault="007A6251" w:rsidP="007A6251">
            <w:pPr>
              <w:rPr>
                <w:sz w:val="20"/>
                <w:lang w:val="fr-FR"/>
              </w:rPr>
            </w:pPr>
          </w:p>
          <w:p w:rsidR="00B50B65" w:rsidRPr="00183F00" w:rsidRDefault="00E0718B" w:rsidP="007A6251">
            <w:pPr>
              <w:rPr>
                <w:sz w:val="20"/>
                <w:szCs w:val="22"/>
                <w:lang w:val="fr-FR"/>
              </w:rPr>
            </w:pPr>
            <w:r w:rsidRPr="00183F00">
              <w:rPr>
                <w:sz w:val="20"/>
                <w:lang w:val="fr-FR"/>
              </w:rPr>
              <w:t>Élaborer des conseils</w:t>
            </w:r>
            <w:r w:rsidR="00E04CD0" w:rsidRPr="00183F00">
              <w:rPr>
                <w:sz w:val="20"/>
                <w:lang w:val="fr-FR"/>
              </w:rPr>
              <w:t xml:space="preserve"> pour l’interprétation </w:t>
            </w:r>
            <w:r w:rsidR="00AF4198" w:rsidRPr="00183F00">
              <w:rPr>
                <w:sz w:val="20"/>
                <w:lang w:val="fr-FR"/>
              </w:rPr>
              <w:t>du terme «</w:t>
            </w:r>
            <w:r w:rsidR="00AF4198" w:rsidRPr="00183F00">
              <w:rPr>
                <w:i/>
                <w:sz w:val="20"/>
                <w:lang w:val="fr-FR"/>
              </w:rPr>
              <w:t xml:space="preserve"> fluctuations </w:t>
            </w:r>
            <w:r w:rsidR="007E166A" w:rsidRPr="00183F00">
              <w:rPr>
                <w:i/>
                <w:sz w:val="20"/>
                <w:lang w:val="fr-FR"/>
              </w:rPr>
              <w:t xml:space="preserve">extrêmes </w:t>
            </w:r>
            <w:r w:rsidR="00AF4198" w:rsidRPr="00183F00">
              <w:rPr>
                <w:i/>
                <w:sz w:val="20"/>
                <w:lang w:val="fr-FR"/>
              </w:rPr>
              <w:t>de la taille et de la tendance d’une population</w:t>
            </w:r>
            <w:r w:rsidR="00AF4198" w:rsidRPr="00183F00">
              <w:rPr>
                <w:sz w:val="20"/>
                <w:lang w:val="fr-FR"/>
              </w:rPr>
              <w:t> »</w:t>
            </w:r>
            <w:r w:rsidR="00BB3773" w:rsidRPr="00183F00">
              <w:rPr>
                <w:sz w:val="20"/>
                <w:lang w:val="fr-FR"/>
              </w:rPr>
              <w:t>,</w:t>
            </w:r>
            <w:r w:rsidR="00AF4198" w:rsidRPr="00183F00">
              <w:rPr>
                <w:sz w:val="20"/>
                <w:lang w:val="fr-FR"/>
              </w:rPr>
              <w:t xml:space="preserve"> utilisé </w:t>
            </w:r>
            <w:r w:rsidR="00E04CD0" w:rsidRPr="00183F00">
              <w:rPr>
                <w:sz w:val="20"/>
                <w:lang w:val="fr-FR"/>
              </w:rPr>
              <w:t>au</w:t>
            </w:r>
            <w:r w:rsidR="00AF4198" w:rsidRPr="00183F00">
              <w:rPr>
                <w:sz w:val="20"/>
                <w:lang w:val="fr-FR"/>
              </w:rPr>
              <w:t xml:space="preserve"> </w:t>
            </w:r>
            <w:r w:rsidR="00E04CD0" w:rsidRPr="00183F00">
              <w:rPr>
                <w:sz w:val="20"/>
                <w:lang w:val="fr-FR"/>
              </w:rPr>
              <w:t>t</w:t>
            </w:r>
            <w:r w:rsidR="00AF4198" w:rsidRPr="00183F00">
              <w:rPr>
                <w:sz w:val="20"/>
                <w:lang w:val="fr-FR"/>
              </w:rPr>
              <w:t xml:space="preserve">ableau 1 du Plan d'action de l'AEWA </w:t>
            </w:r>
            <w:r w:rsidR="00E04CD0" w:rsidRPr="00183F00">
              <w:rPr>
                <w:sz w:val="20"/>
                <w:lang w:val="fr-FR"/>
              </w:rPr>
              <w:t>(Résolution 4.12)</w:t>
            </w:r>
          </w:p>
          <w:p w:rsidR="00B50B65" w:rsidRPr="00183F00" w:rsidRDefault="00B50B65" w:rsidP="00CA73C7">
            <w:pPr>
              <w:rPr>
                <w:color w:val="0000FF"/>
                <w:sz w:val="20"/>
                <w:lang w:val="fr-FR"/>
              </w:rPr>
            </w:pPr>
          </w:p>
        </w:tc>
        <w:tc>
          <w:tcPr>
            <w:tcW w:w="1842" w:type="dxa"/>
            <w:tcBorders>
              <w:top w:val="single" w:sz="4" w:space="0" w:color="auto"/>
              <w:bottom w:val="single" w:sz="4" w:space="0" w:color="auto"/>
            </w:tcBorders>
            <w:shd w:val="clear" w:color="auto" w:fill="FFCC99"/>
          </w:tcPr>
          <w:p w:rsidR="00B50B65" w:rsidRPr="00183F00" w:rsidRDefault="00B50B65" w:rsidP="00CA73C7">
            <w:pPr>
              <w:rPr>
                <w:color w:val="0000FF"/>
                <w:sz w:val="22"/>
                <w:szCs w:val="22"/>
                <w:lang w:val="fr-FR"/>
              </w:rPr>
            </w:pPr>
          </w:p>
          <w:p w:rsidR="00B50B65" w:rsidRPr="00183F00" w:rsidRDefault="00E04CD0" w:rsidP="00CA73C7">
            <w:pPr>
              <w:rPr>
                <w:color w:val="0000FF"/>
                <w:sz w:val="22"/>
                <w:szCs w:val="22"/>
                <w:lang w:val="fr-FR"/>
              </w:rPr>
            </w:pPr>
            <w:r w:rsidRPr="00183F00">
              <w:rPr>
                <w:b/>
                <w:bCs/>
                <w:sz w:val="20"/>
                <w:lang w:val="fr-FR"/>
              </w:rPr>
              <w:t>DS, SN/WH, JCV, GRJ, SD</w:t>
            </w:r>
            <w:r w:rsidR="007A6251" w:rsidRPr="00183F00">
              <w:rPr>
                <w:color w:val="0000FF"/>
                <w:sz w:val="22"/>
                <w:szCs w:val="22"/>
                <w:lang w:val="fr-FR"/>
              </w:rPr>
              <w:t xml:space="preserve"> </w:t>
            </w:r>
          </w:p>
          <w:p w:rsidR="00B50B65" w:rsidRPr="00183F00" w:rsidRDefault="00B50B65" w:rsidP="00CA73C7">
            <w:pPr>
              <w:rPr>
                <w:color w:val="0000FF"/>
                <w:sz w:val="22"/>
                <w:szCs w:val="22"/>
                <w:lang w:val="fr-FR"/>
              </w:rPr>
            </w:pPr>
          </w:p>
        </w:tc>
        <w:tc>
          <w:tcPr>
            <w:tcW w:w="8577" w:type="dxa"/>
            <w:tcBorders>
              <w:top w:val="single" w:sz="4" w:space="0" w:color="auto"/>
              <w:bottom w:val="single" w:sz="4" w:space="0" w:color="auto"/>
            </w:tcBorders>
          </w:tcPr>
          <w:p w:rsidR="00B50B65" w:rsidRPr="00183F00" w:rsidRDefault="00B50B65" w:rsidP="00CA73C7">
            <w:pPr>
              <w:rPr>
                <w:color w:val="0000FF"/>
                <w:sz w:val="22"/>
                <w:szCs w:val="22"/>
                <w:lang w:val="fr-FR"/>
              </w:rPr>
            </w:pPr>
          </w:p>
          <w:p w:rsidR="00B50B65" w:rsidRPr="00183F00" w:rsidRDefault="00E04CD0" w:rsidP="00CA73C7">
            <w:pPr>
              <w:jc w:val="both"/>
              <w:rPr>
                <w:sz w:val="22"/>
                <w:szCs w:val="22"/>
                <w:lang w:val="fr-FR"/>
              </w:rPr>
            </w:pPr>
            <w:r w:rsidRPr="00183F00">
              <w:rPr>
                <w:sz w:val="22"/>
                <w:szCs w:val="22"/>
                <w:lang w:val="fr-FR"/>
              </w:rPr>
              <w:t xml:space="preserve">Il s’agit du critère utilisé pour les catégories A3d et B2d du tableau 1 de l’AEWA. </w:t>
            </w:r>
            <w:r w:rsidR="00BB3773" w:rsidRPr="00183F00">
              <w:rPr>
                <w:sz w:val="22"/>
                <w:szCs w:val="22"/>
                <w:lang w:val="fr-FR"/>
              </w:rPr>
              <w:t>La MOP3 a</w:t>
            </w:r>
            <w:r w:rsidRPr="00183F00">
              <w:rPr>
                <w:sz w:val="22"/>
                <w:szCs w:val="22"/>
                <w:lang w:val="fr-FR"/>
              </w:rPr>
              <w:t xml:space="preserve"> déjà demandé au </w:t>
            </w:r>
            <w:r w:rsidR="001348BF">
              <w:rPr>
                <w:sz w:val="22"/>
                <w:szCs w:val="22"/>
                <w:lang w:val="fr-FR"/>
              </w:rPr>
              <w:t>CT</w:t>
            </w:r>
            <w:r w:rsidRPr="00183F00">
              <w:rPr>
                <w:sz w:val="22"/>
                <w:szCs w:val="22"/>
                <w:lang w:val="fr-FR"/>
              </w:rPr>
              <w:t xml:space="preserve"> de développer </w:t>
            </w:r>
            <w:r w:rsidR="00533A8D" w:rsidRPr="00183F00">
              <w:rPr>
                <w:sz w:val="22"/>
                <w:szCs w:val="22"/>
                <w:lang w:val="fr-FR"/>
              </w:rPr>
              <w:t>des conseils d’interprétation</w:t>
            </w:r>
            <w:r w:rsidRPr="00183F00">
              <w:rPr>
                <w:sz w:val="22"/>
                <w:szCs w:val="22"/>
                <w:lang w:val="fr-FR"/>
              </w:rPr>
              <w:t xml:space="preserve">, </w:t>
            </w:r>
            <w:r w:rsidR="00533A8D" w:rsidRPr="00183F00">
              <w:rPr>
                <w:sz w:val="22"/>
                <w:szCs w:val="22"/>
                <w:lang w:val="fr-FR"/>
              </w:rPr>
              <w:t>mais la tâche n’a pas été remplie et sa</w:t>
            </w:r>
            <w:r w:rsidRPr="00183F00">
              <w:rPr>
                <w:sz w:val="22"/>
                <w:szCs w:val="22"/>
                <w:lang w:val="fr-FR"/>
              </w:rPr>
              <w:t xml:space="preserve"> finali</w:t>
            </w:r>
            <w:r w:rsidR="00533A8D" w:rsidRPr="00183F00">
              <w:rPr>
                <w:sz w:val="22"/>
                <w:szCs w:val="22"/>
                <w:lang w:val="fr-FR"/>
              </w:rPr>
              <w:t>s</w:t>
            </w:r>
            <w:r w:rsidRPr="00183F00">
              <w:rPr>
                <w:sz w:val="22"/>
                <w:szCs w:val="22"/>
                <w:lang w:val="fr-FR"/>
              </w:rPr>
              <w:t xml:space="preserve">ation </w:t>
            </w:r>
            <w:r w:rsidR="00533A8D" w:rsidRPr="00183F00">
              <w:rPr>
                <w:sz w:val="22"/>
                <w:szCs w:val="22"/>
                <w:lang w:val="fr-FR"/>
              </w:rPr>
              <w:t>a été remise à la prochaine période triennale</w:t>
            </w:r>
            <w:r w:rsidRPr="00183F00">
              <w:rPr>
                <w:sz w:val="22"/>
                <w:szCs w:val="22"/>
                <w:lang w:val="fr-FR"/>
              </w:rPr>
              <w:t>.</w:t>
            </w:r>
            <w:r w:rsidR="00EB7343" w:rsidRPr="00183F00">
              <w:rPr>
                <w:sz w:val="22"/>
                <w:szCs w:val="22"/>
                <w:lang w:val="fr-FR"/>
              </w:rPr>
              <w:t xml:space="preserve"> </w:t>
            </w:r>
            <w:r w:rsidR="00533A8D" w:rsidRPr="00183F00">
              <w:rPr>
                <w:sz w:val="22"/>
                <w:szCs w:val="22"/>
                <w:lang w:val="fr-FR"/>
              </w:rPr>
              <w:t>Il s’est avéré que la définition de « </w:t>
            </w:r>
            <w:r w:rsidR="00533A8D" w:rsidRPr="00183F00">
              <w:rPr>
                <w:i/>
                <w:sz w:val="22"/>
                <w:szCs w:val="22"/>
                <w:lang w:val="fr-FR"/>
              </w:rPr>
              <w:t>fluctuation</w:t>
            </w:r>
            <w:r w:rsidR="007E166A" w:rsidRPr="00183F00">
              <w:rPr>
                <w:i/>
                <w:sz w:val="22"/>
                <w:szCs w:val="22"/>
                <w:lang w:val="fr-FR"/>
              </w:rPr>
              <w:t xml:space="preserve"> extrême</w:t>
            </w:r>
            <w:r w:rsidR="00533A8D" w:rsidRPr="00183F00">
              <w:rPr>
                <w:sz w:val="22"/>
                <w:szCs w:val="22"/>
                <w:lang w:val="fr-FR"/>
              </w:rPr>
              <w:t xml:space="preserve"> » au sens de la définition de l’UICN (à savoir </w:t>
            </w:r>
            <w:r w:rsidR="009F75B2" w:rsidRPr="00183F00">
              <w:rPr>
                <w:sz w:val="22"/>
                <w:szCs w:val="22"/>
                <w:lang w:val="fr-FR"/>
              </w:rPr>
              <w:t>une augmentation ou un déclin décuplé</w:t>
            </w:r>
            <w:r w:rsidR="00533A8D" w:rsidRPr="00183F00">
              <w:rPr>
                <w:sz w:val="22"/>
                <w:szCs w:val="22"/>
                <w:lang w:val="fr-FR"/>
              </w:rPr>
              <w:t xml:space="preserve">) </w:t>
            </w:r>
            <w:r w:rsidR="009F75B2" w:rsidRPr="00183F00">
              <w:rPr>
                <w:sz w:val="22"/>
                <w:szCs w:val="22"/>
                <w:lang w:val="fr-FR"/>
              </w:rPr>
              <w:t>n’est pas applicable, puisque la taille des populations d’oiseaux d’eau ne fluctue pas à l’échelle d’</w:t>
            </w:r>
            <w:r w:rsidR="00CA1892" w:rsidRPr="00183F00">
              <w:rPr>
                <w:sz w:val="22"/>
                <w:szCs w:val="22"/>
                <w:lang w:val="fr-FR"/>
              </w:rPr>
              <w:t xml:space="preserve">un </w:t>
            </w:r>
            <w:r w:rsidR="009F75B2" w:rsidRPr="00183F00">
              <w:rPr>
                <w:sz w:val="22"/>
                <w:szCs w:val="22"/>
                <w:lang w:val="fr-FR"/>
              </w:rPr>
              <w:t>ordre d</w:t>
            </w:r>
            <w:r w:rsidR="00CA1892" w:rsidRPr="00183F00">
              <w:rPr>
                <w:sz w:val="22"/>
                <w:szCs w:val="22"/>
                <w:lang w:val="fr-FR"/>
              </w:rPr>
              <w:t>e grandeur</w:t>
            </w:r>
            <w:r w:rsidR="00533A8D" w:rsidRPr="00183F00">
              <w:rPr>
                <w:sz w:val="22"/>
                <w:szCs w:val="22"/>
                <w:lang w:val="fr-FR"/>
              </w:rPr>
              <w:t>.</w:t>
            </w:r>
            <w:r w:rsidR="00EB7343" w:rsidRPr="00183F00">
              <w:rPr>
                <w:sz w:val="22"/>
                <w:szCs w:val="22"/>
                <w:lang w:val="fr-FR"/>
              </w:rPr>
              <w:t xml:space="preserve"> </w:t>
            </w:r>
            <w:r w:rsidR="00CA1892" w:rsidRPr="00183F00">
              <w:rPr>
                <w:sz w:val="22"/>
                <w:szCs w:val="22"/>
                <w:lang w:val="fr-FR"/>
              </w:rPr>
              <w:t>Pour éviter les confusions avec le terme de la liste rouge de l´UICN, il a été suggéré de changer la formulation du critère de fluctuation « </w:t>
            </w:r>
            <w:r w:rsidR="00CA1892" w:rsidRPr="00183F00">
              <w:rPr>
                <w:i/>
                <w:sz w:val="22"/>
                <w:szCs w:val="22"/>
                <w:lang w:val="fr-FR"/>
              </w:rPr>
              <w:t>extrême</w:t>
            </w:r>
            <w:r w:rsidR="00CA1892" w:rsidRPr="00183F00">
              <w:rPr>
                <w:sz w:val="22"/>
                <w:szCs w:val="22"/>
                <w:lang w:val="fr-FR"/>
              </w:rPr>
              <w:t> » en « </w:t>
            </w:r>
            <w:r w:rsidR="00CA1892" w:rsidRPr="00183F00">
              <w:rPr>
                <w:i/>
                <w:sz w:val="22"/>
                <w:szCs w:val="22"/>
                <w:lang w:val="fr-FR"/>
              </w:rPr>
              <w:t>vaste</w:t>
            </w:r>
            <w:r w:rsidR="00CA1892" w:rsidRPr="00183F00">
              <w:rPr>
                <w:sz w:val="22"/>
                <w:szCs w:val="22"/>
                <w:lang w:val="fr-FR"/>
              </w:rPr>
              <w:t xml:space="preserve"> », et la définition des vastes fluctuations </w:t>
            </w:r>
            <w:r w:rsidR="009812ED" w:rsidRPr="00183F00">
              <w:rPr>
                <w:sz w:val="22"/>
                <w:szCs w:val="22"/>
                <w:lang w:val="fr-FR"/>
              </w:rPr>
              <w:t xml:space="preserve">en variation </w:t>
            </w:r>
            <w:r w:rsidR="005629EF" w:rsidRPr="00183F00">
              <w:rPr>
                <w:sz w:val="22"/>
                <w:szCs w:val="22"/>
                <w:lang w:val="fr-FR"/>
              </w:rPr>
              <w:t xml:space="preserve">supérieure à </w:t>
            </w:r>
            <w:r w:rsidR="009812ED" w:rsidRPr="00183F00">
              <w:rPr>
                <w:sz w:val="22"/>
                <w:szCs w:val="22"/>
                <w:lang w:val="fr-FR"/>
              </w:rPr>
              <w:t>un facteur de deux</w:t>
            </w:r>
            <w:r w:rsidR="00CA1892" w:rsidRPr="00183F00">
              <w:rPr>
                <w:sz w:val="22"/>
                <w:szCs w:val="22"/>
                <w:lang w:val="fr-FR"/>
              </w:rPr>
              <w:t xml:space="preserve"> </w:t>
            </w:r>
            <w:r w:rsidR="009812ED" w:rsidRPr="00183F00">
              <w:rPr>
                <w:sz w:val="22"/>
                <w:szCs w:val="22"/>
                <w:lang w:val="fr-FR"/>
              </w:rPr>
              <w:t>dans un court laps de temps</w:t>
            </w:r>
            <w:r w:rsidR="00CA1892" w:rsidRPr="00183F00">
              <w:rPr>
                <w:sz w:val="22"/>
                <w:szCs w:val="22"/>
                <w:lang w:val="fr-FR"/>
              </w:rPr>
              <w:t>.</w:t>
            </w:r>
            <w:r w:rsidR="00EB7343" w:rsidRPr="00183F00">
              <w:rPr>
                <w:sz w:val="22"/>
                <w:szCs w:val="22"/>
                <w:lang w:val="fr-FR"/>
              </w:rPr>
              <w:t xml:space="preserve"> </w:t>
            </w:r>
            <w:r w:rsidR="009812ED" w:rsidRPr="00183F00">
              <w:rPr>
                <w:sz w:val="22"/>
                <w:szCs w:val="22"/>
                <w:lang w:val="fr-FR"/>
              </w:rPr>
              <w:t xml:space="preserve">Le facteur de deux et l’échelle de temps suggérés semblent </w:t>
            </w:r>
            <w:r w:rsidR="00BB3773" w:rsidRPr="00183F00">
              <w:rPr>
                <w:sz w:val="22"/>
                <w:szCs w:val="22"/>
                <w:lang w:val="fr-FR"/>
              </w:rPr>
              <w:t xml:space="preserve">uniquement </w:t>
            </w:r>
            <w:r w:rsidR="009812ED" w:rsidRPr="00183F00">
              <w:rPr>
                <w:sz w:val="22"/>
                <w:szCs w:val="22"/>
                <w:lang w:val="fr-FR"/>
              </w:rPr>
              <w:t>distinguer les populations/espèces les plus extrêmes d’après les connaissances des dynamiques d’oiseaux d’eau.</w:t>
            </w:r>
            <w:r w:rsidR="00F06368" w:rsidRPr="00183F00">
              <w:rPr>
                <w:sz w:val="22"/>
                <w:szCs w:val="22"/>
                <w:lang w:val="fr-FR"/>
              </w:rPr>
              <w:t xml:space="preserve"> </w:t>
            </w:r>
            <w:r w:rsidR="00A256B3" w:rsidRPr="00183F00">
              <w:rPr>
                <w:sz w:val="22"/>
                <w:szCs w:val="22"/>
                <w:lang w:val="fr-FR"/>
              </w:rPr>
              <w:t>Les résultats de ce groupe de travail sont présentés dans le document AEWA/MOP 5.21.</w:t>
            </w:r>
          </w:p>
          <w:p w:rsidR="00B50B65" w:rsidRPr="00183F00" w:rsidRDefault="00B50B65" w:rsidP="00CA73C7">
            <w:pPr>
              <w:rPr>
                <w:color w:val="0000FF"/>
                <w:sz w:val="22"/>
                <w:szCs w:val="22"/>
                <w:lang w:val="fr-FR"/>
              </w:rPr>
            </w:pPr>
          </w:p>
        </w:tc>
      </w:tr>
      <w:tr w:rsidR="00B50B65" w:rsidRPr="00183F00">
        <w:tblPrEx>
          <w:tblCellMar>
            <w:top w:w="0" w:type="dxa"/>
            <w:bottom w:w="0" w:type="dxa"/>
          </w:tblCellMar>
        </w:tblPrEx>
        <w:tc>
          <w:tcPr>
            <w:tcW w:w="3369" w:type="dxa"/>
            <w:tcBorders>
              <w:top w:val="single" w:sz="4" w:space="0" w:color="auto"/>
              <w:bottom w:val="single" w:sz="4" w:space="0" w:color="auto"/>
            </w:tcBorders>
          </w:tcPr>
          <w:p w:rsidR="00B50B65" w:rsidRPr="00183F00" w:rsidRDefault="00B50B65" w:rsidP="00CA73C7">
            <w:pPr>
              <w:rPr>
                <w:iCs/>
                <w:color w:val="0000FF"/>
                <w:sz w:val="20"/>
                <w:lang w:val="fr-FR"/>
              </w:rPr>
            </w:pPr>
          </w:p>
          <w:p w:rsidR="00B50B65" w:rsidRPr="00183F00" w:rsidRDefault="00B50B65" w:rsidP="00CA73C7">
            <w:pPr>
              <w:rPr>
                <w:b/>
                <w:bCs/>
                <w:iCs/>
                <w:sz w:val="20"/>
                <w:szCs w:val="20"/>
                <w:lang w:val="fr-FR"/>
              </w:rPr>
            </w:pPr>
            <w:r w:rsidRPr="00183F00">
              <w:rPr>
                <w:b/>
                <w:bCs/>
                <w:iCs/>
                <w:sz w:val="20"/>
                <w:lang w:val="fr-FR"/>
              </w:rPr>
              <w:t xml:space="preserve">5. </w:t>
            </w:r>
            <w:r w:rsidR="00A256B3" w:rsidRPr="00183F00">
              <w:rPr>
                <w:b/>
                <w:bCs/>
                <w:iCs/>
                <w:sz w:val="20"/>
                <w:lang w:val="fr-FR"/>
              </w:rPr>
              <w:t>Changement climatique</w:t>
            </w:r>
          </w:p>
          <w:p w:rsidR="00B50B65" w:rsidRPr="00183F00" w:rsidRDefault="00B50B65" w:rsidP="00CA73C7">
            <w:pPr>
              <w:rPr>
                <w:sz w:val="20"/>
                <w:szCs w:val="20"/>
                <w:lang w:val="fr-FR"/>
              </w:rPr>
            </w:pPr>
          </w:p>
          <w:p w:rsidR="00E62661" w:rsidRPr="00183F00" w:rsidRDefault="00A256B3" w:rsidP="00E62661">
            <w:pPr>
              <w:rPr>
                <w:sz w:val="20"/>
                <w:szCs w:val="20"/>
                <w:lang w:val="fr-FR"/>
              </w:rPr>
            </w:pPr>
            <w:r w:rsidRPr="00183F00">
              <w:rPr>
                <w:sz w:val="20"/>
                <w:szCs w:val="20"/>
                <w:lang w:val="fr-FR"/>
              </w:rPr>
              <w:t>a) identifier les autres priorités de recherche susceptibles d’apporter des informations sur les futures mesures d’adaptation, et les soumettre à la MOP5 aux fins de leur inclusion éventuelle au Plan d’action (Résolution 4.14)</w:t>
            </w:r>
          </w:p>
          <w:p w:rsidR="00E62661" w:rsidRPr="00183F00" w:rsidRDefault="00E62661" w:rsidP="00E62661">
            <w:pPr>
              <w:rPr>
                <w:sz w:val="20"/>
                <w:szCs w:val="20"/>
                <w:lang w:val="fr-FR"/>
              </w:rPr>
            </w:pPr>
          </w:p>
          <w:p w:rsidR="00E62661" w:rsidRPr="00183F00" w:rsidRDefault="00A256B3" w:rsidP="00E62661">
            <w:pPr>
              <w:rPr>
                <w:sz w:val="20"/>
                <w:szCs w:val="20"/>
                <w:lang w:val="fr-FR"/>
              </w:rPr>
            </w:pPr>
            <w:r w:rsidRPr="00183F00">
              <w:rPr>
                <w:sz w:val="20"/>
                <w:szCs w:val="20"/>
                <w:lang w:val="fr-FR"/>
              </w:rPr>
              <w:t xml:space="preserve">b) évaluer si les réseaux de sites internationaux existants suffisent à la protection des oiseaux d’eau migrateurs, </w:t>
            </w:r>
            <w:r w:rsidR="000F118B" w:rsidRPr="00183F00">
              <w:rPr>
                <w:sz w:val="20"/>
                <w:szCs w:val="20"/>
                <w:lang w:val="fr-FR"/>
              </w:rPr>
              <w:t>en tenant compte des effets attendus du changement climatique</w:t>
            </w:r>
            <w:r w:rsidRPr="00183F00">
              <w:rPr>
                <w:sz w:val="20"/>
                <w:szCs w:val="20"/>
                <w:lang w:val="fr-FR"/>
              </w:rPr>
              <w:t xml:space="preserve">, </w:t>
            </w:r>
            <w:r w:rsidR="000F118B" w:rsidRPr="00183F00">
              <w:rPr>
                <w:sz w:val="20"/>
                <w:szCs w:val="20"/>
                <w:lang w:val="fr-FR"/>
              </w:rPr>
              <w:t>et, si nécessaire</w:t>
            </w:r>
            <w:r w:rsidRPr="00183F00">
              <w:rPr>
                <w:sz w:val="20"/>
                <w:szCs w:val="20"/>
                <w:lang w:val="fr-FR"/>
              </w:rPr>
              <w:t>, propose</w:t>
            </w:r>
            <w:r w:rsidR="000F118B" w:rsidRPr="00183F00">
              <w:rPr>
                <w:sz w:val="20"/>
                <w:szCs w:val="20"/>
                <w:lang w:val="fr-FR"/>
              </w:rPr>
              <w:t>r à la</w:t>
            </w:r>
            <w:r w:rsidRPr="00183F00">
              <w:rPr>
                <w:sz w:val="20"/>
                <w:szCs w:val="20"/>
                <w:lang w:val="fr-FR"/>
              </w:rPr>
              <w:t xml:space="preserve"> MOP5 </w:t>
            </w:r>
            <w:r w:rsidR="000F118B" w:rsidRPr="00183F00">
              <w:rPr>
                <w:sz w:val="20"/>
                <w:szCs w:val="20"/>
                <w:lang w:val="fr-FR"/>
              </w:rPr>
              <w:t>les approches supplémentaires complémentaires</w:t>
            </w:r>
            <w:r w:rsidRPr="00183F00">
              <w:rPr>
                <w:sz w:val="20"/>
                <w:szCs w:val="20"/>
                <w:lang w:val="fr-FR"/>
              </w:rPr>
              <w:t xml:space="preserve"> </w:t>
            </w:r>
            <w:r w:rsidR="000F118B" w:rsidRPr="00183F00">
              <w:rPr>
                <w:sz w:val="20"/>
                <w:szCs w:val="20"/>
                <w:lang w:val="fr-FR"/>
              </w:rPr>
              <w:t>devant être employées</w:t>
            </w:r>
            <w:r w:rsidRPr="00183F00">
              <w:rPr>
                <w:sz w:val="20"/>
                <w:szCs w:val="20"/>
                <w:lang w:val="fr-FR"/>
              </w:rPr>
              <w:t xml:space="preserve"> (R</w:t>
            </w:r>
            <w:r w:rsidR="000F118B" w:rsidRPr="00183F00">
              <w:rPr>
                <w:sz w:val="20"/>
                <w:szCs w:val="20"/>
                <w:lang w:val="fr-FR"/>
              </w:rPr>
              <w:t>é</w:t>
            </w:r>
            <w:r w:rsidRPr="00183F00">
              <w:rPr>
                <w:sz w:val="20"/>
                <w:szCs w:val="20"/>
                <w:lang w:val="fr-FR"/>
              </w:rPr>
              <w:t>solution 4.14)</w:t>
            </w:r>
          </w:p>
          <w:p w:rsidR="002D5C42" w:rsidRPr="00183F00" w:rsidRDefault="002D5C42" w:rsidP="00E62661">
            <w:pPr>
              <w:rPr>
                <w:sz w:val="20"/>
                <w:szCs w:val="20"/>
                <w:lang w:val="fr-FR"/>
              </w:rPr>
            </w:pPr>
          </w:p>
          <w:p w:rsidR="00B50B65" w:rsidRPr="00183F00" w:rsidRDefault="00B50B65" w:rsidP="00CA73C7">
            <w:pPr>
              <w:rPr>
                <w:iCs/>
                <w:color w:val="0000FF"/>
                <w:sz w:val="20"/>
                <w:lang w:val="fr-FR"/>
              </w:rPr>
            </w:pPr>
          </w:p>
        </w:tc>
        <w:tc>
          <w:tcPr>
            <w:tcW w:w="1842" w:type="dxa"/>
            <w:tcBorders>
              <w:top w:val="single" w:sz="4" w:space="0" w:color="auto"/>
              <w:bottom w:val="single" w:sz="4" w:space="0" w:color="auto"/>
            </w:tcBorders>
            <w:shd w:val="clear" w:color="auto" w:fill="FFCC99"/>
          </w:tcPr>
          <w:p w:rsidR="00B50B65" w:rsidRPr="00183F00" w:rsidRDefault="00B50B65" w:rsidP="00CA73C7">
            <w:pPr>
              <w:rPr>
                <w:iCs/>
                <w:color w:val="0000FF"/>
                <w:sz w:val="22"/>
                <w:szCs w:val="22"/>
                <w:lang w:val="fr-FR"/>
              </w:rPr>
            </w:pPr>
          </w:p>
          <w:p w:rsidR="00B50B65" w:rsidRPr="00F301B8" w:rsidRDefault="000F118B" w:rsidP="00CA73C7">
            <w:pPr>
              <w:rPr>
                <w:iCs/>
                <w:color w:val="0000FF"/>
                <w:sz w:val="22"/>
                <w:szCs w:val="22"/>
              </w:rPr>
            </w:pPr>
            <w:r w:rsidRPr="00F301B8">
              <w:rPr>
                <w:b/>
                <w:bCs/>
                <w:sz w:val="20"/>
              </w:rPr>
              <w:t>DS, JM, GF, HS, SN/WH, ON, JK, PT/GNO, SD</w:t>
            </w:r>
            <w:r w:rsidR="00E62661" w:rsidRPr="00F301B8">
              <w:rPr>
                <w:iCs/>
                <w:color w:val="0000FF"/>
                <w:sz w:val="22"/>
                <w:szCs w:val="22"/>
              </w:rPr>
              <w:t xml:space="preserve"> </w:t>
            </w:r>
          </w:p>
          <w:p w:rsidR="00B50B65" w:rsidRPr="00F301B8" w:rsidRDefault="00B50B65" w:rsidP="00CA73C7">
            <w:pPr>
              <w:rPr>
                <w:iCs/>
                <w:color w:val="0000FF"/>
                <w:sz w:val="22"/>
                <w:szCs w:val="22"/>
              </w:rPr>
            </w:pPr>
          </w:p>
          <w:p w:rsidR="00B50B65" w:rsidRPr="00F301B8" w:rsidRDefault="00B50B65" w:rsidP="00CA73C7">
            <w:pPr>
              <w:pStyle w:val="Textkrper2"/>
              <w:rPr>
                <w:iCs/>
                <w:color w:val="0000FF"/>
                <w:szCs w:val="22"/>
                <w:lang w:val="en-US"/>
              </w:rPr>
            </w:pPr>
          </w:p>
        </w:tc>
        <w:tc>
          <w:tcPr>
            <w:tcW w:w="8577" w:type="dxa"/>
            <w:tcBorders>
              <w:top w:val="single" w:sz="4" w:space="0" w:color="auto"/>
              <w:bottom w:val="single" w:sz="4" w:space="0" w:color="auto"/>
            </w:tcBorders>
          </w:tcPr>
          <w:p w:rsidR="00B50B65" w:rsidRPr="00F301B8" w:rsidRDefault="00B50B65" w:rsidP="00CA73C7">
            <w:pPr>
              <w:jc w:val="both"/>
              <w:rPr>
                <w:color w:val="0000FF"/>
                <w:sz w:val="22"/>
                <w:szCs w:val="22"/>
              </w:rPr>
            </w:pPr>
          </w:p>
          <w:p w:rsidR="00B50B65" w:rsidRPr="00E054FF" w:rsidRDefault="000F118B" w:rsidP="002522E4">
            <w:pPr>
              <w:numPr>
                <w:ilvl w:val="0"/>
                <w:numId w:val="9"/>
              </w:numPr>
              <w:jc w:val="both"/>
              <w:rPr>
                <w:iCs/>
                <w:sz w:val="22"/>
                <w:szCs w:val="22"/>
                <w:lang w:val="fr-FR"/>
              </w:rPr>
            </w:pPr>
            <w:r w:rsidRPr="00E054FF">
              <w:rPr>
                <w:iCs/>
                <w:sz w:val="22"/>
                <w:szCs w:val="22"/>
                <w:lang w:val="fr-FR"/>
              </w:rPr>
              <w:t>Un cadre d’adaptation a été développé à titre d</w:t>
            </w:r>
            <w:r w:rsidR="00436D54" w:rsidRPr="00E054FF">
              <w:rPr>
                <w:iCs/>
                <w:sz w:val="22"/>
                <w:szCs w:val="22"/>
                <w:lang w:val="fr-FR"/>
              </w:rPr>
              <w:t>e conseils sur</w:t>
            </w:r>
            <w:r w:rsidR="007C3541" w:rsidRPr="00E054FF">
              <w:rPr>
                <w:iCs/>
                <w:sz w:val="22"/>
                <w:szCs w:val="22"/>
                <w:lang w:val="fr-FR"/>
              </w:rPr>
              <w:t xml:space="preserve"> des mesures nationales d’</w:t>
            </w:r>
            <w:r w:rsidRPr="00E054FF">
              <w:rPr>
                <w:iCs/>
                <w:sz w:val="22"/>
                <w:szCs w:val="22"/>
                <w:lang w:val="fr-FR"/>
              </w:rPr>
              <w:t xml:space="preserve">adaptation </w:t>
            </w:r>
            <w:r w:rsidR="00436D54" w:rsidRPr="00E054FF">
              <w:rPr>
                <w:iCs/>
                <w:sz w:val="22"/>
                <w:szCs w:val="22"/>
                <w:lang w:val="fr-FR"/>
              </w:rPr>
              <w:t>liées</w:t>
            </w:r>
            <w:r w:rsidR="007C3541" w:rsidRPr="00E054FF">
              <w:rPr>
                <w:iCs/>
                <w:sz w:val="22"/>
                <w:szCs w:val="22"/>
                <w:lang w:val="fr-FR"/>
              </w:rPr>
              <w:t xml:space="preserve"> à la</w:t>
            </w:r>
            <w:r w:rsidRPr="00E054FF">
              <w:rPr>
                <w:iCs/>
                <w:sz w:val="22"/>
                <w:szCs w:val="22"/>
                <w:lang w:val="fr-FR"/>
              </w:rPr>
              <w:t xml:space="preserve"> conservation </w:t>
            </w:r>
            <w:r w:rsidR="007C3541" w:rsidRPr="00E054FF">
              <w:rPr>
                <w:iCs/>
                <w:sz w:val="22"/>
                <w:szCs w:val="22"/>
                <w:lang w:val="fr-FR"/>
              </w:rPr>
              <w:t>des oiseaux d’eau et de leurs zones humides, et autres habitats</w:t>
            </w:r>
            <w:r w:rsidRPr="00E054FF">
              <w:rPr>
                <w:iCs/>
                <w:sz w:val="22"/>
                <w:szCs w:val="22"/>
                <w:lang w:val="fr-FR"/>
              </w:rPr>
              <w:t xml:space="preserve"> (</w:t>
            </w:r>
            <w:r w:rsidR="00436D54" w:rsidRPr="00E054FF">
              <w:rPr>
                <w:iCs/>
                <w:sz w:val="22"/>
                <w:szCs w:val="22"/>
                <w:lang w:val="fr-FR"/>
              </w:rPr>
              <w:t xml:space="preserve">voir </w:t>
            </w:r>
            <w:r w:rsidR="007C3541" w:rsidRPr="00E054FF">
              <w:rPr>
                <w:iCs/>
                <w:sz w:val="22"/>
                <w:szCs w:val="22"/>
                <w:lang w:val="fr-FR"/>
              </w:rPr>
              <w:t>avant-projet de</w:t>
            </w:r>
            <w:r w:rsidRPr="00E054FF">
              <w:rPr>
                <w:iCs/>
                <w:sz w:val="22"/>
                <w:szCs w:val="22"/>
                <w:lang w:val="fr-FR"/>
              </w:rPr>
              <w:t xml:space="preserve"> R</w:t>
            </w:r>
            <w:r w:rsidR="007C3541" w:rsidRPr="00E054FF">
              <w:rPr>
                <w:iCs/>
                <w:sz w:val="22"/>
                <w:szCs w:val="22"/>
                <w:lang w:val="fr-FR"/>
              </w:rPr>
              <w:t>é</w:t>
            </w:r>
            <w:r w:rsidRPr="00E054FF">
              <w:rPr>
                <w:iCs/>
                <w:sz w:val="22"/>
                <w:szCs w:val="22"/>
                <w:lang w:val="fr-FR"/>
              </w:rPr>
              <w:t xml:space="preserve">solution </w:t>
            </w:r>
            <w:r w:rsidR="00521F69" w:rsidRPr="00E054FF">
              <w:rPr>
                <w:iCs/>
                <w:sz w:val="22"/>
                <w:szCs w:val="22"/>
                <w:lang w:val="fr-FR"/>
              </w:rPr>
              <w:t>AEWA/MOP5 DR</w:t>
            </w:r>
            <w:r w:rsidRPr="00E054FF">
              <w:rPr>
                <w:iCs/>
                <w:sz w:val="22"/>
                <w:szCs w:val="22"/>
                <w:lang w:val="fr-FR"/>
              </w:rPr>
              <w:t>13).</w:t>
            </w:r>
            <w:r w:rsidR="002522E4" w:rsidRPr="00E054FF">
              <w:rPr>
                <w:iCs/>
                <w:sz w:val="22"/>
                <w:szCs w:val="22"/>
                <w:lang w:val="fr-FR"/>
              </w:rPr>
              <w:t xml:space="preserve"> </w:t>
            </w:r>
          </w:p>
          <w:p w:rsidR="00920EE0" w:rsidRPr="00E054FF" w:rsidRDefault="00920EE0" w:rsidP="00920EE0">
            <w:pPr>
              <w:ind w:left="720"/>
              <w:jc w:val="both"/>
              <w:rPr>
                <w:iCs/>
                <w:sz w:val="22"/>
                <w:szCs w:val="22"/>
                <w:lang w:val="fr-FR"/>
              </w:rPr>
            </w:pPr>
          </w:p>
          <w:p w:rsidR="002522E4" w:rsidRPr="00183F00" w:rsidRDefault="007C3541" w:rsidP="001408F0">
            <w:pPr>
              <w:numPr>
                <w:ilvl w:val="0"/>
                <w:numId w:val="9"/>
              </w:numPr>
              <w:jc w:val="both"/>
              <w:rPr>
                <w:iCs/>
                <w:sz w:val="22"/>
                <w:szCs w:val="22"/>
                <w:lang w:val="fr-FR"/>
              </w:rPr>
            </w:pPr>
            <w:r w:rsidRPr="00E054FF">
              <w:rPr>
                <w:iCs/>
                <w:sz w:val="22"/>
                <w:szCs w:val="22"/>
                <w:lang w:val="fr-FR"/>
              </w:rPr>
              <w:t>Tandis que l</w:t>
            </w:r>
            <w:r w:rsidR="009221F0" w:rsidRPr="00E054FF">
              <w:rPr>
                <w:iCs/>
                <w:sz w:val="22"/>
                <w:szCs w:val="22"/>
                <w:lang w:val="fr-FR"/>
              </w:rPr>
              <w:t>a 1</w:t>
            </w:r>
            <w:r w:rsidR="009221F0" w:rsidRPr="00E054FF">
              <w:rPr>
                <w:iCs/>
                <w:sz w:val="22"/>
                <w:szCs w:val="22"/>
                <w:vertAlign w:val="superscript"/>
                <w:lang w:val="fr-FR"/>
              </w:rPr>
              <w:t>ère</w:t>
            </w:r>
            <w:r w:rsidR="009221F0" w:rsidRPr="00E054FF">
              <w:rPr>
                <w:iCs/>
                <w:sz w:val="22"/>
                <w:szCs w:val="22"/>
                <w:lang w:val="fr-FR"/>
              </w:rPr>
              <w:t xml:space="preserve"> édition d</w:t>
            </w:r>
            <w:r w:rsidR="00C920C2" w:rsidRPr="00E054FF">
              <w:rPr>
                <w:iCs/>
                <w:sz w:val="22"/>
                <w:szCs w:val="22"/>
                <w:lang w:val="fr-FR"/>
              </w:rPr>
              <w:t>u rapport</w:t>
            </w:r>
            <w:r w:rsidR="009221F0" w:rsidRPr="00E054FF">
              <w:rPr>
                <w:iCs/>
                <w:sz w:val="22"/>
                <w:szCs w:val="22"/>
                <w:lang w:val="fr-FR"/>
              </w:rPr>
              <w:t xml:space="preserve"> </w:t>
            </w:r>
            <w:r w:rsidR="00C920C2" w:rsidRPr="00E054FF">
              <w:rPr>
                <w:iCs/>
                <w:sz w:val="22"/>
                <w:szCs w:val="22"/>
                <w:lang w:val="fr-FR"/>
              </w:rPr>
              <w:t>préliminaire sur</w:t>
            </w:r>
            <w:r w:rsidR="009221F0" w:rsidRPr="00E054FF">
              <w:rPr>
                <w:iCs/>
                <w:sz w:val="22"/>
                <w:szCs w:val="22"/>
                <w:lang w:val="fr-FR"/>
              </w:rPr>
              <w:t xml:space="preserve"> </w:t>
            </w:r>
            <w:r w:rsidR="00C920C2" w:rsidRPr="00E054FF">
              <w:rPr>
                <w:iCs/>
                <w:sz w:val="22"/>
                <w:szCs w:val="22"/>
                <w:lang w:val="fr-FR"/>
              </w:rPr>
              <w:t xml:space="preserve">le </w:t>
            </w:r>
            <w:r w:rsidR="009221F0" w:rsidRPr="00E054FF">
              <w:rPr>
                <w:iCs/>
                <w:sz w:val="22"/>
                <w:szCs w:val="22"/>
                <w:lang w:val="fr-FR"/>
              </w:rPr>
              <w:t xml:space="preserve">réseau de sites </w:t>
            </w:r>
            <w:r w:rsidR="00C920C2" w:rsidRPr="00E054FF">
              <w:rPr>
                <w:iCs/>
                <w:sz w:val="22"/>
                <w:szCs w:val="22"/>
                <w:lang w:val="fr-FR"/>
              </w:rPr>
              <w:t xml:space="preserve">pour les oiseaux d’eau dans la zone de l’Accord </w:t>
            </w:r>
            <w:r w:rsidR="009221F0" w:rsidRPr="00E054FF">
              <w:rPr>
                <w:iCs/>
                <w:sz w:val="22"/>
                <w:szCs w:val="22"/>
                <w:lang w:val="fr-FR"/>
              </w:rPr>
              <w:t>évaluait si le réseau de sites suffisait</w:t>
            </w:r>
            <w:r w:rsidR="00521F69" w:rsidRPr="00E054FF">
              <w:rPr>
                <w:iCs/>
                <w:sz w:val="22"/>
                <w:szCs w:val="22"/>
                <w:lang w:val="fr-FR"/>
              </w:rPr>
              <w:t xml:space="preserve"> (le document AEWA/MOP5.15)</w:t>
            </w:r>
            <w:r w:rsidRPr="00E054FF">
              <w:rPr>
                <w:iCs/>
                <w:sz w:val="22"/>
                <w:szCs w:val="22"/>
                <w:lang w:val="fr-FR"/>
              </w:rPr>
              <w:t xml:space="preserve">, </w:t>
            </w:r>
            <w:r w:rsidR="009221F0" w:rsidRPr="00E054FF">
              <w:rPr>
                <w:iCs/>
                <w:sz w:val="22"/>
                <w:szCs w:val="22"/>
                <w:lang w:val="fr-FR"/>
              </w:rPr>
              <w:t>l’aspect du changement climatique a été examiné séparément</w:t>
            </w:r>
            <w:r w:rsidRPr="00E054FF">
              <w:rPr>
                <w:iCs/>
                <w:sz w:val="22"/>
                <w:szCs w:val="22"/>
                <w:lang w:val="fr-FR"/>
              </w:rPr>
              <w:t>.</w:t>
            </w:r>
            <w:r w:rsidR="0090279F" w:rsidRPr="00E054FF">
              <w:rPr>
                <w:iCs/>
                <w:sz w:val="22"/>
                <w:szCs w:val="22"/>
                <w:lang w:val="fr-FR"/>
              </w:rPr>
              <w:t xml:space="preserve"> </w:t>
            </w:r>
            <w:r w:rsidR="009221F0" w:rsidRPr="00E054FF">
              <w:rPr>
                <w:iCs/>
                <w:sz w:val="22"/>
                <w:szCs w:val="22"/>
                <w:lang w:val="fr-FR"/>
              </w:rPr>
              <w:t>La liste des méthodes potentielles d’identification des sites vulnérables au changement climatique a été élaborée (voir document AEWA/MOP Inf.</w:t>
            </w:r>
            <w:r w:rsidR="007C692D" w:rsidRPr="00E054FF">
              <w:rPr>
                <w:iCs/>
                <w:sz w:val="22"/>
                <w:szCs w:val="22"/>
                <w:lang w:val="fr-FR"/>
              </w:rPr>
              <w:t xml:space="preserve"> 5.1) et un projet sur l’identification des sites importants vulnérables au changement climatique a été inclus aux ITT proposées</w:t>
            </w:r>
            <w:r w:rsidR="007C692D" w:rsidRPr="00183F00">
              <w:rPr>
                <w:iCs/>
                <w:sz w:val="22"/>
                <w:szCs w:val="22"/>
                <w:lang w:val="fr-FR"/>
              </w:rPr>
              <w:t xml:space="preserve"> (voir avant-projet de Résolution </w:t>
            </w:r>
            <w:r w:rsidR="00521F69">
              <w:rPr>
                <w:iCs/>
                <w:sz w:val="22"/>
                <w:szCs w:val="22"/>
                <w:lang w:val="fr-FR"/>
              </w:rPr>
              <w:t>AEWA/MOP5 DR3</w:t>
            </w:r>
            <w:r w:rsidR="007C692D" w:rsidRPr="00183F00">
              <w:rPr>
                <w:iCs/>
                <w:sz w:val="22"/>
                <w:szCs w:val="22"/>
                <w:lang w:val="fr-FR"/>
              </w:rPr>
              <w:t>).Cette tâche doit être externali</w:t>
            </w:r>
            <w:r w:rsidR="005629EF" w:rsidRPr="00183F00">
              <w:rPr>
                <w:iCs/>
                <w:sz w:val="22"/>
                <w:szCs w:val="22"/>
                <w:lang w:val="fr-FR"/>
              </w:rPr>
              <w:t>sée si les fonds le permettent.</w:t>
            </w:r>
          </w:p>
          <w:p w:rsidR="002522E4" w:rsidRPr="00183F00" w:rsidRDefault="002522E4" w:rsidP="002522E4">
            <w:pPr>
              <w:ind w:left="360"/>
              <w:jc w:val="both"/>
              <w:rPr>
                <w:iCs/>
                <w:sz w:val="22"/>
                <w:szCs w:val="22"/>
                <w:lang w:val="fr-FR"/>
              </w:rPr>
            </w:pPr>
          </w:p>
        </w:tc>
      </w:tr>
      <w:tr w:rsidR="00B50B65" w:rsidRPr="00183F00">
        <w:tblPrEx>
          <w:tblCellMar>
            <w:top w:w="0" w:type="dxa"/>
            <w:bottom w:w="0" w:type="dxa"/>
          </w:tblCellMar>
        </w:tblPrEx>
        <w:tc>
          <w:tcPr>
            <w:tcW w:w="3369" w:type="dxa"/>
            <w:tcBorders>
              <w:top w:val="single" w:sz="4" w:space="0" w:color="auto"/>
              <w:bottom w:val="single" w:sz="4" w:space="0" w:color="auto"/>
            </w:tcBorders>
          </w:tcPr>
          <w:p w:rsidR="00B50B65" w:rsidRPr="00183F00" w:rsidRDefault="00B50B65" w:rsidP="00CA73C7">
            <w:pPr>
              <w:rPr>
                <w:color w:val="0000FF"/>
                <w:sz w:val="20"/>
                <w:lang w:val="fr-FR"/>
              </w:rPr>
            </w:pPr>
          </w:p>
          <w:p w:rsidR="00BF0223" w:rsidRPr="00183F00" w:rsidRDefault="00B50B65" w:rsidP="00CA73C7">
            <w:pPr>
              <w:rPr>
                <w:b/>
                <w:bCs/>
                <w:sz w:val="20"/>
                <w:lang w:val="fr-FR"/>
              </w:rPr>
            </w:pPr>
            <w:r w:rsidRPr="00183F00">
              <w:rPr>
                <w:b/>
                <w:bCs/>
                <w:sz w:val="20"/>
                <w:lang w:val="fr-FR"/>
              </w:rPr>
              <w:t>6.</w:t>
            </w:r>
            <w:r w:rsidR="00BF0223" w:rsidRPr="00183F00">
              <w:rPr>
                <w:b/>
                <w:bCs/>
                <w:sz w:val="20"/>
                <w:lang w:val="fr-FR"/>
              </w:rPr>
              <w:t xml:space="preserve"> </w:t>
            </w:r>
            <w:r w:rsidR="003F05EB" w:rsidRPr="00183F00">
              <w:rPr>
                <w:b/>
                <w:bCs/>
                <w:sz w:val="20"/>
                <w:lang w:val="fr-FR"/>
              </w:rPr>
              <w:t>SSAP</w:t>
            </w:r>
            <w:r w:rsidRPr="00183F00">
              <w:rPr>
                <w:b/>
                <w:bCs/>
                <w:sz w:val="20"/>
                <w:lang w:val="fr-FR"/>
              </w:rPr>
              <w:t xml:space="preserve"> </w:t>
            </w:r>
          </w:p>
          <w:p w:rsidR="00B50B65" w:rsidRPr="00183F00" w:rsidRDefault="00B50B65" w:rsidP="00BF0223">
            <w:pPr>
              <w:rPr>
                <w:color w:val="0000FF"/>
                <w:sz w:val="20"/>
                <w:lang w:val="fr-FR"/>
              </w:rPr>
            </w:pPr>
          </w:p>
          <w:p w:rsidR="00BF0223" w:rsidRPr="00183F00" w:rsidRDefault="003F05EB" w:rsidP="00BF0223">
            <w:pPr>
              <w:rPr>
                <w:sz w:val="20"/>
                <w:lang w:val="fr-FR"/>
              </w:rPr>
            </w:pPr>
            <w:r w:rsidRPr="00183F00">
              <w:rPr>
                <w:sz w:val="20"/>
                <w:lang w:val="fr-FR"/>
              </w:rPr>
              <w:t xml:space="preserve">Examiner les questions en suspens et/ou sujettes à controverse dans les SSAP identifiés </w:t>
            </w:r>
            <w:r w:rsidR="00B761A9" w:rsidRPr="00183F00">
              <w:rPr>
                <w:sz w:val="20"/>
                <w:lang w:val="fr-FR"/>
              </w:rPr>
              <w:t>lors de la</w:t>
            </w:r>
            <w:r w:rsidRPr="00183F00">
              <w:rPr>
                <w:sz w:val="20"/>
                <w:lang w:val="fr-FR"/>
              </w:rPr>
              <w:t xml:space="preserve"> MOP4 et proposer les révisions appropriées des SSAP pour examen et adoption par la MOP5 (Résolution 4.16)</w:t>
            </w:r>
          </w:p>
        </w:tc>
        <w:tc>
          <w:tcPr>
            <w:tcW w:w="1842" w:type="dxa"/>
            <w:tcBorders>
              <w:top w:val="single" w:sz="4" w:space="0" w:color="auto"/>
              <w:bottom w:val="single" w:sz="4" w:space="0" w:color="auto"/>
            </w:tcBorders>
            <w:shd w:val="clear" w:color="auto" w:fill="FFCC99"/>
          </w:tcPr>
          <w:p w:rsidR="00B50B65" w:rsidRPr="00183F00" w:rsidRDefault="00B50B65" w:rsidP="00CA73C7">
            <w:pPr>
              <w:rPr>
                <w:color w:val="0000FF"/>
                <w:sz w:val="22"/>
                <w:szCs w:val="22"/>
                <w:lang w:val="fr-FR"/>
              </w:rPr>
            </w:pPr>
          </w:p>
          <w:p w:rsidR="00B50B65" w:rsidRPr="00F301B8" w:rsidRDefault="003F05EB" w:rsidP="00CA73C7">
            <w:pPr>
              <w:rPr>
                <w:color w:val="0000FF"/>
                <w:sz w:val="22"/>
                <w:szCs w:val="22"/>
                <w:lang w:val="de-DE"/>
              </w:rPr>
            </w:pPr>
            <w:r w:rsidRPr="00F301B8">
              <w:rPr>
                <w:b/>
                <w:bCs/>
                <w:sz w:val="20"/>
                <w:lang w:val="de-DE"/>
              </w:rPr>
              <w:t>JM, GRJ, HS, JOS/NC, AM, BH, SD</w:t>
            </w:r>
            <w:r w:rsidR="00BF0223" w:rsidRPr="00F301B8">
              <w:rPr>
                <w:color w:val="0000FF"/>
                <w:sz w:val="22"/>
                <w:szCs w:val="22"/>
                <w:lang w:val="de-DE"/>
              </w:rPr>
              <w:t xml:space="preserve"> </w:t>
            </w:r>
          </w:p>
          <w:p w:rsidR="00B50B65" w:rsidRPr="00F301B8" w:rsidRDefault="00B50B65" w:rsidP="00CA73C7">
            <w:pPr>
              <w:rPr>
                <w:color w:val="0000FF"/>
                <w:sz w:val="22"/>
                <w:szCs w:val="22"/>
                <w:lang w:val="de-DE"/>
              </w:rPr>
            </w:pPr>
          </w:p>
          <w:p w:rsidR="00B50B65" w:rsidRPr="00F301B8" w:rsidRDefault="00B50B65" w:rsidP="00CA73C7">
            <w:pPr>
              <w:rPr>
                <w:color w:val="0000FF"/>
                <w:sz w:val="22"/>
                <w:szCs w:val="22"/>
                <w:lang w:val="de-DE"/>
              </w:rPr>
            </w:pPr>
          </w:p>
        </w:tc>
        <w:tc>
          <w:tcPr>
            <w:tcW w:w="8577" w:type="dxa"/>
            <w:tcBorders>
              <w:top w:val="single" w:sz="4" w:space="0" w:color="auto"/>
              <w:bottom w:val="single" w:sz="4" w:space="0" w:color="auto"/>
            </w:tcBorders>
          </w:tcPr>
          <w:p w:rsidR="00B50B65" w:rsidRPr="00F301B8" w:rsidRDefault="00B50B65" w:rsidP="00CA73C7">
            <w:pPr>
              <w:rPr>
                <w:color w:val="0000FF"/>
                <w:sz w:val="22"/>
                <w:szCs w:val="22"/>
                <w:lang w:val="de-DE"/>
              </w:rPr>
            </w:pPr>
          </w:p>
          <w:p w:rsidR="00B50B65" w:rsidRPr="00183F00" w:rsidRDefault="003A4BB1" w:rsidP="001408F0">
            <w:pPr>
              <w:jc w:val="both"/>
              <w:rPr>
                <w:sz w:val="22"/>
                <w:szCs w:val="22"/>
                <w:lang w:val="fr-FR"/>
              </w:rPr>
            </w:pPr>
            <w:r w:rsidRPr="00183F00">
              <w:rPr>
                <w:sz w:val="22"/>
                <w:szCs w:val="22"/>
                <w:lang w:val="fr-FR"/>
              </w:rPr>
              <w:t xml:space="preserve">Lors du </w:t>
            </w:r>
            <w:r w:rsidR="001348BF">
              <w:rPr>
                <w:sz w:val="22"/>
                <w:szCs w:val="22"/>
                <w:lang w:val="fr-FR"/>
              </w:rPr>
              <w:t>CT</w:t>
            </w:r>
            <w:r w:rsidRPr="00183F00">
              <w:rPr>
                <w:sz w:val="22"/>
                <w:szCs w:val="22"/>
                <w:lang w:val="fr-FR"/>
              </w:rPr>
              <w:t>9 (2009), la Comité a examiné les Plans d'action par espèce existants et n’a pas pu identifier de question en suspens et/ou non résolue.</w:t>
            </w:r>
            <w:r w:rsidR="0099731E" w:rsidRPr="00183F00">
              <w:rPr>
                <w:sz w:val="22"/>
                <w:szCs w:val="22"/>
                <w:lang w:val="fr-FR"/>
              </w:rPr>
              <w:t xml:space="preserve"> </w:t>
            </w:r>
            <w:r w:rsidRPr="00183F00">
              <w:rPr>
                <w:sz w:val="22"/>
                <w:szCs w:val="22"/>
                <w:lang w:val="fr-FR"/>
              </w:rPr>
              <w:t>D’autres consultations n’ont pas non plus identifié ce genre de questions.</w:t>
            </w:r>
            <w:r w:rsidR="00ED6420" w:rsidRPr="00183F00">
              <w:rPr>
                <w:sz w:val="22"/>
                <w:szCs w:val="22"/>
                <w:lang w:val="fr-FR"/>
              </w:rPr>
              <w:t xml:space="preserve"> </w:t>
            </w:r>
            <w:r w:rsidRPr="00183F00">
              <w:rPr>
                <w:sz w:val="22"/>
                <w:szCs w:val="22"/>
                <w:lang w:val="fr-FR"/>
              </w:rPr>
              <w:t>Le groupe de travail s’est donc concentré sur</w:t>
            </w:r>
            <w:r w:rsidR="0048284D" w:rsidRPr="00183F00">
              <w:rPr>
                <w:sz w:val="22"/>
                <w:szCs w:val="22"/>
                <w:lang w:val="fr-FR"/>
              </w:rPr>
              <w:t xml:space="preserve"> la</w:t>
            </w:r>
            <w:r w:rsidRPr="00183F00">
              <w:rPr>
                <w:sz w:val="22"/>
                <w:szCs w:val="22"/>
                <w:lang w:val="fr-FR"/>
              </w:rPr>
              <w:t xml:space="preserve"> discussi</w:t>
            </w:r>
            <w:r w:rsidR="0048284D" w:rsidRPr="00183F00">
              <w:rPr>
                <w:sz w:val="22"/>
                <w:szCs w:val="22"/>
                <w:lang w:val="fr-FR"/>
              </w:rPr>
              <w:t>o</w:t>
            </w:r>
            <w:r w:rsidRPr="00183F00">
              <w:rPr>
                <w:sz w:val="22"/>
                <w:szCs w:val="22"/>
                <w:lang w:val="fr-FR"/>
              </w:rPr>
              <w:t>n</w:t>
            </w:r>
            <w:r w:rsidR="0048284D" w:rsidRPr="00183F00">
              <w:rPr>
                <w:sz w:val="22"/>
                <w:szCs w:val="22"/>
                <w:lang w:val="fr-FR"/>
              </w:rPr>
              <w:t xml:space="preserve"> </w:t>
            </w:r>
            <w:r w:rsidR="00987FB7" w:rsidRPr="00183F00">
              <w:rPr>
                <w:sz w:val="22"/>
                <w:szCs w:val="22"/>
                <w:lang w:val="fr-FR"/>
              </w:rPr>
              <w:t xml:space="preserve">autour </w:t>
            </w:r>
            <w:r w:rsidR="0048284D" w:rsidRPr="00183F00">
              <w:rPr>
                <w:sz w:val="22"/>
                <w:szCs w:val="22"/>
                <w:lang w:val="fr-FR"/>
              </w:rPr>
              <w:t>de l'établissement de priorités dans le développement, la coordination et la mise en œuvre des SSAP et la surve</w:t>
            </w:r>
            <w:r w:rsidR="00987FB7" w:rsidRPr="00183F00">
              <w:rPr>
                <w:sz w:val="22"/>
                <w:szCs w:val="22"/>
                <w:lang w:val="fr-FR"/>
              </w:rPr>
              <w:t>i</w:t>
            </w:r>
            <w:r w:rsidR="0048284D" w:rsidRPr="00183F00">
              <w:rPr>
                <w:sz w:val="22"/>
                <w:szCs w:val="22"/>
                <w:lang w:val="fr-FR"/>
              </w:rPr>
              <w:t>llance de leurs processus</w:t>
            </w:r>
            <w:r w:rsidRPr="00183F00">
              <w:rPr>
                <w:sz w:val="22"/>
                <w:szCs w:val="22"/>
                <w:lang w:val="fr-FR"/>
              </w:rPr>
              <w:t>.</w:t>
            </w:r>
          </w:p>
          <w:p w:rsidR="00ED6420" w:rsidRPr="00183F00" w:rsidRDefault="00ED6420" w:rsidP="001408F0">
            <w:pPr>
              <w:jc w:val="both"/>
              <w:rPr>
                <w:color w:val="FF0000"/>
                <w:sz w:val="22"/>
                <w:szCs w:val="22"/>
                <w:lang w:val="fr-FR"/>
              </w:rPr>
            </w:pPr>
          </w:p>
          <w:p w:rsidR="009A0959" w:rsidRPr="00183F00" w:rsidRDefault="0048284D" w:rsidP="00525F9A">
            <w:pPr>
              <w:jc w:val="both"/>
              <w:rPr>
                <w:sz w:val="22"/>
                <w:szCs w:val="22"/>
                <w:lang w:val="fr-FR"/>
              </w:rPr>
            </w:pPr>
            <w:r w:rsidRPr="00183F00">
              <w:rPr>
                <w:sz w:val="22"/>
                <w:szCs w:val="22"/>
                <w:lang w:val="fr-FR"/>
              </w:rPr>
              <w:t xml:space="preserve">Un tableau résumant la situation actuelle </w:t>
            </w:r>
            <w:r w:rsidR="00E16A51" w:rsidRPr="00183F00">
              <w:rPr>
                <w:sz w:val="22"/>
                <w:szCs w:val="22"/>
                <w:lang w:val="fr-FR"/>
              </w:rPr>
              <w:t>en matière de production et de coordination des plans d</w:t>
            </w:r>
            <w:r w:rsidR="00987FB7" w:rsidRPr="00183F00">
              <w:rPr>
                <w:sz w:val="22"/>
                <w:szCs w:val="22"/>
                <w:lang w:val="fr-FR"/>
              </w:rPr>
              <w:t>’</w:t>
            </w:r>
            <w:r w:rsidR="00E16A51" w:rsidRPr="00183F00">
              <w:rPr>
                <w:sz w:val="22"/>
                <w:szCs w:val="22"/>
                <w:lang w:val="fr-FR"/>
              </w:rPr>
              <w:t>action par espèce a été produit</w:t>
            </w:r>
            <w:r w:rsidRPr="00183F00">
              <w:rPr>
                <w:sz w:val="22"/>
                <w:szCs w:val="22"/>
                <w:lang w:val="fr-FR"/>
              </w:rPr>
              <w:t xml:space="preserve"> (document AEWA/MOP 5.24). </w:t>
            </w:r>
            <w:r w:rsidR="00E16A51" w:rsidRPr="00183F00">
              <w:rPr>
                <w:sz w:val="22"/>
                <w:szCs w:val="22"/>
                <w:lang w:val="fr-FR"/>
              </w:rPr>
              <w:t xml:space="preserve">Au cours de la dernière </w:t>
            </w:r>
            <w:r w:rsidR="00E16A51" w:rsidRPr="00183F00">
              <w:rPr>
                <w:sz w:val="22"/>
                <w:szCs w:val="22"/>
                <w:lang w:val="fr-FR"/>
              </w:rPr>
              <w:lastRenderedPageBreak/>
              <w:t>période quadriennale</w:t>
            </w:r>
            <w:r w:rsidRPr="00183F00">
              <w:rPr>
                <w:sz w:val="22"/>
                <w:szCs w:val="22"/>
                <w:lang w:val="fr-FR"/>
              </w:rPr>
              <w:t xml:space="preserve">, </w:t>
            </w:r>
            <w:r w:rsidR="00E16A51" w:rsidRPr="00183F00">
              <w:rPr>
                <w:sz w:val="22"/>
                <w:szCs w:val="22"/>
                <w:lang w:val="fr-FR"/>
              </w:rPr>
              <w:t xml:space="preserve">le premier Plan international de gestion </w:t>
            </w:r>
            <w:r w:rsidR="00987FB7" w:rsidRPr="00183F00">
              <w:rPr>
                <w:sz w:val="22"/>
                <w:szCs w:val="22"/>
                <w:lang w:val="fr-FR"/>
              </w:rPr>
              <w:t>par</w:t>
            </w:r>
            <w:r w:rsidR="00E16A51" w:rsidRPr="00183F00">
              <w:rPr>
                <w:sz w:val="22"/>
                <w:szCs w:val="22"/>
                <w:lang w:val="fr-FR"/>
              </w:rPr>
              <w:t xml:space="preserve"> la voie de migration</w:t>
            </w:r>
            <w:r w:rsidRPr="00183F00">
              <w:rPr>
                <w:sz w:val="22"/>
                <w:szCs w:val="22"/>
                <w:lang w:val="fr-FR"/>
              </w:rPr>
              <w:t xml:space="preserve"> (</w:t>
            </w:r>
            <w:r w:rsidR="00E16A51" w:rsidRPr="00183F00">
              <w:rPr>
                <w:sz w:val="22"/>
                <w:szCs w:val="22"/>
                <w:lang w:val="fr-FR"/>
              </w:rPr>
              <w:t xml:space="preserve">pour </w:t>
            </w:r>
            <w:r w:rsidR="001F4726" w:rsidRPr="00183F00">
              <w:rPr>
                <w:sz w:val="22"/>
                <w:szCs w:val="22"/>
                <w:lang w:val="fr-FR"/>
              </w:rPr>
              <w:t>l’Oie à bec court</w:t>
            </w:r>
            <w:r w:rsidRPr="00183F00">
              <w:rPr>
                <w:sz w:val="22"/>
                <w:szCs w:val="22"/>
                <w:lang w:val="fr-FR"/>
              </w:rPr>
              <w:t xml:space="preserve"> </w:t>
            </w:r>
            <w:r w:rsidRPr="00183F00">
              <w:rPr>
                <w:i/>
                <w:sz w:val="22"/>
                <w:szCs w:val="22"/>
                <w:lang w:val="fr-FR"/>
              </w:rPr>
              <w:t>Anser brachyrhynchus</w:t>
            </w:r>
            <w:r w:rsidRPr="00183F00">
              <w:rPr>
                <w:sz w:val="22"/>
                <w:szCs w:val="22"/>
                <w:lang w:val="fr-FR"/>
              </w:rPr>
              <w:t xml:space="preserve"> </w:t>
            </w:r>
            <w:r w:rsidR="00BF6954" w:rsidRPr="00183F00">
              <w:rPr>
                <w:sz w:val="22"/>
                <w:szCs w:val="22"/>
                <w:lang w:val="fr-FR"/>
              </w:rPr>
              <w:t xml:space="preserve">–population du </w:t>
            </w:r>
            <w:r w:rsidRPr="00183F00">
              <w:rPr>
                <w:sz w:val="22"/>
                <w:szCs w:val="22"/>
                <w:lang w:val="fr-FR"/>
              </w:rPr>
              <w:t>Svalbard/</w:t>
            </w:r>
            <w:r w:rsidR="001F4726" w:rsidRPr="00183F00">
              <w:rPr>
                <w:sz w:val="22"/>
                <w:szCs w:val="22"/>
                <w:lang w:val="fr-FR"/>
              </w:rPr>
              <w:t>NO Europe</w:t>
            </w:r>
            <w:r w:rsidRPr="00183F00">
              <w:rPr>
                <w:sz w:val="22"/>
                <w:szCs w:val="22"/>
                <w:lang w:val="fr-FR"/>
              </w:rPr>
              <w:t>) a</w:t>
            </w:r>
            <w:r w:rsidR="001F4726" w:rsidRPr="00183F00">
              <w:rPr>
                <w:sz w:val="22"/>
                <w:szCs w:val="22"/>
                <w:lang w:val="fr-FR"/>
              </w:rPr>
              <w:t xml:space="preserve"> été élaboré</w:t>
            </w:r>
            <w:r w:rsidRPr="00183F00">
              <w:rPr>
                <w:sz w:val="22"/>
                <w:szCs w:val="22"/>
                <w:lang w:val="fr-FR"/>
              </w:rPr>
              <w:t xml:space="preserve">, </w:t>
            </w:r>
            <w:r w:rsidR="001F4726" w:rsidRPr="00183F00">
              <w:rPr>
                <w:sz w:val="22"/>
                <w:szCs w:val="22"/>
                <w:lang w:val="fr-FR"/>
              </w:rPr>
              <w:t xml:space="preserve">ce qui a entraîné des changements </w:t>
            </w:r>
            <w:r w:rsidR="00987FB7" w:rsidRPr="00183F00">
              <w:rPr>
                <w:sz w:val="22"/>
                <w:szCs w:val="22"/>
                <w:lang w:val="fr-FR"/>
              </w:rPr>
              <w:t>au niveau de</w:t>
            </w:r>
            <w:r w:rsidR="001F4726" w:rsidRPr="00183F00">
              <w:rPr>
                <w:sz w:val="22"/>
                <w:szCs w:val="22"/>
                <w:lang w:val="fr-FR"/>
              </w:rPr>
              <w:t xml:space="preserve"> la formulation du</w:t>
            </w:r>
            <w:r w:rsidRPr="00183F00">
              <w:rPr>
                <w:sz w:val="22"/>
                <w:szCs w:val="22"/>
                <w:lang w:val="fr-FR"/>
              </w:rPr>
              <w:t xml:space="preserve"> paragraph</w:t>
            </w:r>
            <w:r w:rsidR="001F4726" w:rsidRPr="00183F00">
              <w:rPr>
                <w:sz w:val="22"/>
                <w:szCs w:val="22"/>
                <w:lang w:val="fr-FR"/>
              </w:rPr>
              <w:t>e</w:t>
            </w:r>
            <w:r w:rsidRPr="00183F00">
              <w:rPr>
                <w:sz w:val="22"/>
                <w:szCs w:val="22"/>
                <w:lang w:val="fr-FR"/>
              </w:rPr>
              <w:t xml:space="preserve"> 4.3.4 </w:t>
            </w:r>
            <w:r w:rsidR="001F4726" w:rsidRPr="00183F00">
              <w:rPr>
                <w:sz w:val="22"/>
                <w:szCs w:val="22"/>
                <w:lang w:val="fr-FR"/>
              </w:rPr>
              <w:t>du Plan d’action de l’</w:t>
            </w:r>
            <w:r w:rsidRPr="00183F00">
              <w:rPr>
                <w:sz w:val="22"/>
                <w:szCs w:val="22"/>
                <w:lang w:val="fr-FR"/>
              </w:rPr>
              <w:t>AEWA – introdu</w:t>
            </w:r>
            <w:r w:rsidR="001F4726" w:rsidRPr="00183F00">
              <w:rPr>
                <w:sz w:val="22"/>
                <w:szCs w:val="22"/>
                <w:lang w:val="fr-FR"/>
              </w:rPr>
              <w:t>isant le nouveau</w:t>
            </w:r>
            <w:r w:rsidRPr="00183F00">
              <w:rPr>
                <w:sz w:val="22"/>
                <w:szCs w:val="22"/>
                <w:lang w:val="fr-FR"/>
              </w:rPr>
              <w:t xml:space="preserve"> type</w:t>
            </w:r>
            <w:r w:rsidR="001F4726" w:rsidRPr="00183F00">
              <w:rPr>
                <w:sz w:val="22"/>
                <w:szCs w:val="22"/>
                <w:lang w:val="fr-FR"/>
              </w:rPr>
              <w:t xml:space="preserve"> de plans</w:t>
            </w:r>
            <w:r w:rsidRPr="00183F00">
              <w:rPr>
                <w:sz w:val="22"/>
                <w:szCs w:val="22"/>
                <w:lang w:val="fr-FR"/>
              </w:rPr>
              <w:t xml:space="preserve"> internationa</w:t>
            </w:r>
            <w:r w:rsidR="001F4726" w:rsidRPr="00183F00">
              <w:rPr>
                <w:sz w:val="22"/>
                <w:szCs w:val="22"/>
                <w:lang w:val="fr-FR"/>
              </w:rPr>
              <w:t>ux par espèce</w:t>
            </w:r>
            <w:r w:rsidRPr="00183F00">
              <w:rPr>
                <w:sz w:val="22"/>
                <w:szCs w:val="22"/>
                <w:lang w:val="fr-FR"/>
              </w:rPr>
              <w:t xml:space="preserve"> (</w:t>
            </w:r>
            <w:r w:rsidR="001F4726" w:rsidRPr="00183F00">
              <w:rPr>
                <w:sz w:val="22"/>
                <w:szCs w:val="22"/>
                <w:lang w:val="fr-FR"/>
              </w:rPr>
              <w:t>voir</w:t>
            </w:r>
            <w:r w:rsidRPr="00183F00">
              <w:rPr>
                <w:sz w:val="22"/>
                <w:szCs w:val="22"/>
                <w:lang w:val="fr-FR"/>
              </w:rPr>
              <w:t xml:space="preserve"> document AEWA/MOP 5.20). </w:t>
            </w:r>
            <w:r w:rsidR="001F4726" w:rsidRPr="00183F00">
              <w:rPr>
                <w:sz w:val="22"/>
                <w:szCs w:val="22"/>
                <w:lang w:val="fr-FR"/>
              </w:rPr>
              <w:t xml:space="preserve">Les résultats de ce travail sont résumés dans l’avant-projet de </w:t>
            </w:r>
            <w:r w:rsidRPr="00183F00">
              <w:rPr>
                <w:sz w:val="22"/>
                <w:szCs w:val="22"/>
                <w:lang w:val="fr-FR"/>
              </w:rPr>
              <w:t>R</w:t>
            </w:r>
            <w:r w:rsidR="001F4726" w:rsidRPr="00183F00">
              <w:rPr>
                <w:sz w:val="22"/>
                <w:szCs w:val="22"/>
                <w:lang w:val="fr-FR"/>
              </w:rPr>
              <w:t>é</w:t>
            </w:r>
            <w:r w:rsidRPr="00183F00">
              <w:rPr>
                <w:sz w:val="22"/>
                <w:szCs w:val="22"/>
                <w:lang w:val="fr-FR"/>
              </w:rPr>
              <w:t xml:space="preserve">solution </w:t>
            </w:r>
            <w:r w:rsidR="00525F9A">
              <w:rPr>
                <w:sz w:val="22"/>
                <w:szCs w:val="22"/>
                <w:lang w:val="fr-FR"/>
              </w:rPr>
              <w:t>AEWA/MOP5 DR</w:t>
            </w:r>
            <w:r w:rsidRPr="00183F00">
              <w:rPr>
                <w:sz w:val="22"/>
                <w:szCs w:val="22"/>
                <w:lang w:val="fr-FR"/>
              </w:rPr>
              <w:t>8.</w:t>
            </w:r>
          </w:p>
        </w:tc>
      </w:tr>
      <w:tr w:rsidR="00B50B65" w:rsidRPr="00183F00">
        <w:tblPrEx>
          <w:tblCellMar>
            <w:top w:w="0" w:type="dxa"/>
            <w:bottom w:w="0" w:type="dxa"/>
          </w:tblCellMar>
        </w:tblPrEx>
        <w:tc>
          <w:tcPr>
            <w:tcW w:w="3369" w:type="dxa"/>
            <w:tcBorders>
              <w:top w:val="single" w:sz="4" w:space="0" w:color="auto"/>
              <w:bottom w:val="single" w:sz="4" w:space="0" w:color="auto"/>
            </w:tcBorders>
          </w:tcPr>
          <w:p w:rsidR="00B50B65" w:rsidRPr="00183F00" w:rsidRDefault="00B50B65" w:rsidP="00CA73C7">
            <w:pPr>
              <w:rPr>
                <w:color w:val="0000FF"/>
                <w:sz w:val="20"/>
                <w:lang w:val="fr-FR"/>
              </w:rPr>
            </w:pPr>
          </w:p>
          <w:p w:rsidR="003F7F14" w:rsidRPr="00183F00" w:rsidRDefault="00B50B65" w:rsidP="00CA73C7">
            <w:pPr>
              <w:rPr>
                <w:b/>
                <w:bCs/>
                <w:sz w:val="20"/>
                <w:lang w:val="fr-FR"/>
              </w:rPr>
            </w:pPr>
            <w:r w:rsidRPr="00183F00">
              <w:rPr>
                <w:b/>
                <w:bCs/>
                <w:sz w:val="20"/>
                <w:lang w:val="fr-FR"/>
              </w:rPr>
              <w:t xml:space="preserve">7. </w:t>
            </w:r>
            <w:r w:rsidR="003F7F14" w:rsidRPr="00183F00">
              <w:rPr>
                <w:b/>
                <w:bCs/>
                <w:sz w:val="20"/>
                <w:lang w:val="fr-FR"/>
              </w:rPr>
              <w:t xml:space="preserve"> </w:t>
            </w:r>
            <w:r w:rsidR="001F4726" w:rsidRPr="00183F00">
              <w:rPr>
                <w:b/>
                <w:bCs/>
                <w:sz w:val="20"/>
                <w:lang w:val="fr-FR"/>
              </w:rPr>
              <w:t>IIT</w:t>
            </w:r>
          </w:p>
          <w:p w:rsidR="00B50B65" w:rsidRPr="00183F00" w:rsidRDefault="00510253" w:rsidP="00D84A21">
            <w:pPr>
              <w:rPr>
                <w:sz w:val="20"/>
                <w:lang w:val="fr-FR"/>
              </w:rPr>
            </w:pPr>
            <w:r w:rsidRPr="00183F00">
              <w:rPr>
                <w:sz w:val="20"/>
                <w:lang w:val="fr-FR"/>
              </w:rPr>
              <w:t>É</w:t>
            </w:r>
            <w:r w:rsidR="001F4726" w:rsidRPr="00183F00">
              <w:rPr>
                <w:sz w:val="20"/>
                <w:lang w:val="fr-FR"/>
              </w:rPr>
              <w:t xml:space="preserve">tudier la structure des </w:t>
            </w:r>
            <w:r w:rsidRPr="00183F00">
              <w:rPr>
                <w:sz w:val="20"/>
                <w:lang w:val="fr-FR"/>
              </w:rPr>
              <w:t>Tâches</w:t>
            </w:r>
            <w:r w:rsidR="001F4726" w:rsidRPr="00183F00">
              <w:rPr>
                <w:sz w:val="20"/>
                <w:lang w:val="fr-FR"/>
              </w:rPr>
              <w:t xml:space="preserve"> internationales de mise en œuvre </w:t>
            </w:r>
            <w:r w:rsidRPr="00183F00">
              <w:rPr>
                <w:sz w:val="20"/>
                <w:lang w:val="fr-FR"/>
              </w:rPr>
              <w:t xml:space="preserve">(ITT) </w:t>
            </w:r>
            <w:r w:rsidR="001F4726" w:rsidRPr="00183F00">
              <w:rPr>
                <w:sz w:val="20"/>
                <w:lang w:val="fr-FR"/>
              </w:rPr>
              <w:t>pour renforcer leur réactivité aux questions clés et émergentes identifiées par les études internationales spécifiées au paragraphe 7.4 du Plan d’action</w:t>
            </w:r>
            <w:r w:rsidR="00987FB7" w:rsidRPr="00183F00">
              <w:rPr>
                <w:sz w:val="20"/>
                <w:lang w:val="fr-FR"/>
              </w:rPr>
              <w:t>,</w:t>
            </w:r>
            <w:r w:rsidR="001F4726" w:rsidRPr="00183F00">
              <w:rPr>
                <w:sz w:val="20"/>
                <w:lang w:val="fr-FR"/>
              </w:rPr>
              <w:t xml:space="preserve"> à produire au cours de la prochaine période </w:t>
            </w:r>
            <w:r w:rsidRPr="00183F00">
              <w:rPr>
                <w:sz w:val="20"/>
                <w:lang w:val="fr-FR"/>
              </w:rPr>
              <w:t>quadrie</w:t>
            </w:r>
            <w:r w:rsidR="001F4726" w:rsidRPr="00183F00">
              <w:rPr>
                <w:sz w:val="20"/>
                <w:lang w:val="fr-FR"/>
              </w:rPr>
              <w:t>nnale</w:t>
            </w:r>
            <w:r w:rsidRPr="00183F00">
              <w:rPr>
                <w:sz w:val="20"/>
                <w:lang w:val="fr-FR"/>
              </w:rPr>
              <w:t>,</w:t>
            </w:r>
            <w:r w:rsidR="001F4726" w:rsidRPr="00183F00">
              <w:rPr>
                <w:sz w:val="20"/>
                <w:lang w:val="fr-FR"/>
              </w:rPr>
              <w:t xml:space="preserve"> et entreprendre cette tâche parallèlement à l’évaluation de ces études, comme spécifié au paragraphe 7.6 du Plan d’action.</w:t>
            </w:r>
            <w:r w:rsidR="00BC52D8" w:rsidRPr="00183F00">
              <w:rPr>
                <w:sz w:val="20"/>
                <w:lang w:val="fr-FR"/>
              </w:rPr>
              <w:t xml:space="preserve"> (Résolution 4.10) ; après l’évaluation des études, formuler également des avant-projets de recommandation</w:t>
            </w:r>
            <w:r w:rsidR="00BF6954" w:rsidRPr="00183F00">
              <w:rPr>
                <w:sz w:val="20"/>
                <w:lang w:val="fr-FR"/>
              </w:rPr>
              <w:t>s</w:t>
            </w:r>
            <w:r w:rsidR="00BC52D8" w:rsidRPr="00183F00">
              <w:rPr>
                <w:sz w:val="20"/>
                <w:lang w:val="fr-FR"/>
              </w:rPr>
              <w:t xml:space="preserve"> et de résolutions à présenter à la MOP (Plan d’action 7.6)</w:t>
            </w:r>
          </w:p>
          <w:p w:rsidR="002D5C42" w:rsidRPr="00183F00" w:rsidRDefault="002D5C42" w:rsidP="00D84A21">
            <w:pPr>
              <w:rPr>
                <w:sz w:val="20"/>
                <w:lang w:val="fr-FR"/>
              </w:rPr>
            </w:pPr>
          </w:p>
          <w:p w:rsidR="002D5C42" w:rsidRPr="00183F00" w:rsidRDefault="002D5C42" w:rsidP="00D84A21">
            <w:pPr>
              <w:rPr>
                <w:sz w:val="20"/>
                <w:lang w:val="fr-FR"/>
              </w:rPr>
            </w:pPr>
          </w:p>
        </w:tc>
        <w:tc>
          <w:tcPr>
            <w:tcW w:w="1842" w:type="dxa"/>
            <w:tcBorders>
              <w:top w:val="single" w:sz="4" w:space="0" w:color="auto"/>
              <w:bottom w:val="single" w:sz="4" w:space="0" w:color="auto"/>
            </w:tcBorders>
            <w:shd w:val="clear" w:color="auto" w:fill="FFCC99"/>
          </w:tcPr>
          <w:p w:rsidR="00B50B65" w:rsidRPr="00183F00" w:rsidRDefault="00B50B65" w:rsidP="00CA73C7">
            <w:pPr>
              <w:rPr>
                <w:color w:val="0000FF"/>
                <w:sz w:val="22"/>
                <w:szCs w:val="22"/>
                <w:lang w:val="fr-FR"/>
              </w:rPr>
            </w:pPr>
          </w:p>
          <w:p w:rsidR="00B50B65" w:rsidRPr="00183F00" w:rsidRDefault="00BC52D8" w:rsidP="00CA73C7">
            <w:pPr>
              <w:rPr>
                <w:color w:val="0000FF"/>
                <w:sz w:val="22"/>
                <w:szCs w:val="22"/>
                <w:lang w:val="fr-FR"/>
              </w:rPr>
            </w:pPr>
            <w:r w:rsidRPr="00183F00">
              <w:rPr>
                <w:b/>
                <w:bCs/>
                <w:sz w:val="20"/>
                <w:lang w:val="fr-FR"/>
              </w:rPr>
              <w:t>HA, JK, SK, BL, SD</w:t>
            </w:r>
            <w:r w:rsidR="003F7F14" w:rsidRPr="00183F00">
              <w:rPr>
                <w:color w:val="0000FF"/>
                <w:sz w:val="22"/>
                <w:szCs w:val="22"/>
                <w:lang w:val="fr-FR"/>
              </w:rPr>
              <w:t xml:space="preserve"> </w:t>
            </w:r>
          </w:p>
          <w:p w:rsidR="00B50B65" w:rsidRPr="00183F00" w:rsidRDefault="00B50B65" w:rsidP="00CA73C7">
            <w:pPr>
              <w:rPr>
                <w:color w:val="0000FF"/>
                <w:szCs w:val="22"/>
                <w:lang w:val="fr-FR"/>
              </w:rPr>
            </w:pPr>
          </w:p>
        </w:tc>
        <w:tc>
          <w:tcPr>
            <w:tcW w:w="8577" w:type="dxa"/>
            <w:tcBorders>
              <w:top w:val="single" w:sz="4" w:space="0" w:color="auto"/>
              <w:bottom w:val="single" w:sz="4" w:space="0" w:color="auto"/>
            </w:tcBorders>
          </w:tcPr>
          <w:p w:rsidR="00B50B65" w:rsidRPr="00183F00" w:rsidRDefault="00B50B65" w:rsidP="00D84A21">
            <w:pPr>
              <w:jc w:val="both"/>
              <w:rPr>
                <w:color w:val="0000FF"/>
                <w:sz w:val="22"/>
                <w:szCs w:val="22"/>
                <w:lang w:val="fr-FR"/>
              </w:rPr>
            </w:pPr>
          </w:p>
          <w:p w:rsidR="0020764A" w:rsidRPr="00183F00" w:rsidRDefault="00BC52D8" w:rsidP="00D84A21">
            <w:pPr>
              <w:jc w:val="both"/>
              <w:rPr>
                <w:sz w:val="22"/>
                <w:szCs w:val="22"/>
                <w:lang w:val="fr-FR"/>
              </w:rPr>
            </w:pPr>
            <w:r w:rsidRPr="00183F00">
              <w:rPr>
                <w:sz w:val="22"/>
                <w:szCs w:val="22"/>
                <w:lang w:val="fr-FR"/>
              </w:rPr>
              <w:t>La liste des Tâches internationales de mise en œuvre (IIT) 2009-</w:t>
            </w:r>
            <w:smartTag w:uri="urn:schemas-microsoft-com:office:smarttags" w:element="metricconverter">
              <w:smartTagPr>
                <w:attr w:name="ProductID" w:val="2016 a"/>
              </w:smartTagPr>
              <w:r w:rsidRPr="00183F00">
                <w:rPr>
                  <w:sz w:val="22"/>
                  <w:szCs w:val="22"/>
                  <w:lang w:val="fr-FR"/>
                </w:rPr>
                <w:t xml:space="preserve">2016 </w:t>
              </w:r>
              <w:r w:rsidR="004F4C39" w:rsidRPr="00183F00">
                <w:rPr>
                  <w:sz w:val="22"/>
                  <w:szCs w:val="22"/>
                  <w:lang w:val="fr-FR"/>
                </w:rPr>
                <w:t>a</w:t>
              </w:r>
            </w:smartTag>
            <w:r w:rsidR="004F4C39" w:rsidRPr="00183F00">
              <w:rPr>
                <w:sz w:val="22"/>
                <w:szCs w:val="22"/>
                <w:lang w:val="fr-FR"/>
              </w:rPr>
              <w:t xml:space="preserve"> été examinée de fa</w:t>
            </w:r>
            <w:r w:rsidR="009C4018" w:rsidRPr="00183F00">
              <w:rPr>
                <w:sz w:val="22"/>
                <w:szCs w:val="22"/>
                <w:lang w:val="fr-FR"/>
              </w:rPr>
              <w:t>ço</w:t>
            </w:r>
            <w:r w:rsidR="004F4C39" w:rsidRPr="00183F00">
              <w:rPr>
                <w:sz w:val="22"/>
                <w:szCs w:val="22"/>
                <w:lang w:val="fr-FR"/>
              </w:rPr>
              <w:t>n approfondie</w:t>
            </w:r>
            <w:r w:rsidRPr="00183F00">
              <w:rPr>
                <w:sz w:val="22"/>
                <w:szCs w:val="22"/>
                <w:lang w:val="fr-FR"/>
              </w:rPr>
              <w:t>.</w:t>
            </w:r>
            <w:r w:rsidR="0020764A" w:rsidRPr="00183F00">
              <w:rPr>
                <w:sz w:val="22"/>
                <w:szCs w:val="22"/>
                <w:lang w:val="fr-FR"/>
              </w:rPr>
              <w:t xml:space="preserve"> </w:t>
            </w:r>
            <w:r w:rsidR="004F4C39" w:rsidRPr="00183F00">
              <w:rPr>
                <w:sz w:val="22"/>
                <w:szCs w:val="22"/>
                <w:lang w:val="fr-FR"/>
              </w:rPr>
              <w:t xml:space="preserve">Les tâches réalisées (dont beaucoup sont relatives à la mise en œuvre du projet Wings over Wetlands, clôturé en 2010) ont été </w:t>
            </w:r>
            <w:r w:rsidR="00BF6954" w:rsidRPr="00183F00">
              <w:rPr>
                <w:sz w:val="22"/>
                <w:szCs w:val="22"/>
                <w:lang w:val="fr-FR"/>
              </w:rPr>
              <w:t>supprimées</w:t>
            </w:r>
            <w:r w:rsidR="004F4C39" w:rsidRPr="00183F00">
              <w:rPr>
                <w:sz w:val="22"/>
                <w:szCs w:val="22"/>
                <w:lang w:val="fr-FR"/>
              </w:rPr>
              <w:t xml:space="preserve"> et d’autres ont été mises à jour, et la liste a été largement réécrite.</w:t>
            </w:r>
            <w:r w:rsidR="0020764A" w:rsidRPr="00183F00">
              <w:rPr>
                <w:sz w:val="22"/>
                <w:szCs w:val="22"/>
                <w:lang w:val="fr-FR"/>
              </w:rPr>
              <w:t xml:space="preserve"> </w:t>
            </w:r>
            <w:r w:rsidR="004F4C39" w:rsidRPr="00183F00">
              <w:rPr>
                <w:sz w:val="22"/>
                <w:szCs w:val="22"/>
                <w:lang w:val="fr-FR"/>
              </w:rPr>
              <w:t>Une attention toute particulière a été accordée à l’alignement des tâches sur le Plan d’action pour l’Afrique (</w:t>
            </w:r>
            <w:r w:rsidR="00153AA3" w:rsidRPr="00183F00">
              <w:rPr>
                <w:sz w:val="22"/>
                <w:szCs w:val="22"/>
                <w:lang w:val="fr-FR"/>
              </w:rPr>
              <w:t>qui sera examiné en vue de son achèvement avant la</w:t>
            </w:r>
            <w:r w:rsidR="004F4C39" w:rsidRPr="00183F00">
              <w:rPr>
                <w:sz w:val="22"/>
                <w:szCs w:val="22"/>
                <w:lang w:val="fr-FR"/>
              </w:rPr>
              <w:t xml:space="preserve"> MOP5). </w:t>
            </w:r>
            <w:r w:rsidR="00153AA3" w:rsidRPr="00183F00">
              <w:rPr>
                <w:sz w:val="22"/>
                <w:szCs w:val="22"/>
                <w:lang w:val="fr-FR"/>
              </w:rPr>
              <w:t>Les avant-pr</w:t>
            </w:r>
            <w:r w:rsidR="009C4018" w:rsidRPr="00183F00">
              <w:rPr>
                <w:sz w:val="22"/>
                <w:szCs w:val="22"/>
                <w:lang w:val="fr-FR"/>
              </w:rPr>
              <w:t>o</w:t>
            </w:r>
            <w:r w:rsidR="00153AA3" w:rsidRPr="00183F00">
              <w:rPr>
                <w:sz w:val="22"/>
                <w:szCs w:val="22"/>
                <w:lang w:val="fr-FR"/>
              </w:rPr>
              <w:t>jets d’</w:t>
            </w:r>
            <w:r w:rsidR="004F4C39" w:rsidRPr="00183F00">
              <w:rPr>
                <w:sz w:val="22"/>
                <w:szCs w:val="22"/>
                <w:lang w:val="fr-FR"/>
              </w:rPr>
              <w:t xml:space="preserve">IIT </w:t>
            </w:r>
            <w:r w:rsidR="00153AA3" w:rsidRPr="00183F00">
              <w:rPr>
                <w:sz w:val="22"/>
                <w:szCs w:val="22"/>
                <w:lang w:val="fr-FR"/>
              </w:rPr>
              <w:t>pour</w:t>
            </w:r>
            <w:r w:rsidR="004F4C39" w:rsidRPr="00183F00">
              <w:rPr>
                <w:sz w:val="22"/>
                <w:szCs w:val="22"/>
                <w:lang w:val="fr-FR"/>
              </w:rPr>
              <w:t xml:space="preserve"> [2012-2015][2012-2016] </w:t>
            </w:r>
            <w:r w:rsidR="00153AA3" w:rsidRPr="00183F00">
              <w:rPr>
                <w:sz w:val="22"/>
                <w:szCs w:val="22"/>
                <w:lang w:val="fr-FR"/>
              </w:rPr>
              <w:t>sont présentés</w:t>
            </w:r>
            <w:r w:rsidR="004F4C39" w:rsidRPr="00183F00">
              <w:rPr>
                <w:sz w:val="22"/>
                <w:szCs w:val="22"/>
                <w:lang w:val="fr-FR"/>
              </w:rPr>
              <w:t xml:space="preserve"> </w:t>
            </w:r>
            <w:r w:rsidR="00153AA3" w:rsidRPr="00183F00">
              <w:rPr>
                <w:sz w:val="22"/>
                <w:szCs w:val="22"/>
                <w:lang w:val="fr-FR"/>
              </w:rPr>
              <w:t xml:space="preserve">dans </w:t>
            </w:r>
            <w:r w:rsidR="00525F9A" w:rsidRPr="00183F00">
              <w:rPr>
                <w:sz w:val="22"/>
                <w:szCs w:val="22"/>
                <w:lang w:val="fr-FR"/>
              </w:rPr>
              <w:t xml:space="preserve">l’avant-projet de </w:t>
            </w:r>
            <w:r w:rsidR="00525F9A">
              <w:rPr>
                <w:sz w:val="22"/>
                <w:szCs w:val="22"/>
                <w:lang w:val="fr-FR"/>
              </w:rPr>
              <w:t>de Résolution</w:t>
            </w:r>
            <w:r w:rsidR="004F4C39" w:rsidRPr="00183F00">
              <w:rPr>
                <w:sz w:val="22"/>
                <w:szCs w:val="22"/>
                <w:lang w:val="fr-FR"/>
              </w:rPr>
              <w:t xml:space="preserve"> AEWA/MOP</w:t>
            </w:r>
            <w:r w:rsidR="00525F9A">
              <w:rPr>
                <w:sz w:val="22"/>
                <w:szCs w:val="22"/>
                <w:lang w:val="fr-FR"/>
              </w:rPr>
              <w:t>5</w:t>
            </w:r>
            <w:r w:rsidR="004F4C39" w:rsidRPr="00183F00">
              <w:rPr>
                <w:sz w:val="22"/>
                <w:szCs w:val="22"/>
                <w:lang w:val="fr-FR"/>
              </w:rPr>
              <w:t xml:space="preserve"> DR3, </w:t>
            </w:r>
            <w:r w:rsidR="00153AA3" w:rsidRPr="00183F00">
              <w:rPr>
                <w:sz w:val="22"/>
                <w:szCs w:val="22"/>
                <w:lang w:val="fr-FR"/>
              </w:rPr>
              <w:t xml:space="preserve">qui réunit </w:t>
            </w:r>
            <w:r w:rsidR="004F4C39" w:rsidRPr="00183F00">
              <w:rPr>
                <w:sz w:val="22"/>
                <w:szCs w:val="22"/>
                <w:lang w:val="fr-FR"/>
              </w:rPr>
              <w:t>31 projets.</w:t>
            </w:r>
          </w:p>
          <w:p w:rsidR="00B50B65" w:rsidRPr="00183F00" w:rsidRDefault="00B50B65" w:rsidP="00D84A21">
            <w:pPr>
              <w:jc w:val="both"/>
              <w:rPr>
                <w:color w:val="0000FF"/>
                <w:sz w:val="22"/>
                <w:szCs w:val="22"/>
                <w:lang w:val="fr-FR"/>
              </w:rPr>
            </w:pPr>
          </w:p>
        </w:tc>
      </w:tr>
      <w:tr w:rsidR="00B50B65" w:rsidRPr="00183F00">
        <w:tblPrEx>
          <w:tblCellMar>
            <w:top w:w="0" w:type="dxa"/>
            <w:bottom w:w="0" w:type="dxa"/>
          </w:tblCellMar>
        </w:tblPrEx>
        <w:tc>
          <w:tcPr>
            <w:tcW w:w="3369" w:type="dxa"/>
            <w:tcBorders>
              <w:top w:val="single" w:sz="4" w:space="0" w:color="auto"/>
              <w:bottom w:val="single" w:sz="4" w:space="0" w:color="auto"/>
            </w:tcBorders>
          </w:tcPr>
          <w:p w:rsidR="00B50B65" w:rsidRPr="00183F00" w:rsidRDefault="00B50B65" w:rsidP="00CA73C7">
            <w:pPr>
              <w:rPr>
                <w:iCs/>
                <w:color w:val="0000FF"/>
                <w:sz w:val="20"/>
                <w:lang w:val="fr-FR"/>
              </w:rPr>
            </w:pPr>
          </w:p>
          <w:p w:rsidR="00B50B65" w:rsidRPr="00183F00" w:rsidRDefault="00B50B65" w:rsidP="00CA73C7">
            <w:pPr>
              <w:rPr>
                <w:b/>
                <w:iCs/>
                <w:sz w:val="20"/>
                <w:lang w:val="fr-FR"/>
              </w:rPr>
            </w:pPr>
            <w:r w:rsidRPr="00183F00">
              <w:rPr>
                <w:b/>
                <w:bCs/>
                <w:iCs/>
                <w:sz w:val="20"/>
                <w:lang w:val="fr-FR"/>
              </w:rPr>
              <w:t xml:space="preserve">8. </w:t>
            </w:r>
            <w:r w:rsidR="00153AA3" w:rsidRPr="00183F00">
              <w:rPr>
                <w:b/>
                <w:iCs/>
                <w:sz w:val="20"/>
                <w:lang w:val="fr-FR"/>
              </w:rPr>
              <w:t xml:space="preserve">Lignes directrices de conservation </w:t>
            </w:r>
          </w:p>
          <w:p w:rsidR="00B50B65" w:rsidRPr="00183F00" w:rsidRDefault="00B50B65" w:rsidP="00CA73C7">
            <w:pPr>
              <w:rPr>
                <w:iCs/>
                <w:color w:val="0000FF"/>
                <w:sz w:val="20"/>
                <w:lang w:val="fr-FR"/>
              </w:rPr>
            </w:pPr>
          </w:p>
          <w:p w:rsidR="00B50B65" w:rsidRPr="00183F00" w:rsidRDefault="00153AA3" w:rsidP="003F7F14">
            <w:pPr>
              <w:rPr>
                <w:iCs/>
                <w:sz w:val="20"/>
                <w:lang w:val="fr-FR"/>
              </w:rPr>
            </w:pPr>
            <w:r w:rsidRPr="00183F00">
              <w:rPr>
                <w:iCs/>
                <w:sz w:val="20"/>
                <w:lang w:val="fr-FR"/>
              </w:rPr>
              <w:t xml:space="preserve">Évaluer les lignes directrices préparées sous le paragraphe 7.3. du Plan d’action et formuler des avant-projets </w:t>
            </w:r>
            <w:r w:rsidRPr="00183F00">
              <w:rPr>
                <w:iCs/>
                <w:sz w:val="20"/>
                <w:lang w:val="fr-FR"/>
              </w:rPr>
              <w:lastRenderedPageBreak/>
              <w:t xml:space="preserve">de </w:t>
            </w:r>
            <w:r w:rsidR="0089226A" w:rsidRPr="00183F00">
              <w:rPr>
                <w:iCs/>
                <w:sz w:val="20"/>
                <w:lang w:val="fr-FR"/>
              </w:rPr>
              <w:t>recommandations</w:t>
            </w:r>
            <w:r w:rsidRPr="00183F00">
              <w:rPr>
                <w:iCs/>
                <w:sz w:val="20"/>
                <w:lang w:val="fr-FR"/>
              </w:rPr>
              <w:t xml:space="preserve"> et/ou de résolutions relatives à leur développement/mise à jour, contenu et mise en œuvre (Plan d’action 7.6)</w:t>
            </w:r>
          </w:p>
        </w:tc>
        <w:tc>
          <w:tcPr>
            <w:tcW w:w="1842" w:type="dxa"/>
            <w:tcBorders>
              <w:top w:val="single" w:sz="4" w:space="0" w:color="auto"/>
              <w:bottom w:val="single" w:sz="4" w:space="0" w:color="auto"/>
            </w:tcBorders>
            <w:shd w:val="clear" w:color="auto" w:fill="FFCC99"/>
          </w:tcPr>
          <w:p w:rsidR="00B50B65" w:rsidRPr="00183F00" w:rsidRDefault="00B50B65" w:rsidP="00CA73C7">
            <w:pPr>
              <w:rPr>
                <w:b/>
                <w:bCs/>
                <w:iCs/>
                <w:color w:val="0000FF"/>
                <w:sz w:val="22"/>
                <w:szCs w:val="22"/>
                <w:lang w:val="fr-FR"/>
              </w:rPr>
            </w:pPr>
          </w:p>
          <w:p w:rsidR="00B50B65" w:rsidRPr="00F301B8" w:rsidRDefault="00153AA3" w:rsidP="00CA73C7">
            <w:pPr>
              <w:rPr>
                <w:iCs/>
                <w:color w:val="0000FF"/>
                <w:sz w:val="22"/>
                <w:szCs w:val="22"/>
                <w:lang w:val="de-DE"/>
              </w:rPr>
            </w:pPr>
            <w:r w:rsidRPr="00F301B8">
              <w:rPr>
                <w:b/>
                <w:bCs/>
                <w:sz w:val="20"/>
                <w:lang w:val="de-DE"/>
              </w:rPr>
              <w:t>JK, SK, ON, MA, AM, SD</w:t>
            </w:r>
            <w:r w:rsidR="003F7F14" w:rsidRPr="00F301B8">
              <w:rPr>
                <w:iCs/>
                <w:color w:val="0000FF"/>
                <w:sz w:val="22"/>
                <w:szCs w:val="22"/>
                <w:lang w:val="de-DE"/>
              </w:rPr>
              <w:t xml:space="preserve"> </w:t>
            </w: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p w:rsidR="00B50B65" w:rsidRPr="00F301B8" w:rsidRDefault="00B50B65" w:rsidP="00CA73C7">
            <w:pPr>
              <w:rPr>
                <w:iCs/>
                <w:color w:val="0000FF"/>
                <w:sz w:val="22"/>
                <w:szCs w:val="22"/>
                <w:lang w:val="de-DE"/>
              </w:rPr>
            </w:pPr>
          </w:p>
        </w:tc>
        <w:tc>
          <w:tcPr>
            <w:tcW w:w="8577" w:type="dxa"/>
            <w:tcBorders>
              <w:top w:val="single" w:sz="4" w:space="0" w:color="auto"/>
              <w:bottom w:val="single" w:sz="4" w:space="0" w:color="auto"/>
            </w:tcBorders>
          </w:tcPr>
          <w:p w:rsidR="00B50B65" w:rsidRPr="00F301B8" w:rsidRDefault="00B50B65" w:rsidP="00CA73C7">
            <w:pPr>
              <w:rPr>
                <w:i/>
                <w:iCs/>
                <w:color w:val="0000FF"/>
                <w:sz w:val="22"/>
                <w:szCs w:val="22"/>
                <w:lang w:val="de-DE"/>
              </w:rPr>
            </w:pPr>
          </w:p>
          <w:p w:rsidR="00B704DF" w:rsidRPr="00183F00" w:rsidRDefault="009A4C08" w:rsidP="00241131">
            <w:pPr>
              <w:jc w:val="both"/>
              <w:rPr>
                <w:sz w:val="22"/>
                <w:szCs w:val="22"/>
                <w:lang w:val="fr-FR"/>
              </w:rPr>
            </w:pPr>
            <w:r w:rsidRPr="00183F00">
              <w:rPr>
                <w:sz w:val="22"/>
                <w:szCs w:val="22"/>
                <w:lang w:val="fr-FR"/>
              </w:rPr>
              <w:t>Les lignes directrices existantes ont été examinées et le besoin de les mettre à jour évalué.</w:t>
            </w:r>
            <w:r w:rsidR="006875C0" w:rsidRPr="00183F00">
              <w:rPr>
                <w:sz w:val="22"/>
                <w:szCs w:val="22"/>
                <w:lang w:val="fr-FR"/>
              </w:rPr>
              <w:t xml:space="preserve"> </w:t>
            </w:r>
            <w:r w:rsidRPr="00183F00">
              <w:rPr>
                <w:sz w:val="22"/>
                <w:szCs w:val="22"/>
                <w:lang w:val="fr-FR"/>
              </w:rPr>
              <w:t>Trois lignes directrices ont été mises à jour.</w:t>
            </w:r>
            <w:r w:rsidR="00B704DF" w:rsidRPr="00183F00">
              <w:rPr>
                <w:sz w:val="22"/>
                <w:szCs w:val="22"/>
                <w:lang w:val="fr-FR"/>
              </w:rPr>
              <w:t xml:space="preserve"> </w:t>
            </w:r>
            <w:r w:rsidRPr="00183F00">
              <w:rPr>
                <w:sz w:val="22"/>
                <w:szCs w:val="22"/>
                <w:lang w:val="fr-FR"/>
              </w:rPr>
              <w:t>Les lignes directrices n</w:t>
            </w:r>
            <w:r w:rsidRPr="00183F00">
              <w:rPr>
                <w:sz w:val="22"/>
                <w:szCs w:val="22"/>
                <w:vertAlign w:val="superscript"/>
                <w:lang w:val="fr-FR"/>
              </w:rPr>
              <w:t>o</w:t>
            </w:r>
            <w:r w:rsidRPr="00183F00">
              <w:rPr>
                <w:sz w:val="22"/>
                <w:szCs w:val="22"/>
                <w:lang w:val="fr-FR"/>
              </w:rPr>
              <w:t xml:space="preserve"> 6 - </w:t>
            </w:r>
            <w:r w:rsidR="00D07F6A" w:rsidRPr="00183F00">
              <w:rPr>
                <w:i/>
                <w:sz w:val="22"/>
                <w:szCs w:val="22"/>
                <w:lang w:val="fr-FR"/>
              </w:rPr>
              <w:t>Lignes directrices sur la réglementation du commerce des oiseaux d’eau migrateurs</w:t>
            </w:r>
            <w:r w:rsidR="00D07F6A" w:rsidRPr="00183F00">
              <w:rPr>
                <w:sz w:val="22"/>
                <w:szCs w:val="22"/>
                <w:lang w:val="fr-FR"/>
              </w:rPr>
              <w:t xml:space="preserve"> ont été entièrement réécrites, tandis que les</w:t>
            </w:r>
            <w:r w:rsidRPr="00183F00">
              <w:rPr>
                <w:sz w:val="22"/>
                <w:szCs w:val="22"/>
                <w:lang w:val="fr-FR"/>
              </w:rPr>
              <w:t xml:space="preserve"> </w:t>
            </w:r>
            <w:r w:rsidR="00D07F6A" w:rsidRPr="00183F00">
              <w:rPr>
                <w:sz w:val="22"/>
                <w:szCs w:val="22"/>
                <w:lang w:val="fr-FR"/>
              </w:rPr>
              <w:t>Lignes directrices</w:t>
            </w:r>
            <w:r w:rsidRPr="00183F00">
              <w:rPr>
                <w:sz w:val="22"/>
                <w:szCs w:val="22"/>
                <w:lang w:val="fr-FR"/>
              </w:rPr>
              <w:t xml:space="preserve"> </w:t>
            </w:r>
            <w:r w:rsidR="00D07F6A" w:rsidRPr="00183F00">
              <w:rPr>
                <w:sz w:val="22"/>
                <w:szCs w:val="22"/>
                <w:lang w:val="fr-FR"/>
              </w:rPr>
              <w:t>n</w:t>
            </w:r>
            <w:r w:rsidR="00D07F6A" w:rsidRPr="00183F00">
              <w:rPr>
                <w:sz w:val="22"/>
                <w:szCs w:val="22"/>
                <w:vertAlign w:val="superscript"/>
                <w:lang w:val="fr-FR"/>
              </w:rPr>
              <w:t>o</w:t>
            </w:r>
            <w:r w:rsidRPr="00183F00">
              <w:rPr>
                <w:sz w:val="22"/>
                <w:szCs w:val="22"/>
                <w:lang w:val="fr-FR"/>
              </w:rPr>
              <w:t xml:space="preserve"> 2 </w:t>
            </w:r>
            <w:r w:rsidR="00E72059" w:rsidRPr="00183F00">
              <w:rPr>
                <w:sz w:val="22"/>
                <w:szCs w:val="22"/>
                <w:lang w:val="fr-FR"/>
              </w:rPr>
              <w:t>–</w:t>
            </w:r>
            <w:r w:rsidRPr="00183F00">
              <w:rPr>
                <w:sz w:val="22"/>
                <w:szCs w:val="22"/>
                <w:lang w:val="fr-FR"/>
              </w:rPr>
              <w:t xml:space="preserve"> </w:t>
            </w:r>
            <w:r w:rsidR="00E72059" w:rsidRPr="00183F00">
              <w:rPr>
                <w:i/>
                <w:sz w:val="22"/>
                <w:szCs w:val="22"/>
                <w:lang w:val="fr-FR"/>
              </w:rPr>
              <w:t xml:space="preserve">Lignes directrices sur l’identification et la prise en </w:t>
            </w:r>
            <w:r w:rsidR="00E72059" w:rsidRPr="00183F00">
              <w:rPr>
                <w:i/>
                <w:sz w:val="22"/>
                <w:szCs w:val="22"/>
                <w:lang w:val="fr-FR"/>
              </w:rPr>
              <w:lastRenderedPageBreak/>
              <w:t>main des situations d’urgence pour les oiseaux d’eau migrateurs</w:t>
            </w:r>
            <w:r w:rsidRPr="00183F00">
              <w:rPr>
                <w:sz w:val="22"/>
                <w:szCs w:val="22"/>
                <w:lang w:val="fr-FR"/>
              </w:rPr>
              <w:t xml:space="preserve"> </w:t>
            </w:r>
            <w:r w:rsidR="00E72059" w:rsidRPr="00183F00">
              <w:rPr>
                <w:sz w:val="22"/>
                <w:szCs w:val="22"/>
                <w:lang w:val="fr-FR"/>
              </w:rPr>
              <w:t>et les</w:t>
            </w:r>
            <w:r w:rsidRPr="00183F00">
              <w:rPr>
                <w:sz w:val="22"/>
                <w:szCs w:val="22"/>
                <w:lang w:val="fr-FR"/>
              </w:rPr>
              <w:t xml:space="preserve"> </w:t>
            </w:r>
            <w:r w:rsidR="00E72059" w:rsidRPr="00183F00">
              <w:rPr>
                <w:sz w:val="22"/>
                <w:szCs w:val="22"/>
                <w:lang w:val="fr-FR"/>
              </w:rPr>
              <w:t>Lignes directrices n</w:t>
            </w:r>
            <w:r w:rsidR="00E72059" w:rsidRPr="00183F00">
              <w:rPr>
                <w:sz w:val="22"/>
                <w:szCs w:val="22"/>
                <w:vertAlign w:val="superscript"/>
                <w:lang w:val="fr-FR"/>
              </w:rPr>
              <w:t>o</w:t>
            </w:r>
            <w:r w:rsidRPr="00183F00">
              <w:rPr>
                <w:sz w:val="22"/>
                <w:szCs w:val="22"/>
                <w:lang w:val="fr-FR"/>
              </w:rPr>
              <w:t xml:space="preserve"> 10 </w:t>
            </w:r>
            <w:r w:rsidR="00E72059" w:rsidRPr="00183F00">
              <w:rPr>
                <w:sz w:val="22"/>
                <w:szCs w:val="22"/>
                <w:lang w:val="fr-FR"/>
              </w:rPr>
              <w:t>–</w:t>
            </w:r>
            <w:r w:rsidRPr="00183F00">
              <w:rPr>
                <w:sz w:val="22"/>
                <w:szCs w:val="22"/>
                <w:lang w:val="fr-FR"/>
              </w:rPr>
              <w:t xml:space="preserve"> </w:t>
            </w:r>
            <w:r w:rsidR="00E72059" w:rsidRPr="00183F00">
              <w:rPr>
                <w:i/>
                <w:sz w:val="22"/>
                <w:szCs w:val="22"/>
                <w:lang w:val="fr-FR"/>
              </w:rPr>
              <w:t>Prévention de l’introduction d’espèces d’oiseaux d’eau non indigènes</w:t>
            </w:r>
            <w:r w:rsidRPr="00183F00">
              <w:rPr>
                <w:sz w:val="22"/>
                <w:szCs w:val="22"/>
                <w:lang w:val="fr-FR"/>
              </w:rPr>
              <w:t xml:space="preserve"> </w:t>
            </w:r>
            <w:r w:rsidR="00E72059" w:rsidRPr="00183F00">
              <w:rPr>
                <w:sz w:val="22"/>
                <w:szCs w:val="22"/>
                <w:lang w:val="fr-FR"/>
              </w:rPr>
              <w:t>ont été révisées et mises à jour</w:t>
            </w:r>
            <w:r w:rsidRPr="00183F00">
              <w:rPr>
                <w:sz w:val="22"/>
                <w:szCs w:val="22"/>
                <w:lang w:val="fr-FR"/>
              </w:rPr>
              <w:t>.</w:t>
            </w:r>
            <w:r w:rsidR="005865FA" w:rsidRPr="00183F00">
              <w:rPr>
                <w:sz w:val="22"/>
                <w:szCs w:val="22"/>
                <w:lang w:val="fr-FR"/>
              </w:rPr>
              <w:t xml:space="preserve"> </w:t>
            </w:r>
            <w:r w:rsidR="00E72059" w:rsidRPr="00183F00">
              <w:rPr>
                <w:sz w:val="22"/>
                <w:szCs w:val="22"/>
                <w:lang w:val="fr-FR"/>
              </w:rPr>
              <w:t>Les trois lignes directrices révisées sont soumise à la MOP5 pour approbation (documents AEWA/MOP 5.33, 5.34 et 5.35).</w:t>
            </w:r>
          </w:p>
          <w:p w:rsidR="00983DD7" w:rsidRPr="00183F00" w:rsidRDefault="00983DD7" w:rsidP="00241131">
            <w:pPr>
              <w:jc w:val="both"/>
              <w:rPr>
                <w:sz w:val="22"/>
                <w:szCs w:val="22"/>
                <w:lang w:val="fr-FR"/>
              </w:rPr>
            </w:pPr>
          </w:p>
          <w:p w:rsidR="00B50B65" w:rsidRPr="00183F00" w:rsidRDefault="00E76376" w:rsidP="00983DD7">
            <w:pPr>
              <w:jc w:val="both"/>
              <w:rPr>
                <w:iCs/>
                <w:color w:val="0000FF"/>
                <w:sz w:val="22"/>
                <w:szCs w:val="22"/>
                <w:lang w:val="fr-FR"/>
              </w:rPr>
            </w:pPr>
            <w:r w:rsidRPr="00183F00">
              <w:rPr>
                <w:sz w:val="22"/>
                <w:szCs w:val="22"/>
                <w:lang w:val="fr-FR"/>
              </w:rPr>
              <w:t>La mise à jour de deux lignes directrices (n</w:t>
            </w:r>
            <w:r w:rsidRPr="00183F00">
              <w:rPr>
                <w:sz w:val="22"/>
                <w:szCs w:val="22"/>
                <w:vertAlign w:val="superscript"/>
                <w:lang w:val="fr-FR"/>
              </w:rPr>
              <w:t>o</w:t>
            </w:r>
            <w:r w:rsidRPr="00183F00">
              <w:rPr>
                <w:sz w:val="22"/>
                <w:szCs w:val="22"/>
                <w:lang w:val="fr-FR"/>
              </w:rPr>
              <w:t xml:space="preserve"> 1 -</w:t>
            </w:r>
            <w:r w:rsidRPr="00183F00">
              <w:rPr>
                <w:i/>
                <w:sz w:val="22"/>
                <w:szCs w:val="22"/>
                <w:lang w:val="fr-FR"/>
              </w:rPr>
              <w:t>Lignes directrices sur la préparation de Plans d’action nationaux par espèce pour les oiseaux d’eau migrateurs</w:t>
            </w:r>
            <w:r w:rsidRPr="00183F00">
              <w:rPr>
                <w:sz w:val="22"/>
                <w:szCs w:val="22"/>
                <w:lang w:val="fr-FR"/>
              </w:rPr>
              <w:t xml:space="preserve"> et n</w:t>
            </w:r>
            <w:r w:rsidRPr="00183F00">
              <w:rPr>
                <w:sz w:val="22"/>
                <w:szCs w:val="22"/>
                <w:vertAlign w:val="superscript"/>
                <w:lang w:val="fr-FR"/>
              </w:rPr>
              <w:t>o</w:t>
            </w:r>
            <w:r w:rsidRPr="00183F00">
              <w:rPr>
                <w:sz w:val="22"/>
                <w:szCs w:val="22"/>
                <w:lang w:val="fr-FR"/>
              </w:rPr>
              <w:t xml:space="preserve"> 5 – </w:t>
            </w:r>
            <w:r w:rsidRPr="00183F00">
              <w:rPr>
                <w:i/>
                <w:sz w:val="22"/>
                <w:szCs w:val="22"/>
                <w:lang w:val="fr-FR"/>
              </w:rPr>
              <w:t>Lignes directrices sur le prélèvement durable des oiseaux d’eau migrateurs</w:t>
            </w:r>
            <w:r w:rsidRPr="00183F00">
              <w:rPr>
                <w:sz w:val="22"/>
                <w:szCs w:val="22"/>
                <w:lang w:val="fr-FR"/>
              </w:rPr>
              <w:t>) doit être externalisé</w:t>
            </w:r>
            <w:r w:rsidR="00BF6954" w:rsidRPr="00183F00">
              <w:rPr>
                <w:sz w:val="22"/>
                <w:szCs w:val="22"/>
                <w:lang w:val="fr-FR"/>
              </w:rPr>
              <w:t>e</w:t>
            </w:r>
            <w:r w:rsidRPr="00183F00">
              <w:rPr>
                <w:sz w:val="22"/>
                <w:szCs w:val="22"/>
                <w:lang w:val="fr-FR"/>
              </w:rPr>
              <w:t>, et a donc été ajoutée aux ITT pour la prochaine période triennale (document AEWA/MOP</w:t>
            </w:r>
            <w:r w:rsidR="00C920C2">
              <w:rPr>
                <w:sz w:val="22"/>
                <w:szCs w:val="22"/>
                <w:lang w:val="fr-FR"/>
              </w:rPr>
              <w:t xml:space="preserve">5 </w:t>
            </w:r>
            <w:r w:rsidRPr="00183F00">
              <w:rPr>
                <w:sz w:val="22"/>
                <w:szCs w:val="22"/>
                <w:lang w:val="fr-FR"/>
              </w:rPr>
              <w:t>DR3).</w:t>
            </w:r>
            <w:r w:rsidR="00B704DF" w:rsidRPr="00183F00">
              <w:rPr>
                <w:sz w:val="22"/>
                <w:szCs w:val="22"/>
                <w:lang w:val="fr-FR"/>
              </w:rPr>
              <w:t xml:space="preserve"> </w:t>
            </w:r>
            <w:r w:rsidR="00CA6DB5" w:rsidRPr="00183F00">
              <w:rPr>
                <w:sz w:val="22"/>
                <w:szCs w:val="22"/>
                <w:lang w:val="fr-FR"/>
              </w:rPr>
              <w:t>Le travail de ce groupe se poursuivra durant la prochaine période triennale</w:t>
            </w:r>
            <w:r w:rsidRPr="00183F00">
              <w:rPr>
                <w:sz w:val="22"/>
                <w:szCs w:val="22"/>
                <w:lang w:val="fr-FR"/>
              </w:rPr>
              <w:t>.</w:t>
            </w:r>
          </w:p>
        </w:tc>
      </w:tr>
      <w:tr w:rsidR="00B50B65" w:rsidRPr="00183F00">
        <w:tblPrEx>
          <w:tblCellMar>
            <w:top w:w="0" w:type="dxa"/>
            <w:bottom w:w="0" w:type="dxa"/>
          </w:tblCellMar>
        </w:tblPrEx>
        <w:tc>
          <w:tcPr>
            <w:tcW w:w="3369" w:type="dxa"/>
            <w:tcBorders>
              <w:top w:val="single" w:sz="4" w:space="0" w:color="auto"/>
              <w:bottom w:val="single" w:sz="4" w:space="0" w:color="auto"/>
            </w:tcBorders>
          </w:tcPr>
          <w:p w:rsidR="00B50B65" w:rsidRPr="00183F00" w:rsidRDefault="00B50B65" w:rsidP="00CA73C7">
            <w:pPr>
              <w:rPr>
                <w:iCs/>
                <w:sz w:val="20"/>
                <w:lang w:val="fr-FR"/>
              </w:rPr>
            </w:pPr>
          </w:p>
          <w:p w:rsidR="003F7F14" w:rsidRPr="00183F00" w:rsidRDefault="00B50B65" w:rsidP="00CA73C7">
            <w:pPr>
              <w:rPr>
                <w:b/>
                <w:bCs/>
                <w:iCs/>
                <w:sz w:val="20"/>
                <w:lang w:val="fr-FR"/>
              </w:rPr>
            </w:pPr>
            <w:r w:rsidRPr="00183F00">
              <w:rPr>
                <w:b/>
                <w:bCs/>
                <w:iCs/>
                <w:sz w:val="20"/>
                <w:lang w:val="fr-FR"/>
              </w:rPr>
              <w:t xml:space="preserve">9. </w:t>
            </w:r>
            <w:r w:rsidR="00CA6DB5" w:rsidRPr="00183F00">
              <w:rPr>
                <w:b/>
                <w:bCs/>
                <w:iCs/>
                <w:sz w:val="20"/>
                <w:lang w:val="fr-FR"/>
              </w:rPr>
              <w:t>Exploitation minière et industries extractives</w:t>
            </w:r>
          </w:p>
          <w:p w:rsidR="00B50B65" w:rsidRPr="00183F00" w:rsidRDefault="00B50B65" w:rsidP="003F7F14">
            <w:pPr>
              <w:rPr>
                <w:iCs/>
                <w:sz w:val="20"/>
                <w:lang w:val="fr-FR"/>
              </w:rPr>
            </w:pPr>
          </w:p>
          <w:p w:rsidR="003F7F14" w:rsidRPr="00183F00" w:rsidRDefault="00CA6DB5" w:rsidP="003F7F14">
            <w:pPr>
              <w:rPr>
                <w:iCs/>
                <w:sz w:val="20"/>
                <w:lang w:val="fr-FR"/>
              </w:rPr>
            </w:pPr>
            <w:r w:rsidRPr="00183F00">
              <w:rPr>
                <w:iCs/>
                <w:sz w:val="20"/>
                <w:lang w:val="fr-FR"/>
              </w:rPr>
              <w:t>Produ</w:t>
            </w:r>
            <w:r w:rsidR="00550AB4" w:rsidRPr="00183F00">
              <w:rPr>
                <w:iCs/>
                <w:sz w:val="20"/>
                <w:lang w:val="fr-FR"/>
              </w:rPr>
              <w:t>ire une étude sur les</w:t>
            </w:r>
            <w:r w:rsidRPr="00183F00">
              <w:rPr>
                <w:iCs/>
                <w:sz w:val="20"/>
                <w:lang w:val="fr-FR"/>
              </w:rPr>
              <w:t xml:space="preserve"> effets </w:t>
            </w:r>
            <w:r w:rsidR="00E062D5" w:rsidRPr="00183F00">
              <w:rPr>
                <w:iCs/>
                <w:sz w:val="20"/>
                <w:lang w:val="fr-FR"/>
              </w:rPr>
              <w:t>qu’ont</w:t>
            </w:r>
            <w:r w:rsidR="00550AB4" w:rsidRPr="00183F00">
              <w:rPr>
                <w:iCs/>
                <w:sz w:val="20"/>
                <w:lang w:val="fr-FR"/>
              </w:rPr>
              <w:t xml:space="preserve"> l’exploitation minière et </w:t>
            </w:r>
            <w:r w:rsidR="00E062D5" w:rsidRPr="00183F00">
              <w:rPr>
                <w:iCs/>
                <w:sz w:val="20"/>
                <w:lang w:val="fr-FR"/>
              </w:rPr>
              <w:t>l</w:t>
            </w:r>
            <w:r w:rsidR="00550AB4" w:rsidRPr="00183F00">
              <w:rPr>
                <w:iCs/>
                <w:sz w:val="20"/>
                <w:lang w:val="fr-FR"/>
              </w:rPr>
              <w:t>es industries</w:t>
            </w:r>
            <w:r w:rsidRPr="00183F00">
              <w:rPr>
                <w:iCs/>
                <w:sz w:val="20"/>
                <w:lang w:val="fr-FR"/>
              </w:rPr>
              <w:t xml:space="preserve"> extractive</w:t>
            </w:r>
            <w:r w:rsidR="00550AB4" w:rsidRPr="00183F00">
              <w:rPr>
                <w:iCs/>
                <w:sz w:val="20"/>
                <w:lang w:val="fr-FR"/>
              </w:rPr>
              <w:t>s sur les zones humides et les oiseaux d’eau</w:t>
            </w:r>
            <w:r w:rsidRPr="00183F00">
              <w:rPr>
                <w:iCs/>
                <w:sz w:val="20"/>
                <w:lang w:val="fr-FR"/>
              </w:rPr>
              <w:t xml:space="preserve"> (</w:t>
            </w:r>
            <w:r w:rsidR="00550AB4" w:rsidRPr="00183F00">
              <w:rPr>
                <w:iCs/>
                <w:sz w:val="20"/>
                <w:lang w:val="fr-FR"/>
              </w:rPr>
              <w:t>e</w:t>
            </w:r>
            <w:r w:rsidRPr="00183F00">
              <w:rPr>
                <w:iCs/>
                <w:sz w:val="20"/>
                <w:lang w:val="fr-FR"/>
              </w:rPr>
              <w:t>n collaboration</w:t>
            </w:r>
            <w:r w:rsidR="00E062D5" w:rsidRPr="00183F00">
              <w:rPr>
                <w:iCs/>
                <w:sz w:val="20"/>
                <w:lang w:val="fr-FR"/>
              </w:rPr>
              <w:t xml:space="preserve"> </w:t>
            </w:r>
            <w:r w:rsidR="00550AB4" w:rsidRPr="00183F00">
              <w:rPr>
                <w:iCs/>
                <w:sz w:val="20"/>
                <w:lang w:val="fr-FR"/>
              </w:rPr>
              <w:t>avec le GEST de</w:t>
            </w:r>
            <w:r w:rsidRPr="00183F00">
              <w:rPr>
                <w:iCs/>
                <w:sz w:val="20"/>
                <w:lang w:val="fr-FR"/>
              </w:rPr>
              <w:t xml:space="preserve"> </w:t>
            </w:r>
            <w:r w:rsidR="00E062D5" w:rsidRPr="00183F00">
              <w:rPr>
                <w:iCs/>
                <w:sz w:val="20"/>
                <w:lang w:val="fr-FR"/>
              </w:rPr>
              <w:t>la C</w:t>
            </w:r>
            <w:r w:rsidR="00550AB4" w:rsidRPr="00183F00">
              <w:rPr>
                <w:iCs/>
                <w:sz w:val="20"/>
                <w:lang w:val="fr-FR"/>
              </w:rPr>
              <w:t xml:space="preserve">onvention de </w:t>
            </w:r>
            <w:r w:rsidRPr="00183F00">
              <w:rPr>
                <w:iCs/>
                <w:sz w:val="20"/>
                <w:lang w:val="fr-FR"/>
              </w:rPr>
              <w:t>Ramsar</w:t>
            </w:r>
            <w:r w:rsidR="00550AB4" w:rsidRPr="00183F00">
              <w:rPr>
                <w:iCs/>
                <w:sz w:val="20"/>
                <w:lang w:val="fr-FR"/>
              </w:rPr>
              <w:t xml:space="preserve"> </w:t>
            </w:r>
            <w:r w:rsidRPr="00183F00">
              <w:rPr>
                <w:iCs/>
                <w:sz w:val="20"/>
                <w:lang w:val="fr-FR"/>
              </w:rPr>
              <w:t xml:space="preserve">; </w:t>
            </w:r>
            <w:r w:rsidR="00550AB4" w:rsidRPr="00183F00">
              <w:rPr>
                <w:iCs/>
                <w:sz w:val="20"/>
                <w:lang w:val="fr-FR"/>
              </w:rPr>
              <w:t xml:space="preserve">fonds </w:t>
            </w:r>
            <w:r w:rsidR="0089226A" w:rsidRPr="00183F00">
              <w:rPr>
                <w:iCs/>
                <w:sz w:val="20"/>
                <w:lang w:val="fr-FR"/>
              </w:rPr>
              <w:t>fournis</w:t>
            </w:r>
            <w:r w:rsidR="00550AB4" w:rsidRPr="00183F00">
              <w:rPr>
                <w:iCs/>
                <w:sz w:val="20"/>
                <w:lang w:val="fr-FR"/>
              </w:rPr>
              <w:t xml:space="preserve"> par le R-U</w:t>
            </w:r>
            <w:r w:rsidRPr="00183F00">
              <w:rPr>
                <w:iCs/>
                <w:sz w:val="20"/>
                <w:lang w:val="fr-FR"/>
              </w:rPr>
              <w:t>) (</w:t>
            </w:r>
            <w:smartTag w:uri="urn:schemas-microsoft-com:office:smarttags" w:element="stockticker">
              <w:r w:rsidRPr="00183F00">
                <w:rPr>
                  <w:iCs/>
                  <w:sz w:val="20"/>
                  <w:lang w:val="fr-FR"/>
                </w:rPr>
                <w:t>IIT</w:t>
              </w:r>
            </w:smartTag>
            <w:r w:rsidRPr="00183F00">
              <w:rPr>
                <w:iCs/>
                <w:sz w:val="20"/>
                <w:lang w:val="fr-FR"/>
              </w:rPr>
              <w:t xml:space="preserve"> 2009-2016, </w:t>
            </w:r>
            <w:r w:rsidR="00550AB4" w:rsidRPr="00183F00">
              <w:rPr>
                <w:iCs/>
                <w:sz w:val="20"/>
                <w:lang w:val="fr-FR"/>
              </w:rPr>
              <w:t>n</w:t>
            </w:r>
            <w:r w:rsidR="00550AB4" w:rsidRPr="00183F00">
              <w:rPr>
                <w:iCs/>
                <w:sz w:val="20"/>
                <w:vertAlign w:val="superscript"/>
                <w:lang w:val="fr-FR"/>
              </w:rPr>
              <w:t>o</w:t>
            </w:r>
            <w:r w:rsidR="00550AB4" w:rsidRPr="00183F00">
              <w:rPr>
                <w:iCs/>
                <w:sz w:val="20"/>
                <w:lang w:val="fr-FR"/>
              </w:rPr>
              <w:t xml:space="preserve"> 12)</w:t>
            </w:r>
            <w:r w:rsidRPr="00183F00">
              <w:rPr>
                <w:iCs/>
                <w:sz w:val="20"/>
                <w:lang w:val="fr-FR"/>
              </w:rPr>
              <w:t>.</w:t>
            </w:r>
          </w:p>
        </w:tc>
        <w:tc>
          <w:tcPr>
            <w:tcW w:w="1842" w:type="dxa"/>
            <w:tcBorders>
              <w:top w:val="single" w:sz="4" w:space="0" w:color="auto"/>
              <w:bottom w:val="single" w:sz="4" w:space="0" w:color="auto"/>
            </w:tcBorders>
            <w:shd w:val="clear" w:color="auto" w:fill="FFCC99"/>
          </w:tcPr>
          <w:p w:rsidR="00B50B65" w:rsidRPr="00183F00" w:rsidRDefault="00B50B65" w:rsidP="00CA73C7">
            <w:pPr>
              <w:rPr>
                <w:iCs/>
                <w:sz w:val="22"/>
                <w:szCs w:val="22"/>
                <w:lang w:val="fr-FR"/>
              </w:rPr>
            </w:pPr>
          </w:p>
          <w:p w:rsidR="00B50B65" w:rsidRPr="00183F00" w:rsidRDefault="00550AB4" w:rsidP="00CA73C7">
            <w:pPr>
              <w:rPr>
                <w:iCs/>
                <w:sz w:val="22"/>
                <w:szCs w:val="22"/>
                <w:lang w:val="fr-FR"/>
              </w:rPr>
            </w:pPr>
            <w:r w:rsidRPr="00183F00">
              <w:rPr>
                <w:b/>
                <w:bCs/>
                <w:iCs/>
                <w:sz w:val="22"/>
                <w:szCs w:val="22"/>
                <w:lang w:val="fr-FR"/>
              </w:rPr>
              <w:t>Tous</w:t>
            </w:r>
          </w:p>
          <w:p w:rsidR="00B50B65" w:rsidRPr="00183F00" w:rsidRDefault="00B50B65" w:rsidP="00CA73C7">
            <w:pPr>
              <w:rPr>
                <w:iCs/>
                <w:sz w:val="22"/>
                <w:szCs w:val="22"/>
                <w:lang w:val="fr-FR"/>
              </w:rPr>
            </w:pPr>
          </w:p>
          <w:p w:rsidR="00B50B65" w:rsidRPr="00183F00" w:rsidRDefault="00B50B65" w:rsidP="00CA73C7">
            <w:pPr>
              <w:rPr>
                <w:iCs/>
                <w:sz w:val="22"/>
                <w:szCs w:val="22"/>
                <w:lang w:val="fr-FR"/>
              </w:rPr>
            </w:pPr>
          </w:p>
        </w:tc>
        <w:tc>
          <w:tcPr>
            <w:tcW w:w="8577" w:type="dxa"/>
            <w:tcBorders>
              <w:top w:val="single" w:sz="4" w:space="0" w:color="auto"/>
              <w:bottom w:val="single" w:sz="4" w:space="0" w:color="auto"/>
            </w:tcBorders>
          </w:tcPr>
          <w:p w:rsidR="00B50B65" w:rsidRPr="00183F00" w:rsidRDefault="00B50B65" w:rsidP="00CA73C7">
            <w:pPr>
              <w:rPr>
                <w:i/>
                <w:iCs/>
                <w:color w:val="0000FF"/>
                <w:sz w:val="22"/>
                <w:szCs w:val="22"/>
                <w:lang w:val="fr-FR"/>
              </w:rPr>
            </w:pPr>
          </w:p>
          <w:p w:rsidR="00B50B65" w:rsidRPr="00183F00" w:rsidRDefault="00550AB4" w:rsidP="00CA73C7">
            <w:pPr>
              <w:jc w:val="both"/>
              <w:rPr>
                <w:color w:val="0000FF"/>
                <w:sz w:val="22"/>
                <w:szCs w:val="22"/>
                <w:lang w:val="fr-FR"/>
              </w:rPr>
            </w:pPr>
            <w:r w:rsidRPr="00183F00">
              <w:rPr>
                <w:sz w:val="22"/>
                <w:szCs w:val="22"/>
                <w:lang w:val="fr-FR"/>
              </w:rPr>
              <w:t xml:space="preserve">Cette tâche a été entreprise conjointement avec </w:t>
            </w:r>
            <w:r w:rsidR="000D3BB1" w:rsidRPr="00183F00">
              <w:rPr>
                <w:sz w:val="22"/>
                <w:szCs w:val="22"/>
                <w:lang w:val="fr-FR"/>
              </w:rPr>
              <w:t>le Groupe d’évaluation scientifique et technique</w:t>
            </w:r>
            <w:r w:rsidRPr="00183F00">
              <w:rPr>
                <w:sz w:val="22"/>
                <w:szCs w:val="22"/>
                <w:lang w:val="fr-FR"/>
              </w:rPr>
              <w:t xml:space="preserve"> (</w:t>
            </w:r>
            <w:r w:rsidR="000D3BB1" w:rsidRPr="00183F00">
              <w:rPr>
                <w:sz w:val="22"/>
                <w:szCs w:val="22"/>
                <w:lang w:val="fr-FR"/>
              </w:rPr>
              <w:t>GEST</w:t>
            </w:r>
            <w:r w:rsidRPr="00183F00">
              <w:rPr>
                <w:sz w:val="22"/>
                <w:szCs w:val="22"/>
                <w:lang w:val="fr-FR"/>
              </w:rPr>
              <w:t xml:space="preserve">) – </w:t>
            </w:r>
            <w:r w:rsidR="00D068B3" w:rsidRPr="00183F00">
              <w:rPr>
                <w:sz w:val="22"/>
                <w:szCs w:val="22"/>
                <w:lang w:val="fr-FR"/>
              </w:rPr>
              <w:t>d</w:t>
            </w:r>
            <w:r w:rsidR="000D3BB1" w:rsidRPr="00183F00">
              <w:rPr>
                <w:sz w:val="22"/>
                <w:szCs w:val="22"/>
                <w:lang w:val="fr-FR"/>
              </w:rPr>
              <w:t>es fonds ont été fournis à Ramsar par le DEFRA du R-U</w:t>
            </w:r>
            <w:r w:rsidRPr="00183F00">
              <w:rPr>
                <w:sz w:val="22"/>
                <w:szCs w:val="22"/>
                <w:lang w:val="fr-FR"/>
              </w:rPr>
              <w:t xml:space="preserve"> </w:t>
            </w:r>
            <w:r w:rsidR="00D068B3" w:rsidRPr="00183F00">
              <w:rPr>
                <w:sz w:val="22"/>
                <w:szCs w:val="22"/>
                <w:lang w:val="fr-FR"/>
              </w:rPr>
              <w:t>pour une mise en œuvre conjointe</w:t>
            </w:r>
            <w:r w:rsidRPr="00183F00">
              <w:rPr>
                <w:sz w:val="22"/>
                <w:szCs w:val="22"/>
                <w:lang w:val="fr-FR"/>
              </w:rPr>
              <w:t xml:space="preserve"> </w:t>
            </w:r>
            <w:r w:rsidR="00D068B3" w:rsidRPr="00183F00">
              <w:rPr>
                <w:sz w:val="22"/>
                <w:szCs w:val="22"/>
                <w:lang w:val="fr-FR"/>
              </w:rPr>
              <w:t xml:space="preserve">des tâches du </w:t>
            </w:r>
            <w:r w:rsidR="001348BF">
              <w:rPr>
                <w:sz w:val="22"/>
                <w:szCs w:val="22"/>
                <w:lang w:val="fr-FR"/>
              </w:rPr>
              <w:t>CT</w:t>
            </w:r>
            <w:r w:rsidRPr="00183F00">
              <w:rPr>
                <w:sz w:val="22"/>
                <w:szCs w:val="22"/>
                <w:lang w:val="fr-FR"/>
              </w:rPr>
              <w:t>/</w:t>
            </w:r>
            <w:r w:rsidR="00D068B3" w:rsidRPr="00183F00">
              <w:rPr>
                <w:sz w:val="22"/>
                <w:szCs w:val="22"/>
                <w:lang w:val="fr-FR"/>
              </w:rPr>
              <w:t>GEST</w:t>
            </w:r>
            <w:r w:rsidRPr="00183F00">
              <w:rPr>
                <w:sz w:val="22"/>
                <w:szCs w:val="22"/>
                <w:lang w:val="fr-FR"/>
              </w:rPr>
              <w:t xml:space="preserve"> </w:t>
            </w:r>
            <w:r w:rsidR="00D068B3" w:rsidRPr="00183F00">
              <w:rPr>
                <w:sz w:val="22"/>
                <w:szCs w:val="22"/>
                <w:lang w:val="fr-FR"/>
              </w:rPr>
              <w:t>liées aux industries</w:t>
            </w:r>
            <w:r w:rsidRPr="00183F00">
              <w:rPr>
                <w:sz w:val="22"/>
                <w:szCs w:val="22"/>
                <w:lang w:val="fr-FR"/>
              </w:rPr>
              <w:t xml:space="preserve"> extractive</w:t>
            </w:r>
            <w:r w:rsidR="00D068B3" w:rsidRPr="00183F00">
              <w:rPr>
                <w:sz w:val="22"/>
                <w:szCs w:val="22"/>
                <w:lang w:val="fr-FR"/>
              </w:rPr>
              <w:t>s</w:t>
            </w:r>
            <w:r w:rsidRPr="00183F00">
              <w:rPr>
                <w:sz w:val="22"/>
                <w:szCs w:val="22"/>
                <w:lang w:val="fr-FR"/>
              </w:rPr>
              <w:t>.</w:t>
            </w:r>
            <w:r w:rsidR="009742F4" w:rsidRPr="00183F00">
              <w:rPr>
                <w:sz w:val="22"/>
                <w:szCs w:val="22"/>
                <w:lang w:val="fr-FR"/>
              </w:rPr>
              <w:t xml:space="preserve"> </w:t>
            </w:r>
            <w:r w:rsidR="00D068B3" w:rsidRPr="00183F00">
              <w:rPr>
                <w:sz w:val="22"/>
                <w:szCs w:val="22"/>
                <w:lang w:val="fr-FR"/>
              </w:rPr>
              <w:t xml:space="preserve">Le </w:t>
            </w:r>
            <w:r w:rsidR="001348BF">
              <w:rPr>
                <w:sz w:val="22"/>
                <w:szCs w:val="22"/>
                <w:lang w:val="fr-FR"/>
              </w:rPr>
              <w:t>CT</w:t>
            </w:r>
            <w:r w:rsidR="00D068B3" w:rsidRPr="00183F00">
              <w:rPr>
                <w:sz w:val="22"/>
                <w:szCs w:val="22"/>
                <w:lang w:val="fr-FR"/>
              </w:rPr>
              <w:t xml:space="preserve"> a examiné et commenté </w:t>
            </w:r>
            <w:r w:rsidR="0060349D" w:rsidRPr="00183F00">
              <w:rPr>
                <w:sz w:val="22"/>
                <w:szCs w:val="22"/>
                <w:lang w:val="fr-FR"/>
              </w:rPr>
              <w:t>les</w:t>
            </w:r>
            <w:r w:rsidR="00D068B3" w:rsidRPr="00183F00">
              <w:rPr>
                <w:sz w:val="22"/>
                <w:szCs w:val="22"/>
                <w:lang w:val="fr-FR"/>
              </w:rPr>
              <w:t xml:space="preserve"> ToR </w:t>
            </w:r>
            <w:r w:rsidR="0060349D" w:rsidRPr="00183F00">
              <w:rPr>
                <w:sz w:val="22"/>
                <w:szCs w:val="22"/>
                <w:lang w:val="fr-FR"/>
              </w:rPr>
              <w:t>pour l’étude des</w:t>
            </w:r>
            <w:r w:rsidR="00D068B3" w:rsidRPr="00183F00">
              <w:rPr>
                <w:sz w:val="22"/>
                <w:szCs w:val="22"/>
                <w:lang w:val="fr-FR"/>
              </w:rPr>
              <w:t xml:space="preserve"> effets </w:t>
            </w:r>
            <w:r w:rsidR="0060349D" w:rsidRPr="00183F00">
              <w:rPr>
                <w:sz w:val="22"/>
                <w:szCs w:val="22"/>
                <w:lang w:val="fr-FR"/>
              </w:rPr>
              <w:t>de l’exploitation minière et des industries</w:t>
            </w:r>
            <w:r w:rsidR="00D068B3" w:rsidRPr="00183F00">
              <w:rPr>
                <w:sz w:val="22"/>
                <w:szCs w:val="22"/>
                <w:lang w:val="fr-FR"/>
              </w:rPr>
              <w:t xml:space="preserve"> extractive</w:t>
            </w:r>
            <w:r w:rsidR="0060349D" w:rsidRPr="00183F00">
              <w:rPr>
                <w:sz w:val="22"/>
                <w:szCs w:val="22"/>
                <w:lang w:val="fr-FR"/>
              </w:rPr>
              <w:t>s</w:t>
            </w:r>
            <w:r w:rsidR="00D068B3" w:rsidRPr="00183F00">
              <w:rPr>
                <w:sz w:val="22"/>
                <w:szCs w:val="22"/>
                <w:lang w:val="fr-FR"/>
              </w:rPr>
              <w:t xml:space="preserve"> </w:t>
            </w:r>
            <w:r w:rsidR="0060349D" w:rsidRPr="00183F00">
              <w:rPr>
                <w:sz w:val="22"/>
                <w:szCs w:val="22"/>
                <w:lang w:val="fr-FR"/>
              </w:rPr>
              <w:t>rédigés par le GEST de</w:t>
            </w:r>
            <w:r w:rsidR="00D068B3" w:rsidRPr="00183F00">
              <w:rPr>
                <w:sz w:val="22"/>
                <w:szCs w:val="22"/>
                <w:lang w:val="fr-FR"/>
              </w:rPr>
              <w:t xml:space="preserve"> Ramsar.</w:t>
            </w:r>
            <w:r w:rsidR="00A204F8" w:rsidRPr="00183F00">
              <w:rPr>
                <w:sz w:val="22"/>
                <w:szCs w:val="22"/>
                <w:lang w:val="fr-FR"/>
              </w:rPr>
              <w:t xml:space="preserve"> </w:t>
            </w:r>
            <w:r w:rsidR="00BF6954" w:rsidRPr="00183F00">
              <w:rPr>
                <w:sz w:val="22"/>
                <w:szCs w:val="22"/>
                <w:lang w:val="fr-FR"/>
              </w:rPr>
              <w:t>Comme</w:t>
            </w:r>
            <w:r w:rsidR="0060349D" w:rsidRPr="00183F00">
              <w:rPr>
                <w:sz w:val="22"/>
                <w:szCs w:val="22"/>
                <w:lang w:val="fr-FR"/>
              </w:rPr>
              <w:t xml:space="preserve"> les tâches n’ont pas pu être entièrement accomplies au cours de cette période intersession</w:t>
            </w:r>
            <w:r w:rsidR="00197B98" w:rsidRPr="00183F00">
              <w:rPr>
                <w:sz w:val="22"/>
                <w:szCs w:val="22"/>
                <w:lang w:val="fr-FR"/>
              </w:rPr>
              <w:t>nelle</w:t>
            </w:r>
            <w:r w:rsidR="0060349D" w:rsidRPr="00183F00">
              <w:rPr>
                <w:sz w:val="22"/>
                <w:szCs w:val="22"/>
                <w:lang w:val="fr-FR"/>
              </w:rPr>
              <w:t xml:space="preserve"> et </w:t>
            </w:r>
            <w:r w:rsidR="00E062D5" w:rsidRPr="00183F00">
              <w:rPr>
                <w:sz w:val="22"/>
                <w:szCs w:val="22"/>
                <w:lang w:val="fr-FR"/>
              </w:rPr>
              <w:t xml:space="preserve">qu’elles </w:t>
            </w:r>
            <w:r w:rsidR="0060349D" w:rsidRPr="00183F00">
              <w:rPr>
                <w:sz w:val="22"/>
                <w:szCs w:val="22"/>
                <w:lang w:val="fr-FR"/>
              </w:rPr>
              <w:t>seront finalisées lors de la prochaine, un avant-projet de résolution a été préparé et soumis à la MOP5 (avant-projet de Résolution AEWA/MOP5 DR14).</w:t>
            </w:r>
          </w:p>
          <w:p w:rsidR="00B50B65" w:rsidRPr="00183F00" w:rsidRDefault="00B50B65" w:rsidP="007C0F75">
            <w:pPr>
              <w:pStyle w:val="berschrift1"/>
              <w:numPr>
                <w:ilvl w:val="0"/>
                <w:numId w:val="0"/>
              </w:numPr>
              <w:rPr>
                <w:color w:val="0000FF"/>
                <w:sz w:val="22"/>
                <w:szCs w:val="22"/>
                <w:lang w:val="fr-FR"/>
              </w:rPr>
            </w:pPr>
          </w:p>
        </w:tc>
      </w:tr>
      <w:tr w:rsidR="00B50B65" w:rsidRPr="00183F00">
        <w:tblPrEx>
          <w:tblCellMar>
            <w:top w:w="0" w:type="dxa"/>
            <w:bottom w:w="0" w:type="dxa"/>
          </w:tblCellMar>
        </w:tblPrEx>
        <w:tc>
          <w:tcPr>
            <w:tcW w:w="3369" w:type="dxa"/>
            <w:tcBorders>
              <w:top w:val="single" w:sz="4" w:space="0" w:color="auto"/>
              <w:bottom w:val="single" w:sz="4" w:space="0" w:color="auto"/>
            </w:tcBorders>
          </w:tcPr>
          <w:p w:rsidR="00B50B65" w:rsidRPr="00183F00" w:rsidRDefault="00B50B65" w:rsidP="00CA73C7">
            <w:pPr>
              <w:rPr>
                <w:sz w:val="20"/>
                <w:lang w:val="fr-FR"/>
              </w:rPr>
            </w:pPr>
          </w:p>
          <w:p w:rsidR="003F7F14" w:rsidRPr="00183F00" w:rsidRDefault="00B50B65" w:rsidP="00CA73C7">
            <w:pPr>
              <w:rPr>
                <w:b/>
                <w:sz w:val="20"/>
                <w:lang w:val="fr-FR"/>
              </w:rPr>
            </w:pPr>
            <w:r w:rsidRPr="00183F00">
              <w:rPr>
                <w:b/>
                <w:bCs/>
                <w:sz w:val="20"/>
                <w:lang w:val="fr-FR"/>
              </w:rPr>
              <w:t>10.</w:t>
            </w:r>
            <w:r w:rsidRPr="00183F00">
              <w:rPr>
                <w:b/>
                <w:sz w:val="20"/>
                <w:lang w:val="fr-FR"/>
              </w:rPr>
              <w:t xml:space="preserve"> </w:t>
            </w:r>
            <w:r w:rsidR="0060349D" w:rsidRPr="00183F00">
              <w:rPr>
                <w:b/>
                <w:sz w:val="20"/>
                <w:lang w:val="fr-FR"/>
              </w:rPr>
              <w:t>Questions en cours et émergentes</w:t>
            </w:r>
            <w:r w:rsidR="003F7F14" w:rsidRPr="00183F00">
              <w:rPr>
                <w:b/>
                <w:sz w:val="20"/>
                <w:lang w:val="fr-FR"/>
              </w:rPr>
              <w:t xml:space="preserve"> </w:t>
            </w:r>
          </w:p>
          <w:p w:rsidR="003F7F14" w:rsidRPr="00183F00" w:rsidRDefault="003F7F14" w:rsidP="00CA73C7">
            <w:pPr>
              <w:rPr>
                <w:sz w:val="20"/>
                <w:lang w:val="fr-FR"/>
              </w:rPr>
            </w:pPr>
          </w:p>
          <w:p w:rsidR="00B50B65" w:rsidRPr="00183F00" w:rsidRDefault="00906328" w:rsidP="003F7F14">
            <w:pPr>
              <w:rPr>
                <w:sz w:val="20"/>
                <w:lang w:val="fr-FR"/>
              </w:rPr>
            </w:pPr>
            <w:r w:rsidRPr="00183F00">
              <w:rPr>
                <w:sz w:val="20"/>
                <w:lang w:val="fr-FR"/>
              </w:rPr>
              <w:t>Examiner régulièrement</w:t>
            </w:r>
            <w:r w:rsidR="0060349D" w:rsidRPr="00183F00">
              <w:rPr>
                <w:sz w:val="20"/>
                <w:lang w:val="fr-FR"/>
              </w:rPr>
              <w:t xml:space="preserve"> </w:t>
            </w:r>
            <w:r w:rsidRPr="00183F00">
              <w:rPr>
                <w:sz w:val="20"/>
                <w:lang w:val="fr-FR"/>
              </w:rPr>
              <w:t>les questions en cours et émergentes, et jouer un rôle proactif</w:t>
            </w:r>
            <w:r w:rsidR="0060349D" w:rsidRPr="00183F00">
              <w:rPr>
                <w:sz w:val="20"/>
                <w:lang w:val="fr-FR"/>
              </w:rPr>
              <w:t xml:space="preserve"> </w:t>
            </w:r>
            <w:r w:rsidRPr="00183F00">
              <w:rPr>
                <w:sz w:val="20"/>
                <w:lang w:val="fr-FR"/>
              </w:rPr>
              <w:t>dans leur traitement et leur résolution</w:t>
            </w:r>
          </w:p>
        </w:tc>
        <w:tc>
          <w:tcPr>
            <w:tcW w:w="1842" w:type="dxa"/>
            <w:tcBorders>
              <w:top w:val="single" w:sz="4" w:space="0" w:color="auto"/>
              <w:bottom w:val="single" w:sz="4" w:space="0" w:color="auto"/>
            </w:tcBorders>
            <w:shd w:val="clear" w:color="auto" w:fill="FFCC99"/>
          </w:tcPr>
          <w:p w:rsidR="00B50B65" w:rsidRPr="00183F00" w:rsidRDefault="00B50B65" w:rsidP="00CA73C7">
            <w:pPr>
              <w:rPr>
                <w:sz w:val="22"/>
                <w:szCs w:val="22"/>
                <w:lang w:val="fr-FR"/>
              </w:rPr>
            </w:pPr>
          </w:p>
          <w:p w:rsidR="00B50B65" w:rsidRPr="00183F00" w:rsidRDefault="00906328" w:rsidP="00CA73C7">
            <w:pPr>
              <w:rPr>
                <w:sz w:val="22"/>
                <w:szCs w:val="22"/>
                <w:lang w:val="fr-FR"/>
              </w:rPr>
            </w:pPr>
            <w:r w:rsidRPr="00183F00">
              <w:rPr>
                <w:b/>
                <w:bCs/>
                <w:sz w:val="22"/>
                <w:szCs w:val="22"/>
                <w:lang w:val="fr-FR"/>
              </w:rPr>
              <w:t>Tous</w:t>
            </w:r>
          </w:p>
          <w:p w:rsidR="00B50B65" w:rsidRPr="00183F00" w:rsidRDefault="00B50B65" w:rsidP="00CA73C7">
            <w:pPr>
              <w:rPr>
                <w:sz w:val="22"/>
                <w:szCs w:val="22"/>
                <w:lang w:val="fr-FR"/>
              </w:rPr>
            </w:pPr>
          </w:p>
          <w:p w:rsidR="00B50B65" w:rsidRPr="00183F00" w:rsidRDefault="00B50B65" w:rsidP="00CA73C7">
            <w:pPr>
              <w:rPr>
                <w:sz w:val="22"/>
                <w:szCs w:val="22"/>
                <w:lang w:val="fr-FR"/>
              </w:rPr>
            </w:pPr>
          </w:p>
        </w:tc>
        <w:tc>
          <w:tcPr>
            <w:tcW w:w="8577" w:type="dxa"/>
            <w:tcBorders>
              <w:top w:val="single" w:sz="4" w:space="0" w:color="auto"/>
              <w:bottom w:val="single" w:sz="4" w:space="0" w:color="auto"/>
            </w:tcBorders>
          </w:tcPr>
          <w:p w:rsidR="00B50B65" w:rsidRPr="00183F00" w:rsidRDefault="00906328" w:rsidP="00CA73C7">
            <w:pPr>
              <w:jc w:val="both"/>
              <w:rPr>
                <w:sz w:val="22"/>
                <w:szCs w:val="22"/>
                <w:lang w:val="fr-FR"/>
              </w:rPr>
            </w:pPr>
            <w:r w:rsidRPr="00183F00">
              <w:rPr>
                <w:sz w:val="22"/>
                <w:szCs w:val="22"/>
                <w:lang w:val="fr-FR"/>
              </w:rPr>
              <w:t>Lors de sa 9</w:t>
            </w:r>
            <w:r w:rsidRPr="00183F00">
              <w:rPr>
                <w:sz w:val="22"/>
                <w:szCs w:val="22"/>
                <w:vertAlign w:val="superscript"/>
                <w:lang w:val="fr-FR"/>
              </w:rPr>
              <w:t xml:space="preserve">ème </w:t>
            </w:r>
            <w:r w:rsidRPr="00183F00">
              <w:rPr>
                <w:sz w:val="22"/>
                <w:szCs w:val="22"/>
                <w:lang w:val="fr-FR"/>
              </w:rPr>
              <w:t xml:space="preserve">réunion (avril 2009), le </w:t>
            </w:r>
            <w:r w:rsidR="001348BF">
              <w:rPr>
                <w:sz w:val="22"/>
                <w:szCs w:val="22"/>
                <w:lang w:val="fr-FR"/>
              </w:rPr>
              <w:t>CT</w:t>
            </w:r>
            <w:r w:rsidRPr="00183F00">
              <w:rPr>
                <w:sz w:val="22"/>
                <w:szCs w:val="22"/>
                <w:lang w:val="fr-FR"/>
              </w:rPr>
              <w:t xml:space="preserve"> a identifié une liste de questions en cours et/ou émergentes potentielles, intéressantes pour l’AEWA.</w:t>
            </w:r>
            <w:r w:rsidR="00315EA7" w:rsidRPr="00183F00">
              <w:rPr>
                <w:sz w:val="22"/>
                <w:szCs w:val="22"/>
                <w:lang w:val="fr-FR"/>
              </w:rPr>
              <w:t xml:space="preserve"> </w:t>
            </w:r>
            <w:r w:rsidRPr="00183F00">
              <w:rPr>
                <w:sz w:val="22"/>
                <w:szCs w:val="22"/>
                <w:lang w:val="fr-FR"/>
              </w:rPr>
              <w:t xml:space="preserve">Sur plusieurs d’entre elles, le </w:t>
            </w:r>
            <w:r w:rsidR="001348BF">
              <w:rPr>
                <w:sz w:val="22"/>
                <w:szCs w:val="22"/>
                <w:lang w:val="fr-FR"/>
              </w:rPr>
              <w:t>CT</w:t>
            </w:r>
            <w:r w:rsidRPr="00183F00">
              <w:rPr>
                <w:sz w:val="22"/>
                <w:szCs w:val="22"/>
                <w:lang w:val="fr-FR"/>
              </w:rPr>
              <w:t xml:space="preserve"> </w:t>
            </w:r>
            <w:r w:rsidR="00407E65" w:rsidRPr="00183F00">
              <w:rPr>
                <w:sz w:val="22"/>
                <w:szCs w:val="22"/>
                <w:lang w:val="fr-FR"/>
              </w:rPr>
              <w:t>a travaillé entre les sessions et fournis des résultats pour la</w:t>
            </w:r>
            <w:r w:rsidRPr="00183F00">
              <w:rPr>
                <w:sz w:val="22"/>
                <w:szCs w:val="22"/>
                <w:lang w:val="fr-FR"/>
              </w:rPr>
              <w:t xml:space="preserve"> MOP5. </w:t>
            </w:r>
            <w:r w:rsidR="00407E65" w:rsidRPr="00183F00">
              <w:rPr>
                <w:sz w:val="22"/>
                <w:szCs w:val="22"/>
                <w:lang w:val="fr-FR"/>
              </w:rPr>
              <w:t>Ce groupe de travail continuera dans cette voie au cours de la prochaine période intersession</w:t>
            </w:r>
            <w:r w:rsidR="00197B98" w:rsidRPr="00183F00">
              <w:rPr>
                <w:sz w:val="22"/>
                <w:szCs w:val="22"/>
                <w:lang w:val="fr-FR"/>
              </w:rPr>
              <w:t>nelle</w:t>
            </w:r>
            <w:r w:rsidRPr="00183F00">
              <w:rPr>
                <w:sz w:val="22"/>
                <w:szCs w:val="22"/>
                <w:lang w:val="fr-FR"/>
              </w:rPr>
              <w:t xml:space="preserve">, </w:t>
            </w:r>
            <w:r w:rsidR="00407E65" w:rsidRPr="00183F00">
              <w:rPr>
                <w:sz w:val="22"/>
                <w:szCs w:val="22"/>
                <w:lang w:val="fr-FR"/>
              </w:rPr>
              <w:t>également sur certaines questions déjà identifiées</w:t>
            </w:r>
            <w:r w:rsidRPr="00183F00">
              <w:rPr>
                <w:sz w:val="22"/>
                <w:szCs w:val="22"/>
                <w:lang w:val="fr-FR"/>
              </w:rPr>
              <w:t>.</w:t>
            </w:r>
          </w:p>
          <w:p w:rsidR="00315EA7" w:rsidRPr="00183F00" w:rsidRDefault="00315EA7" w:rsidP="00CA73C7">
            <w:pPr>
              <w:jc w:val="both"/>
              <w:rPr>
                <w:sz w:val="22"/>
                <w:szCs w:val="22"/>
                <w:lang w:val="fr-FR"/>
              </w:rPr>
            </w:pPr>
          </w:p>
          <w:p w:rsidR="009519A8" w:rsidRPr="00183F00" w:rsidRDefault="00407E65" w:rsidP="008550D3">
            <w:pPr>
              <w:numPr>
                <w:ilvl w:val="0"/>
                <w:numId w:val="10"/>
              </w:numPr>
              <w:jc w:val="both"/>
              <w:rPr>
                <w:sz w:val="22"/>
                <w:szCs w:val="22"/>
                <w:lang w:val="fr-FR"/>
              </w:rPr>
            </w:pPr>
            <w:r w:rsidRPr="00183F00">
              <w:rPr>
                <w:sz w:val="22"/>
                <w:szCs w:val="22"/>
                <w:u w:val="single"/>
                <w:lang w:val="fr-FR"/>
              </w:rPr>
              <w:t xml:space="preserve">Plantes </w:t>
            </w:r>
            <w:r w:rsidR="0089226A" w:rsidRPr="00183F00">
              <w:rPr>
                <w:sz w:val="22"/>
                <w:szCs w:val="22"/>
                <w:u w:val="single"/>
                <w:lang w:val="fr-FR"/>
              </w:rPr>
              <w:t>aquatiques</w:t>
            </w:r>
            <w:r w:rsidRPr="00183F00">
              <w:rPr>
                <w:sz w:val="22"/>
                <w:szCs w:val="22"/>
                <w:u w:val="single"/>
                <w:lang w:val="fr-FR"/>
              </w:rPr>
              <w:t xml:space="preserve"> exotiques invasives</w:t>
            </w:r>
            <w:r w:rsidR="009519A8" w:rsidRPr="00183F00">
              <w:rPr>
                <w:sz w:val="22"/>
                <w:szCs w:val="22"/>
                <w:lang w:val="fr-FR"/>
              </w:rPr>
              <w:t xml:space="preserve"> </w:t>
            </w:r>
            <w:r w:rsidRPr="00183F00">
              <w:rPr>
                <w:sz w:val="22"/>
                <w:szCs w:val="22"/>
                <w:lang w:val="fr-FR"/>
              </w:rPr>
              <w:t xml:space="preserve">Le </w:t>
            </w:r>
            <w:r w:rsidR="001348BF">
              <w:rPr>
                <w:sz w:val="22"/>
                <w:szCs w:val="22"/>
                <w:lang w:val="fr-FR"/>
              </w:rPr>
              <w:t>CT</w:t>
            </w:r>
            <w:r w:rsidRPr="00183F00">
              <w:rPr>
                <w:sz w:val="22"/>
                <w:szCs w:val="22"/>
                <w:lang w:val="fr-FR"/>
              </w:rPr>
              <w:t xml:space="preserve"> a examiné l’</w:t>
            </w:r>
            <w:r w:rsidRPr="00183F00">
              <w:rPr>
                <w:i/>
                <w:sz w:val="22"/>
                <w:szCs w:val="22"/>
                <w:lang w:val="fr-FR"/>
              </w:rPr>
              <w:t>Étude sur l’impact des plantes aquatiques exotiques invasives sur les habitats des oiseaux d’eau en Afrique</w:t>
            </w:r>
            <w:r w:rsidRPr="00183F00">
              <w:rPr>
                <w:sz w:val="22"/>
                <w:szCs w:val="22"/>
                <w:lang w:val="fr-FR"/>
              </w:rPr>
              <w:t xml:space="preserve">, basée sur des études de cas au Lac Naivasha, </w:t>
            </w:r>
            <w:r w:rsidR="00CA443A" w:rsidRPr="00183F00">
              <w:rPr>
                <w:sz w:val="22"/>
                <w:szCs w:val="22"/>
                <w:lang w:val="fr-FR"/>
              </w:rPr>
              <w:t xml:space="preserve">au </w:t>
            </w:r>
            <w:r w:rsidRPr="00183F00">
              <w:rPr>
                <w:sz w:val="22"/>
                <w:szCs w:val="22"/>
                <w:lang w:val="fr-FR"/>
              </w:rPr>
              <w:t>Kenya</w:t>
            </w:r>
            <w:r w:rsidR="00CA443A" w:rsidRPr="00183F00">
              <w:rPr>
                <w:sz w:val="22"/>
                <w:szCs w:val="22"/>
                <w:lang w:val="fr-FR"/>
              </w:rPr>
              <w:t>, et les plaines de la</w:t>
            </w:r>
            <w:r w:rsidRPr="00183F00">
              <w:rPr>
                <w:sz w:val="22"/>
                <w:szCs w:val="22"/>
                <w:lang w:val="fr-FR"/>
              </w:rPr>
              <w:t xml:space="preserve"> Kafue</w:t>
            </w:r>
            <w:r w:rsidR="00CA443A" w:rsidRPr="00183F00">
              <w:rPr>
                <w:sz w:val="22"/>
                <w:szCs w:val="22"/>
                <w:lang w:val="fr-FR"/>
              </w:rPr>
              <w:t>, en</w:t>
            </w:r>
            <w:r w:rsidRPr="00183F00">
              <w:rPr>
                <w:sz w:val="22"/>
                <w:szCs w:val="22"/>
                <w:lang w:val="fr-FR"/>
              </w:rPr>
              <w:t xml:space="preserve"> Zambi</w:t>
            </w:r>
            <w:r w:rsidR="00CA443A" w:rsidRPr="00183F00">
              <w:rPr>
                <w:sz w:val="22"/>
                <w:szCs w:val="22"/>
                <w:lang w:val="fr-FR"/>
              </w:rPr>
              <w:t>e, réalisée en</w:t>
            </w:r>
            <w:r w:rsidRPr="00183F00">
              <w:rPr>
                <w:sz w:val="22"/>
                <w:szCs w:val="22"/>
                <w:lang w:val="fr-FR"/>
              </w:rPr>
              <w:t xml:space="preserve"> 2006 (document AEWA/MOP Inf.</w:t>
            </w:r>
            <w:r w:rsidR="00CA443A" w:rsidRPr="00183F00">
              <w:rPr>
                <w:sz w:val="22"/>
                <w:szCs w:val="22"/>
                <w:lang w:val="fr-FR"/>
              </w:rPr>
              <w:t xml:space="preserve"> 5.4) et a compilé l’avant-projet </w:t>
            </w:r>
            <w:r w:rsidR="00CA443A" w:rsidRPr="00183F00">
              <w:rPr>
                <w:sz w:val="22"/>
                <w:szCs w:val="22"/>
                <w:lang w:val="fr-FR"/>
              </w:rPr>
              <w:lastRenderedPageBreak/>
              <w:t>de Résolution AEWA/MOP5 DR15.</w:t>
            </w:r>
            <w:r w:rsidR="00304CB5" w:rsidRPr="00183F00">
              <w:rPr>
                <w:sz w:val="22"/>
                <w:szCs w:val="22"/>
                <w:lang w:val="fr-FR"/>
              </w:rPr>
              <w:t xml:space="preserve"> </w:t>
            </w:r>
          </w:p>
          <w:p w:rsidR="008550D3" w:rsidRPr="00183F00" w:rsidRDefault="008550D3" w:rsidP="008550D3">
            <w:pPr>
              <w:ind w:left="720"/>
              <w:jc w:val="both"/>
              <w:rPr>
                <w:sz w:val="22"/>
                <w:szCs w:val="22"/>
                <w:lang w:val="fr-FR"/>
              </w:rPr>
            </w:pPr>
          </w:p>
          <w:p w:rsidR="00304CB5" w:rsidRPr="00183F00" w:rsidRDefault="00CA443A" w:rsidP="00CA443A">
            <w:pPr>
              <w:numPr>
                <w:ilvl w:val="0"/>
                <w:numId w:val="10"/>
              </w:numPr>
              <w:jc w:val="both"/>
              <w:rPr>
                <w:lang w:val="fr-FR"/>
              </w:rPr>
            </w:pPr>
            <w:r w:rsidRPr="00183F00">
              <w:rPr>
                <w:sz w:val="22"/>
                <w:szCs w:val="22"/>
                <w:u w:val="single"/>
                <w:lang w:val="fr-FR"/>
              </w:rPr>
              <w:t>Impact des produits chimiques agricoles</w:t>
            </w:r>
            <w:r w:rsidR="00304CB5" w:rsidRPr="00183F00">
              <w:rPr>
                <w:sz w:val="22"/>
                <w:szCs w:val="22"/>
                <w:lang w:val="fr-FR"/>
              </w:rPr>
              <w:t xml:space="preserve"> </w:t>
            </w:r>
            <w:r w:rsidRPr="00183F00">
              <w:rPr>
                <w:sz w:val="22"/>
                <w:szCs w:val="22"/>
                <w:lang w:val="fr-FR"/>
              </w:rPr>
              <w:t xml:space="preserve">Le </w:t>
            </w:r>
            <w:r w:rsidR="001348BF">
              <w:rPr>
                <w:sz w:val="22"/>
                <w:szCs w:val="22"/>
                <w:lang w:val="fr-FR"/>
              </w:rPr>
              <w:t>CT</w:t>
            </w:r>
            <w:r w:rsidRPr="00183F00">
              <w:rPr>
                <w:sz w:val="22"/>
                <w:szCs w:val="22"/>
                <w:lang w:val="fr-FR"/>
              </w:rPr>
              <w:t xml:space="preserve"> a examiné l’Étude sur les effets négatifs des produits agrochimiques sur les oiseaux d’eau migrateurs en Afrique (document AEWA/MOP Inf. 5.5), achevé</w:t>
            </w:r>
            <w:r w:rsidR="00D43566" w:rsidRPr="00183F00">
              <w:rPr>
                <w:sz w:val="22"/>
                <w:szCs w:val="22"/>
                <w:lang w:val="fr-FR"/>
              </w:rPr>
              <w:t>e</w:t>
            </w:r>
            <w:r w:rsidRPr="00183F00">
              <w:rPr>
                <w:sz w:val="22"/>
                <w:szCs w:val="22"/>
                <w:lang w:val="fr-FR"/>
              </w:rPr>
              <w:t xml:space="preserve"> en 2011</w:t>
            </w:r>
            <w:r w:rsidR="00D43566" w:rsidRPr="00183F00">
              <w:rPr>
                <w:sz w:val="22"/>
                <w:szCs w:val="22"/>
                <w:lang w:val="fr-FR"/>
              </w:rPr>
              <w:t>,</w:t>
            </w:r>
            <w:r w:rsidRPr="00183F00">
              <w:rPr>
                <w:sz w:val="22"/>
                <w:szCs w:val="22"/>
                <w:lang w:val="fr-FR"/>
              </w:rPr>
              <w:t xml:space="preserve"> et a compilé l’avant-projet de Résolution AEWA/MOP5 DR12.</w:t>
            </w:r>
            <w:r w:rsidR="00304CB5" w:rsidRPr="00183F00">
              <w:rPr>
                <w:lang w:val="fr-FR"/>
              </w:rPr>
              <w:t xml:space="preserve"> </w:t>
            </w:r>
          </w:p>
          <w:p w:rsidR="00C32774" w:rsidRPr="00183F00" w:rsidRDefault="00627B04" w:rsidP="00C32774">
            <w:pPr>
              <w:numPr>
                <w:ilvl w:val="0"/>
                <w:numId w:val="10"/>
              </w:numPr>
              <w:jc w:val="both"/>
              <w:rPr>
                <w:sz w:val="22"/>
                <w:szCs w:val="22"/>
                <w:lang w:val="fr-FR"/>
              </w:rPr>
            </w:pPr>
            <w:r w:rsidRPr="00183F00">
              <w:rPr>
                <w:sz w:val="22"/>
                <w:szCs w:val="22"/>
                <w:u w:val="single"/>
                <w:lang w:val="fr-FR"/>
              </w:rPr>
              <w:t>Développements d’énergie renouvelable conflictuels</w:t>
            </w:r>
            <w:r w:rsidR="009519A8" w:rsidRPr="00183F00">
              <w:rPr>
                <w:sz w:val="22"/>
                <w:szCs w:val="22"/>
                <w:lang w:val="fr-FR"/>
              </w:rPr>
              <w:t xml:space="preserve"> </w:t>
            </w:r>
            <w:r w:rsidRPr="00183F00">
              <w:rPr>
                <w:sz w:val="22"/>
                <w:szCs w:val="22"/>
                <w:lang w:val="fr-FR"/>
              </w:rPr>
              <w:t>En plus d</w:t>
            </w:r>
            <w:r w:rsidR="00D43566" w:rsidRPr="00183F00">
              <w:rPr>
                <w:sz w:val="22"/>
                <w:szCs w:val="22"/>
                <w:lang w:val="fr-FR"/>
              </w:rPr>
              <w:t xml:space="preserve">es </w:t>
            </w:r>
            <w:r w:rsidRPr="00183F00">
              <w:rPr>
                <w:sz w:val="22"/>
                <w:szCs w:val="22"/>
                <w:lang w:val="fr-FR"/>
              </w:rPr>
              <w:t>installations d’énergie éolienne, d’autres méthodes de production d’énergie renouvelable peuvent également avoir un impact négatif sur les habitats et les ressources alimentaires des oiseaux d’eau.</w:t>
            </w:r>
            <w:r w:rsidR="002677D9" w:rsidRPr="00183F00">
              <w:rPr>
                <w:sz w:val="22"/>
                <w:szCs w:val="22"/>
                <w:lang w:val="fr-FR"/>
              </w:rPr>
              <w:t xml:space="preserve"> </w:t>
            </w:r>
            <w:r w:rsidRPr="00183F00">
              <w:rPr>
                <w:sz w:val="22"/>
                <w:szCs w:val="22"/>
                <w:lang w:val="fr-FR"/>
              </w:rPr>
              <w:t xml:space="preserve">Cette question a été discutée lors des </w:t>
            </w:r>
            <w:r w:rsidR="001348BF">
              <w:rPr>
                <w:sz w:val="22"/>
                <w:szCs w:val="22"/>
                <w:lang w:val="fr-FR"/>
              </w:rPr>
              <w:t>CT</w:t>
            </w:r>
            <w:r w:rsidRPr="00183F00">
              <w:rPr>
                <w:sz w:val="22"/>
                <w:szCs w:val="22"/>
                <w:lang w:val="fr-FR"/>
              </w:rPr>
              <w:t xml:space="preserve">9 et </w:t>
            </w:r>
            <w:r w:rsidR="001348BF">
              <w:rPr>
                <w:sz w:val="22"/>
                <w:szCs w:val="22"/>
                <w:lang w:val="fr-FR"/>
              </w:rPr>
              <w:t>CT</w:t>
            </w:r>
            <w:r w:rsidRPr="00183F00">
              <w:rPr>
                <w:sz w:val="22"/>
                <w:szCs w:val="22"/>
                <w:lang w:val="fr-FR"/>
              </w:rPr>
              <w:t xml:space="preserve">10, résultant </w:t>
            </w:r>
            <w:r w:rsidR="00BF6954" w:rsidRPr="00183F00">
              <w:rPr>
                <w:sz w:val="22"/>
                <w:szCs w:val="22"/>
                <w:lang w:val="fr-FR"/>
              </w:rPr>
              <w:t>dans</w:t>
            </w:r>
            <w:r w:rsidRPr="00183F00">
              <w:rPr>
                <w:sz w:val="22"/>
                <w:szCs w:val="22"/>
                <w:lang w:val="fr-FR"/>
              </w:rPr>
              <w:t xml:space="preserve"> la soumission de l’avant-projet de Résolution AEWA/MOP5 DR16.</w:t>
            </w:r>
            <w:r w:rsidR="009519A8" w:rsidRPr="00183F00">
              <w:rPr>
                <w:sz w:val="22"/>
                <w:szCs w:val="22"/>
                <w:lang w:val="fr-FR"/>
              </w:rPr>
              <w:t xml:space="preserve"> </w:t>
            </w:r>
          </w:p>
          <w:p w:rsidR="00C32774" w:rsidRPr="00183F00" w:rsidRDefault="00C32774" w:rsidP="00C32774">
            <w:pPr>
              <w:pStyle w:val="Listenabsatz"/>
              <w:rPr>
                <w:sz w:val="22"/>
                <w:szCs w:val="22"/>
                <w:lang w:val="fr-FR"/>
              </w:rPr>
            </w:pPr>
          </w:p>
          <w:p w:rsidR="002677D9" w:rsidRPr="001348BF" w:rsidRDefault="00627B04" w:rsidP="00646955">
            <w:pPr>
              <w:numPr>
                <w:ilvl w:val="0"/>
                <w:numId w:val="10"/>
              </w:numPr>
              <w:jc w:val="both"/>
              <w:rPr>
                <w:color w:val="FF0000"/>
                <w:sz w:val="22"/>
                <w:szCs w:val="22"/>
                <w:lang w:val="fr-FR"/>
              </w:rPr>
            </w:pPr>
            <w:r w:rsidRPr="00183F00">
              <w:rPr>
                <w:sz w:val="22"/>
                <w:szCs w:val="22"/>
                <w:u w:val="single"/>
                <w:lang w:val="fr-FR"/>
              </w:rPr>
              <w:t>Lignes électriques</w:t>
            </w:r>
            <w:r w:rsidR="00C32774" w:rsidRPr="00183F00">
              <w:rPr>
                <w:sz w:val="22"/>
                <w:szCs w:val="22"/>
                <w:lang w:val="fr-FR"/>
              </w:rPr>
              <w:t xml:space="preserve"> </w:t>
            </w:r>
            <w:r w:rsidR="007B0353" w:rsidRPr="00183F00">
              <w:rPr>
                <w:sz w:val="22"/>
                <w:szCs w:val="22"/>
                <w:lang w:val="fr-FR"/>
              </w:rPr>
              <w:t xml:space="preserve">Le travail du </w:t>
            </w:r>
            <w:r w:rsidR="001348BF">
              <w:rPr>
                <w:sz w:val="22"/>
                <w:szCs w:val="22"/>
                <w:lang w:val="fr-FR"/>
              </w:rPr>
              <w:t>CT</w:t>
            </w:r>
            <w:r w:rsidR="007B0353" w:rsidRPr="00183F00">
              <w:rPr>
                <w:sz w:val="22"/>
                <w:szCs w:val="22"/>
                <w:lang w:val="fr-FR"/>
              </w:rPr>
              <w:t xml:space="preserve"> </w:t>
            </w:r>
            <w:r w:rsidR="00BF6954" w:rsidRPr="00183F00">
              <w:rPr>
                <w:sz w:val="22"/>
                <w:szCs w:val="22"/>
                <w:lang w:val="fr-FR"/>
              </w:rPr>
              <w:t>à</w:t>
            </w:r>
            <w:r w:rsidR="007B0353" w:rsidRPr="00183F00">
              <w:rPr>
                <w:sz w:val="22"/>
                <w:szCs w:val="22"/>
                <w:lang w:val="fr-FR"/>
              </w:rPr>
              <w:t xml:space="preserve"> ce sujet</w:t>
            </w:r>
            <w:r w:rsidRPr="00183F00">
              <w:rPr>
                <w:sz w:val="22"/>
                <w:szCs w:val="22"/>
                <w:lang w:val="fr-FR"/>
              </w:rPr>
              <w:t xml:space="preserve"> </w:t>
            </w:r>
            <w:r w:rsidR="007B0353" w:rsidRPr="00183F00">
              <w:rPr>
                <w:sz w:val="22"/>
                <w:szCs w:val="22"/>
                <w:lang w:val="fr-FR"/>
              </w:rPr>
              <w:t>a été complété par la</w:t>
            </w:r>
            <w:r w:rsidRPr="00183F00">
              <w:rPr>
                <w:sz w:val="22"/>
                <w:szCs w:val="22"/>
                <w:lang w:val="fr-FR"/>
              </w:rPr>
              <w:t xml:space="preserve"> compilation </w:t>
            </w:r>
            <w:r w:rsidR="007B0353" w:rsidRPr="00183F00">
              <w:rPr>
                <w:sz w:val="22"/>
                <w:szCs w:val="22"/>
                <w:lang w:val="fr-FR"/>
              </w:rPr>
              <w:t>d’une</w:t>
            </w:r>
            <w:r w:rsidRPr="00183F00">
              <w:rPr>
                <w:sz w:val="22"/>
                <w:szCs w:val="22"/>
                <w:lang w:val="fr-FR"/>
              </w:rPr>
              <w:t xml:space="preserve"> </w:t>
            </w:r>
            <w:r w:rsidR="007B0353" w:rsidRPr="001348BF">
              <w:rPr>
                <w:i/>
                <w:sz w:val="22"/>
                <w:szCs w:val="22"/>
                <w:lang w:val="fr-FR"/>
              </w:rPr>
              <w:t>Étude</w:t>
            </w:r>
            <w:r w:rsidRPr="001348BF">
              <w:rPr>
                <w:i/>
                <w:sz w:val="22"/>
                <w:szCs w:val="22"/>
                <w:lang w:val="fr-FR"/>
              </w:rPr>
              <w:t xml:space="preserve"> </w:t>
            </w:r>
            <w:r w:rsidR="007B0353" w:rsidRPr="001348BF">
              <w:rPr>
                <w:i/>
                <w:sz w:val="22"/>
                <w:szCs w:val="22"/>
                <w:lang w:val="fr-FR"/>
              </w:rPr>
              <w:t>du conflit entre les oiseaux migrateurs et les réseaux de distribution électrique dans la région d’Afrique-Eurasie</w:t>
            </w:r>
            <w:r w:rsidRPr="001348BF">
              <w:rPr>
                <w:sz w:val="22"/>
                <w:szCs w:val="22"/>
                <w:lang w:val="fr-FR"/>
              </w:rPr>
              <w:t xml:space="preserve"> (document AEWA/MOP 5.38) </w:t>
            </w:r>
            <w:r w:rsidR="007B0353" w:rsidRPr="001348BF">
              <w:rPr>
                <w:sz w:val="22"/>
                <w:szCs w:val="22"/>
                <w:lang w:val="fr-FR"/>
              </w:rPr>
              <w:t>et l’avant-projet</w:t>
            </w:r>
            <w:r w:rsidR="00952C86" w:rsidRPr="001348BF">
              <w:rPr>
                <w:sz w:val="22"/>
                <w:szCs w:val="22"/>
                <w:lang w:val="fr-FR"/>
              </w:rPr>
              <w:t xml:space="preserve"> de</w:t>
            </w:r>
            <w:r w:rsidRPr="001348BF">
              <w:rPr>
                <w:sz w:val="22"/>
                <w:szCs w:val="22"/>
                <w:lang w:val="fr-FR"/>
              </w:rPr>
              <w:t xml:space="preserve"> </w:t>
            </w:r>
            <w:r w:rsidR="00952C86" w:rsidRPr="001348BF">
              <w:rPr>
                <w:i/>
                <w:sz w:val="22"/>
                <w:szCs w:val="22"/>
                <w:lang w:val="fr-FR"/>
              </w:rPr>
              <w:t xml:space="preserve">Lignes directrices </w:t>
            </w:r>
            <w:r w:rsidR="00C920C2">
              <w:rPr>
                <w:i/>
                <w:sz w:val="22"/>
                <w:szCs w:val="22"/>
                <w:lang w:val="fr-FR"/>
              </w:rPr>
              <w:t xml:space="preserve">pour </w:t>
            </w:r>
            <w:r w:rsidR="00952C86" w:rsidRPr="001348BF">
              <w:rPr>
                <w:i/>
                <w:sz w:val="22"/>
                <w:szCs w:val="22"/>
                <w:lang w:val="fr-FR"/>
              </w:rPr>
              <w:t>éviter ou atténuer l’impact des lignes électriques sur les oiseaux migrateurs dans la région d’</w:t>
            </w:r>
            <w:r w:rsidR="0089226A" w:rsidRPr="001348BF">
              <w:rPr>
                <w:i/>
                <w:sz w:val="22"/>
                <w:szCs w:val="22"/>
                <w:lang w:val="fr-FR"/>
              </w:rPr>
              <w:t>Afrique</w:t>
            </w:r>
            <w:r w:rsidR="00952C86" w:rsidRPr="001348BF">
              <w:rPr>
                <w:i/>
                <w:sz w:val="22"/>
                <w:szCs w:val="22"/>
                <w:lang w:val="fr-FR"/>
              </w:rPr>
              <w:t>-Eurasie</w:t>
            </w:r>
            <w:r w:rsidRPr="001348BF">
              <w:rPr>
                <w:sz w:val="22"/>
                <w:szCs w:val="22"/>
                <w:lang w:val="fr-FR"/>
              </w:rPr>
              <w:t xml:space="preserve"> (document AEWA/MOP 5.37). </w:t>
            </w:r>
            <w:r w:rsidR="00952C86" w:rsidRPr="001348BF">
              <w:rPr>
                <w:sz w:val="22"/>
                <w:szCs w:val="22"/>
                <w:lang w:val="fr-FR"/>
              </w:rPr>
              <w:t>Le</w:t>
            </w:r>
            <w:r w:rsidRPr="001348BF">
              <w:rPr>
                <w:sz w:val="22"/>
                <w:szCs w:val="22"/>
                <w:lang w:val="fr-FR"/>
              </w:rPr>
              <w:t xml:space="preserve"> </w:t>
            </w:r>
            <w:r w:rsidR="001348BF" w:rsidRPr="001348BF">
              <w:rPr>
                <w:sz w:val="22"/>
                <w:szCs w:val="22"/>
                <w:lang w:val="fr-FR"/>
              </w:rPr>
              <w:t>CT</w:t>
            </w:r>
            <w:r w:rsidRPr="001348BF">
              <w:rPr>
                <w:sz w:val="22"/>
                <w:szCs w:val="22"/>
                <w:lang w:val="fr-FR"/>
              </w:rPr>
              <w:t xml:space="preserve"> </w:t>
            </w:r>
            <w:r w:rsidR="00952C86" w:rsidRPr="001348BF">
              <w:rPr>
                <w:sz w:val="22"/>
                <w:szCs w:val="22"/>
                <w:lang w:val="fr-FR"/>
              </w:rPr>
              <w:t>a étroitement participé au travail sur ces deux</w:t>
            </w:r>
            <w:r w:rsidRPr="001348BF">
              <w:rPr>
                <w:sz w:val="22"/>
                <w:szCs w:val="22"/>
                <w:lang w:val="fr-FR"/>
              </w:rPr>
              <w:t xml:space="preserve"> documents </w:t>
            </w:r>
            <w:r w:rsidR="00952C86" w:rsidRPr="001348BF">
              <w:rPr>
                <w:sz w:val="22"/>
                <w:szCs w:val="22"/>
                <w:lang w:val="fr-FR"/>
              </w:rPr>
              <w:t>à tous les stades de leur élaboration</w:t>
            </w:r>
            <w:r w:rsidRPr="001348BF">
              <w:rPr>
                <w:sz w:val="22"/>
                <w:szCs w:val="22"/>
                <w:lang w:val="fr-FR"/>
              </w:rPr>
              <w:t xml:space="preserve">, </w:t>
            </w:r>
            <w:r w:rsidR="00952C86" w:rsidRPr="001348BF">
              <w:rPr>
                <w:sz w:val="22"/>
                <w:szCs w:val="22"/>
                <w:lang w:val="fr-FR"/>
              </w:rPr>
              <w:t>partant de la rédaction du</w:t>
            </w:r>
            <w:r w:rsidRPr="001348BF">
              <w:rPr>
                <w:sz w:val="22"/>
                <w:szCs w:val="22"/>
                <w:lang w:val="fr-FR"/>
              </w:rPr>
              <w:t xml:space="preserve"> ToR, </w:t>
            </w:r>
            <w:r w:rsidR="00503FF2" w:rsidRPr="001348BF">
              <w:rPr>
                <w:sz w:val="22"/>
                <w:szCs w:val="22"/>
                <w:lang w:val="fr-FR"/>
              </w:rPr>
              <w:t>en passant par</w:t>
            </w:r>
            <w:r w:rsidRPr="001348BF">
              <w:rPr>
                <w:sz w:val="22"/>
                <w:szCs w:val="22"/>
                <w:lang w:val="fr-FR"/>
              </w:rPr>
              <w:t xml:space="preserve"> </w:t>
            </w:r>
            <w:r w:rsidR="00503FF2" w:rsidRPr="001348BF">
              <w:rPr>
                <w:sz w:val="22"/>
                <w:szCs w:val="22"/>
                <w:lang w:val="fr-FR"/>
              </w:rPr>
              <w:t>l</w:t>
            </w:r>
            <w:r w:rsidR="00BF6954" w:rsidRPr="001348BF">
              <w:rPr>
                <w:sz w:val="22"/>
                <w:szCs w:val="22"/>
                <w:lang w:val="fr-FR"/>
              </w:rPr>
              <w:t>’examen</w:t>
            </w:r>
            <w:r w:rsidR="00503FF2" w:rsidRPr="001348BF">
              <w:rPr>
                <w:sz w:val="22"/>
                <w:szCs w:val="22"/>
                <w:lang w:val="fr-FR"/>
              </w:rPr>
              <w:t xml:space="preserve"> et les commentaires, jusqu’à l</w:t>
            </w:r>
            <w:r w:rsidR="00BF6954" w:rsidRPr="001348BF">
              <w:rPr>
                <w:sz w:val="22"/>
                <w:szCs w:val="22"/>
                <w:lang w:val="fr-FR"/>
              </w:rPr>
              <w:t>’approbation</w:t>
            </w:r>
            <w:r w:rsidR="00503FF2" w:rsidRPr="001348BF">
              <w:rPr>
                <w:sz w:val="22"/>
                <w:szCs w:val="22"/>
                <w:lang w:val="fr-FR"/>
              </w:rPr>
              <w:t xml:space="preserve"> des résultats finaux</w:t>
            </w:r>
            <w:r w:rsidRPr="001348BF">
              <w:rPr>
                <w:sz w:val="22"/>
                <w:szCs w:val="22"/>
                <w:lang w:val="fr-FR"/>
              </w:rPr>
              <w:t>.</w:t>
            </w:r>
          </w:p>
          <w:p w:rsidR="0044138E" w:rsidRPr="00183F00" w:rsidRDefault="0044138E" w:rsidP="0044138E">
            <w:pPr>
              <w:jc w:val="both"/>
              <w:rPr>
                <w:color w:val="FF0000"/>
                <w:sz w:val="22"/>
                <w:szCs w:val="22"/>
                <w:lang w:val="fr-FR"/>
              </w:rPr>
            </w:pPr>
          </w:p>
        </w:tc>
      </w:tr>
    </w:tbl>
    <w:p w:rsidR="00B50B65" w:rsidRPr="00183F00" w:rsidRDefault="00B50B65" w:rsidP="00B50B65">
      <w:pPr>
        <w:rPr>
          <w:lang w:val="fr-FR"/>
        </w:rPr>
      </w:pPr>
    </w:p>
    <w:p w:rsidR="00B50B65" w:rsidRPr="00183F00" w:rsidRDefault="00B50B65" w:rsidP="00B50B65">
      <w:pPr>
        <w:rPr>
          <w:lang w:val="fr-FR"/>
        </w:rPr>
      </w:pPr>
    </w:p>
    <w:p w:rsidR="00AB5F2B" w:rsidRPr="00183F00" w:rsidRDefault="00AB5F2B" w:rsidP="00B50B65">
      <w:pPr>
        <w:tabs>
          <w:tab w:val="left" w:pos="2085"/>
        </w:tabs>
        <w:rPr>
          <w:b/>
          <w:lang w:val="fr-FR"/>
        </w:rPr>
      </w:pPr>
    </w:p>
    <w:p w:rsidR="00AB5F2B" w:rsidRPr="00183F00" w:rsidRDefault="00AB5F2B" w:rsidP="00B50B65">
      <w:pPr>
        <w:tabs>
          <w:tab w:val="left" w:pos="2085"/>
        </w:tabs>
        <w:rPr>
          <w:b/>
          <w:lang w:val="fr-FR"/>
        </w:rPr>
      </w:pPr>
    </w:p>
    <w:p w:rsidR="00AB5F2B" w:rsidRPr="00183F00" w:rsidRDefault="00AB5F2B" w:rsidP="00B50B65">
      <w:pPr>
        <w:tabs>
          <w:tab w:val="left" w:pos="2085"/>
        </w:tabs>
        <w:rPr>
          <w:b/>
          <w:lang w:val="fr-FR"/>
        </w:rPr>
      </w:pPr>
    </w:p>
    <w:p w:rsidR="00AB5F2B" w:rsidRPr="00183F00" w:rsidRDefault="00AB5F2B" w:rsidP="00B50B65">
      <w:pPr>
        <w:tabs>
          <w:tab w:val="left" w:pos="2085"/>
        </w:tabs>
        <w:rPr>
          <w:b/>
          <w:lang w:val="fr-FR"/>
        </w:rPr>
      </w:pPr>
    </w:p>
    <w:p w:rsidR="00AB5F2B" w:rsidRPr="00183F00" w:rsidRDefault="00AB5F2B" w:rsidP="00B50B65">
      <w:pPr>
        <w:tabs>
          <w:tab w:val="left" w:pos="2085"/>
        </w:tabs>
        <w:rPr>
          <w:b/>
          <w:lang w:val="fr-FR"/>
        </w:rPr>
      </w:pPr>
    </w:p>
    <w:p w:rsidR="00AB5F2B" w:rsidRPr="00183F00" w:rsidRDefault="00AB5F2B" w:rsidP="00B50B65">
      <w:pPr>
        <w:tabs>
          <w:tab w:val="left" w:pos="2085"/>
        </w:tabs>
        <w:rPr>
          <w:b/>
          <w:lang w:val="fr-FR"/>
        </w:rPr>
      </w:pPr>
    </w:p>
    <w:p w:rsidR="00B50B65" w:rsidRPr="00183F00" w:rsidRDefault="00503FF2" w:rsidP="00B50B65">
      <w:pPr>
        <w:tabs>
          <w:tab w:val="left" w:pos="2085"/>
        </w:tabs>
        <w:rPr>
          <w:b/>
          <w:lang w:val="fr-FR"/>
        </w:rPr>
      </w:pPr>
      <w:r w:rsidRPr="00183F00">
        <w:rPr>
          <w:b/>
          <w:lang w:val="fr-FR"/>
        </w:rPr>
        <w:lastRenderedPageBreak/>
        <w:t>Liste des abréviations de noms des membres des groupes de travail (par ordre alphabétique) :</w:t>
      </w:r>
    </w:p>
    <w:p w:rsidR="00B50B65" w:rsidRPr="00183F00" w:rsidRDefault="00B50B65" w:rsidP="00B50B65">
      <w:pPr>
        <w:pStyle w:val="Endnotentext"/>
        <w:rPr>
          <w:rFonts w:ascii="Arial" w:hAnsi="Arial" w:cs="Arial"/>
          <w:b/>
          <w:bCs/>
          <w:lang w:val="fr-FR"/>
        </w:rPr>
      </w:pPr>
    </w:p>
    <w:p w:rsidR="00B50B65" w:rsidRPr="00183F00" w:rsidRDefault="00B50B65" w:rsidP="00B50B65">
      <w:pPr>
        <w:pStyle w:val="Endnotentext"/>
        <w:rPr>
          <w:lang w:val="fr-FR"/>
        </w:rPr>
      </w:pPr>
    </w:p>
    <w:tbl>
      <w:tblPr>
        <w:tblW w:w="0" w:type="auto"/>
        <w:jc w:val="center"/>
        <w:tblInd w:w="1008" w:type="dxa"/>
        <w:tblLook w:val="0000"/>
      </w:tblPr>
      <w:tblGrid>
        <w:gridCol w:w="2286"/>
        <w:gridCol w:w="4194"/>
        <w:gridCol w:w="2394"/>
        <w:gridCol w:w="3294"/>
      </w:tblGrid>
      <w:tr w:rsidR="000E61A7" w:rsidRPr="00183F00">
        <w:tblPrEx>
          <w:tblCellMar>
            <w:top w:w="0" w:type="dxa"/>
            <w:bottom w:w="0" w:type="dxa"/>
          </w:tblCellMar>
        </w:tblPrEx>
        <w:trPr>
          <w:trHeight w:val="342"/>
          <w:jc w:val="center"/>
        </w:trPr>
        <w:tc>
          <w:tcPr>
            <w:tcW w:w="2286" w:type="dxa"/>
          </w:tcPr>
          <w:p w:rsidR="000E61A7" w:rsidRPr="00183F00" w:rsidRDefault="00503FF2" w:rsidP="000B0F5F">
            <w:pPr>
              <w:pStyle w:val="Endnotentext"/>
              <w:rPr>
                <w:b/>
                <w:bCs/>
                <w:sz w:val="22"/>
                <w:szCs w:val="22"/>
                <w:lang w:val="fr-FR"/>
              </w:rPr>
            </w:pPr>
            <w:r w:rsidRPr="00183F00">
              <w:rPr>
                <w:b/>
                <w:bCs/>
                <w:sz w:val="22"/>
                <w:szCs w:val="22"/>
                <w:lang w:val="fr-FR"/>
              </w:rPr>
              <w:t>Abréviation</w:t>
            </w:r>
          </w:p>
        </w:tc>
        <w:tc>
          <w:tcPr>
            <w:tcW w:w="4194" w:type="dxa"/>
          </w:tcPr>
          <w:p w:rsidR="000E61A7" w:rsidRPr="00183F00" w:rsidRDefault="00767F94" w:rsidP="000B0F5F">
            <w:pPr>
              <w:pStyle w:val="Endnotentext"/>
              <w:rPr>
                <w:b/>
                <w:bCs/>
                <w:sz w:val="22"/>
                <w:szCs w:val="22"/>
                <w:lang w:val="fr-FR"/>
              </w:rPr>
            </w:pPr>
            <w:r w:rsidRPr="00183F00">
              <w:rPr>
                <w:b/>
                <w:bCs/>
                <w:sz w:val="22"/>
                <w:szCs w:val="22"/>
                <w:lang w:val="fr-FR"/>
              </w:rPr>
              <w:t>Nom entier</w:t>
            </w:r>
          </w:p>
        </w:tc>
        <w:tc>
          <w:tcPr>
            <w:tcW w:w="2394" w:type="dxa"/>
          </w:tcPr>
          <w:p w:rsidR="000E61A7" w:rsidRPr="00183F00" w:rsidRDefault="00767F94" w:rsidP="000B0F5F">
            <w:pPr>
              <w:pStyle w:val="Endnotentext"/>
              <w:rPr>
                <w:b/>
                <w:bCs/>
                <w:sz w:val="22"/>
                <w:szCs w:val="22"/>
                <w:lang w:val="fr-FR"/>
              </w:rPr>
            </w:pPr>
            <w:r w:rsidRPr="00183F00">
              <w:rPr>
                <w:b/>
                <w:bCs/>
                <w:sz w:val="22"/>
                <w:szCs w:val="22"/>
                <w:lang w:val="fr-FR"/>
              </w:rPr>
              <w:t>Abréviation</w:t>
            </w:r>
          </w:p>
        </w:tc>
        <w:tc>
          <w:tcPr>
            <w:tcW w:w="3294" w:type="dxa"/>
          </w:tcPr>
          <w:p w:rsidR="000E61A7" w:rsidRPr="00183F00" w:rsidRDefault="00767F94" w:rsidP="000B0F5F">
            <w:pPr>
              <w:pStyle w:val="Endnotentext"/>
              <w:rPr>
                <w:b/>
                <w:bCs/>
                <w:sz w:val="22"/>
                <w:szCs w:val="22"/>
                <w:lang w:val="fr-FR"/>
              </w:rPr>
            </w:pPr>
            <w:r w:rsidRPr="00183F00">
              <w:rPr>
                <w:b/>
                <w:bCs/>
                <w:sz w:val="22"/>
                <w:szCs w:val="22"/>
                <w:lang w:val="fr-FR"/>
              </w:rPr>
              <w:t>Nom entier</w:t>
            </w:r>
          </w:p>
        </w:tc>
      </w:tr>
      <w:tr w:rsidR="000E61A7" w:rsidRPr="00183F00">
        <w:tblPrEx>
          <w:tblCellMar>
            <w:top w:w="0" w:type="dxa"/>
            <w:bottom w:w="0" w:type="dxa"/>
          </w:tblCellMar>
        </w:tblPrEx>
        <w:trPr>
          <w:jc w:val="center"/>
        </w:trPr>
        <w:tc>
          <w:tcPr>
            <w:tcW w:w="2286" w:type="dxa"/>
          </w:tcPr>
          <w:p w:rsidR="000E61A7" w:rsidRPr="00F301B8" w:rsidRDefault="00767F94" w:rsidP="000B0F5F">
            <w:pPr>
              <w:pStyle w:val="Endnotentext"/>
              <w:rPr>
                <w:b/>
                <w:bCs/>
                <w:sz w:val="22"/>
                <w:szCs w:val="22"/>
                <w:lang w:val="de-DE"/>
              </w:rPr>
            </w:pPr>
            <w:r w:rsidRPr="00F301B8">
              <w:rPr>
                <w:b/>
                <w:bCs/>
                <w:sz w:val="22"/>
                <w:szCs w:val="22"/>
                <w:lang w:val="de-DE"/>
              </w:rPr>
              <w:t>AM</w:t>
            </w:r>
          </w:p>
          <w:p w:rsidR="000E61A7" w:rsidRPr="00F301B8" w:rsidRDefault="00767F94" w:rsidP="000B0F5F">
            <w:pPr>
              <w:pStyle w:val="Endnotentext"/>
              <w:rPr>
                <w:b/>
                <w:bCs/>
                <w:sz w:val="22"/>
                <w:szCs w:val="22"/>
                <w:lang w:val="de-DE"/>
              </w:rPr>
            </w:pPr>
            <w:r w:rsidRPr="00F301B8">
              <w:rPr>
                <w:b/>
                <w:bCs/>
                <w:sz w:val="22"/>
                <w:szCs w:val="22"/>
                <w:lang w:val="de-DE"/>
              </w:rPr>
              <w:t>BH</w:t>
            </w:r>
          </w:p>
          <w:p w:rsidR="002F62E2" w:rsidRPr="00F301B8" w:rsidRDefault="00767F94" w:rsidP="000B0F5F">
            <w:pPr>
              <w:pStyle w:val="Endnotentext"/>
              <w:rPr>
                <w:b/>
                <w:bCs/>
                <w:sz w:val="22"/>
                <w:szCs w:val="22"/>
                <w:lang w:val="de-DE"/>
              </w:rPr>
            </w:pPr>
            <w:r w:rsidRPr="00F301B8">
              <w:rPr>
                <w:b/>
                <w:bCs/>
                <w:sz w:val="22"/>
                <w:szCs w:val="22"/>
                <w:lang w:val="de-DE"/>
              </w:rPr>
              <w:t>BL</w:t>
            </w:r>
          </w:p>
          <w:p w:rsidR="000E61A7" w:rsidRPr="00F301B8" w:rsidRDefault="00767F94" w:rsidP="000B0F5F">
            <w:pPr>
              <w:pStyle w:val="Endnotentext"/>
              <w:rPr>
                <w:b/>
                <w:bCs/>
                <w:sz w:val="22"/>
                <w:szCs w:val="22"/>
                <w:lang w:val="de-DE"/>
              </w:rPr>
            </w:pPr>
            <w:r w:rsidRPr="00F301B8">
              <w:rPr>
                <w:b/>
                <w:bCs/>
                <w:sz w:val="22"/>
                <w:szCs w:val="22"/>
                <w:lang w:val="de-DE"/>
              </w:rPr>
              <w:t>CL</w:t>
            </w:r>
          </w:p>
          <w:p w:rsidR="000E61A7" w:rsidRPr="00F301B8" w:rsidRDefault="00767F94" w:rsidP="000B0F5F">
            <w:pPr>
              <w:pStyle w:val="Endnotentext"/>
              <w:rPr>
                <w:b/>
                <w:bCs/>
                <w:sz w:val="22"/>
                <w:szCs w:val="22"/>
                <w:lang w:val="de-DE"/>
              </w:rPr>
            </w:pPr>
            <w:r w:rsidRPr="00F301B8">
              <w:rPr>
                <w:b/>
                <w:bCs/>
                <w:sz w:val="22"/>
                <w:szCs w:val="22"/>
                <w:lang w:val="de-DE"/>
              </w:rPr>
              <w:t>DS</w:t>
            </w:r>
          </w:p>
          <w:p w:rsidR="000E61A7" w:rsidRPr="00F301B8" w:rsidRDefault="00767F94" w:rsidP="000B0F5F">
            <w:pPr>
              <w:pStyle w:val="Endnotentext"/>
              <w:rPr>
                <w:b/>
                <w:bCs/>
                <w:sz w:val="22"/>
                <w:szCs w:val="22"/>
                <w:lang w:val="de-DE"/>
              </w:rPr>
            </w:pPr>
            <w:r w:rsidRPr="00F301B8">
              <w:rPr>
                <w:b/>
                <w:bCs/>
                <w:sz w:val="22"/>
                <w:szCs w:val="22"/>
                <w:lang w:val="de-DE"/>
              </w:rPr>
              <w:t>FK</w:t>
            </w:r>
          </w:p>
          <w:p w:rsidR="000E61A7" w:rsidRPr="00F301B8" w:rsidRDefault="00767F94" w:rsidP="000B0F5F">
            <w:pPr>
              <w:pStyle w:val="Endnotentext"/>
              <w:rPr>
                <w:b/>
                <w:bCs/>
                <w:sz w:val="22"/>
                <w:szCs w:val="22"/>
              </w:rPr>
            </w:pPr>
            <w:r w:rsidRPr="00F301B8">
              <w:rPr>
                <w:b/>
                <w:bCs/>
                <w:sz w:val="22"/>
                <w:szCs w:val="22"/>
              </w:rPr>
              <w:t>GF</w:t>
            </w:r>
          </w:p>
          <w:p w:rsidR="002F62E2" w:rsidRPr="00F301B8" w:rsidRDefault="00767F94" w:rsidP="000B0F5F">
            <w:pPr>
              <w:pStyle w:val="Endnotentext"/>
              <w:rPr>
                <w:b/>
                <w:bCs/>
                <w:sz w:val="22"/>
                <w:szCs w:val="22"/>
              </w:rPr>
            </w:pPr>
            <w:r w:rsidRPr="00F301B8">
              <w:rPr>
                <w:b/>
                <w:bCs/>
                <w:sz w:val="22"/>
                <w:szCs w:val="22"/>
              </w:rPr>
              <w:t>GNO</w:t>
            </w:r>
          </w:p>
          <w:p w:rsidR="000E61A7" w:rsidRPr="00F301B8" w:rsidRDefault="00767F94" w:rsidP="000B0F5F">
            <w:pPr>
              <w:pStyle w:val="Endnotentext"/>
              <w:rPr>
                <w:b/>
                <w:bCs/>
                <w:sz w:val="22"/>
                <w:szCs w:val="22"/>
              </w:rPr>
            </w:pPr>
            <w:r w:rsidRPr="00F301B8">
              <w:rPr>
                <w:b/>
                <w:bCs/>
                <w:sz w:val="22"/>
                <w:szCs w:val="22"/>
              </w:rPr>
              <w:t>GRJ</w:t>
            </w:r>
          </w:p>
          <w:p w:rsidR="000E61A7" w:rsidRPr="00F301B8" w:rsidRDefault="00767F94" w:rsidP="000B0F5F">
            <w:pPr>
              <w:pStyle w:val="Endnotentext"/>
              <w:rPr>
                <w:b/>
                <w:bCs/>
                <w:sz w:val="22"/>
                <w:szCs w:val="22"/>
              </w:rPr>
            </w:pPr>
            <w:r w:rsidRPr="00F301B8">
              <w:rPr>
                <w:b/>
                <w:bCs/>
                <w:sz w:val="22"/>
                <w:szCs w:val="22"/>
              </w:rPr>
              <w:t>HA</w:t>
            </w:r>
          </w:p>
          <w:p w:rsidR="000E61A7" w:rsidRPr="00F301B8" w:rsidRDefault="00767F94" w:rsidP="000B0F5F">
            <w:pPr>
              <w:pStyle w:val="Endnotentext"/>
              <w:rPr>
                <w:b/>
                <w:bCs/>
                <w:sz w:val="22"/>
                <w:szCs w:val="22"/>
              </w:rPr>
            </w:pPr>
            <w:r w:rsidRPr="00F301B8">
              <w:rPr>
                <w:b/>
                <w:bCs/>
                <w:sz w:val="22"/>
                <w:szCs w:val="22"/>
              </w:rPr>
              <w:t>HS</w:t>
            </w:r>
          </w:p>
          <w:p w:rsidR="000E61A7" w:rsidRPr="00F301B8" w:rsidRDefault="00767F94" w:rsidP="000B0F5F">
            <w:pPr>
              <w:pStyle w:val="Endnotentext"/>
              <w:rPr>
                <w:b/>
                <w:bCs/>
                <w:sz w:val="22"/>
                <w:szCs w:val="22"/>
              </w:rPr>
            </w:pPr>
            <w:r w:rsidRPr="00F301B8">
              <w:rPr>
                <w:b/>
                <w:bCs/>
                <w:sz w:val="22"/>
                <w:szCs w:val="22"/>
              </w:rPr>
              <w:t>PT</w:t>
            </w:r>
          </w:p>
          <w:p w:rsidR="000E61A7" w:rsidRPr="00183F00" w:rsidRDefault="00767F94" w:rsidP="000B0F5F">
            <w:pPr>
              <w:pStyle w:val="Endnotentext"/>
              <w:rPr>
                <w:b/>
                <w:bCs/>
                <w:sz w:val="22"/>
                <w:szCs w:val="22"/>
                <w:lang w:val="fr-FR"/>
              </w:rPr>
            </w:pPr>
            <w:r w:rsidRPr="00183F00">
              <w:rPr>
                <w:b/>
                <w:bCs/>
                <w:sz w:val="22"/>
                <w:szCs w:val="22"/>
                <w:lang w:val="fr-FR"/>
              </w:rPr>
              <w:t>JCV</w:t>
            </w:r>
          </w:p>
          <w:p w:rsidR="000E61A7" w:rsidRPr="00183F00" w:rsidRDefault="00767F94" w:rsidP="000B0F5F">
            <w:pPr>
              <w:pStyle w:val="Endnotentext"/>
              <w:rPr>
                <w:b/>
                <w:bCs/>
                <w:sz w:val="22"/>
                <w:szCs w:val="22"/>
                <w:lang w:val="fr-FR"/>
              </w:rPr>
            </w:pPr>
            <w:r w:rsidRPr="00183F00">
              <w:rPr>
                <w:b/>
                <w:bCs/>
                <w:sz w:val="22"/>
                <w:szCs w:val="22"/>
                <w:lang w:val="fr-FR"/>
              </w:rPr>
              <w:t>JH</w:t>
            </w:r>
          </w:p>
        </w:tc>
        <w:tc>
          <w:tcPr>
            <w:tcW w:w="4194" w:type="dxa"/>
          </w:tcPr>
          <w:p w:rsidR="000E61A7" w:rsidRPr="00F301B8" w:rsidRDefault="00767F94" w:rsidP="000B0F5F">
            <w:pPr>
              <w:pStyle w:val="Endnotentext"/>
              <w:rPr>
                <w:sz w:val="22"/>
                <w:szCs w:val="22"/>
              </w:rPr>
            </w:pPr>
            <w:r w:rsidRPr="00F301B8">
              <w:rPr>
                <w:sz w:val="22"/>
                <w:szCs w:val="22"/>
              </w:rPr>
              <w:t>Angus Middleton</w:t>
            </w:r>
          </w:p>
          <w:p w:rsidR="000E61A7" w:rsidRPr="00F301B8" w:rsidRDefault="00767F94" w:rsidP="000B0F5F">
            <w:pPr>
              <w:pStyle w:val="Endnotentext"/>
              <w:rPr>
                <w:sz w:val="22"/>
                <w:szCs w:val="22"/>
              </w:rPr>
            </w:pPr>
            <w:r w:rsidRPr="00F301B8">
              <w:rPr>
                <w:sz w:val="22"/>
                <w:szCs w:val="22"/>
              </w:rPr>
              <w:t>Baz Hughes</w:t>
            </w:r>
          </w:p>
          <w:p w:rsidR="002F62E2" w:rsidRPr="00F301B8" w:rsidRDefault="00767F94" w:rsidP="000B0F5F">
            <w:pPr>
              <w:pStyle w:val="Endnotentext"/>
              <w:rPr>
                <w:sz w:val="22"/>
                <w:szCs w:val="22"/>
              </w:rPr>
            </w:pPr>
            <w:smartTag w:uri="urn:schemas-microsoft-com:office:smarttags" w:element="PersonName">
              <w:smartTagPr>
                <w:attr w:name="ProductID" w:val="Bert Lenten"/>
              </w:smartTagPr>
              <w:r w:rsidRPr="00F301B8">
                <w:rPr>
                  <w:sz w:val="22"/>
                  <w:szCs w:val="22"/>
                </w:rPr>
                <w:t>Bert Lenten</w:t>
              </w:r>
            </w:smartTag>
          </w:p>
          <w:p w:rsidR="000E61A7" w:rsidRPr="00F301B8" w:rsidRDefault="00767F94" w:rsidP="000B0F5F">
            <w:pPr>
              <w:pStyle w:val="Endnotentext"/>
              <w:rPr>
                <w:sz w:val="22"/>
                <w:szCs w:val="22"/>
              </w:rPr>
            </w:pPr>
            <w:r w:rsidRPr="00F301B8">
              <w:rPr>
                <w:sz w:val="22"/>
                <w:szCs w:val="22"/>
              </w:rPr>
              <w:t>Catherine Lehmann</w:t>
            </w:r>
          </w:p>
          <w:p w:rsidR="000E61A7" w:rsidRPr="00F301B8" w:rsidRDefault="00767F94" w:rsidP="000B0F5F">
            <w:pPr>
              <w:pStyle w:val="Endnotentext"/>
              <w:rPr>
                <w:sz w:val="22"/>
                <w:szCs w:val="22"/>
              </w:rPr>
            </w:pPr>
            <w:r w:rsidRPr="00F301B8">
              <w:rPr>
                <w:sz w:val="22"/>
                <w:szCs w:val="22"/>
              </w:rPr>
              <w:t>David Stroud</w:t>
            </w:r>
          </w:p>
          <w:p w:rsidR="000E61A7" w:rsidRPr="00F301B8" w:rsidRDefault="00767F94" w:rsidP="000B0F5F">
            <w:pPr>
              <w:pStyle w:val="Endnotentext"/>
              <w:rPr>
                <w:sz w:val="22"/>
                <w:szCs w:val="22"/>
              </w:rPr>
            </w:pPr>
            <w:r w:rsidRPr="00F301B8">
              <w:rPr>
                <w:sz w:val="22"/>
                <w:szCs w:val="22"/>
              </w:rPr>
              <w:t>Florian Keil</w:t>
            </w:r>
          </w:p>
          <w:p w:rsidR="000E61A7" w:rsidRPr="00F301B8" w:rsidRDefault="00767F94" w:rsidP="000B0F5F">
            <w:pPr>
              <w:pStyle w:val="Endnotentext"/>
              <w:rPr>
                <w:sz w:val="22"/>
                <w:szCs w:val="22"/>
              </w:rPr>
            </w:pPr>
            <w:r w:rsidRPr="00F301B8">
              <w:rPr>
                <w:sz w:val="22"/>
                <w:szCs w:val="22"/>
              </w:rPr>
              <w:t>Gerardo Fragoso</w:t>
            </w:r>
          </w:p>
          <w:p w:rsidR="002F62E2" w:rsidRPr="00F301B8" w:rsidRDefault="00767F94" w:rsidP="000B0F5F">
            <w:pPr>
              <w:pStyle w:val="Endnotentext"/>
              <w:rPr>
                <w:sz w:val="22"/>
                <w:szCs w:val="22"/>
              </w:rPr>
            </w:pPr>
            <w:r w:rsidRPr="00F301B8">
              <w:rPr>
                <w:sz w:val="22"/>
                <w:szCs w:val="22"/>
              </w:rPr>
              <w:t>Guy-Noel Olivier</w:t>
            </w:r>
          </w:p>
          <w:p w:rsidR="000E61A7" w:rsidRPr="00F301B8" w:rsidRDefault="00767F94" w:rsidP="000B0F5F">
            <w:pPr>
              <w:pStyle w:val="Endnotentext"/>
              <w:rPr>
                <w:sz w:val="22"/>
                <w:szCs w:val="22"/>
              </w:rPr>
            </w:pPr>
            <w:r w:rsidRPr="00F301B8">
              <w:rPr>
                <w:sz w:val="22"/>
                <w:szCs w:val="22"/>
              </w:rPr>
              <w:t>Ghassan Ramadan-Jaradi</w:t>
            </w:r>
          </w:p>
          <w:p w:rsidR="000E61A7" w:rsidRPr="00F301B8" w:rsidRDefault="00767F94" w:rsidP="000B0F5F">
            <w:pPr>
              <w:pStyle w:val="Endnotentext"/>
              <w:rPr>
                <w:sz w:val="22"/>
                <w:szCs w:val="22"/>
              </w:rPr>
            </w:pPr>
            <w:r w:rsidRPr="00F301B8">
              <w:rPr>
                <w:sz w:val="22"/>
                <w:szCs w:val="22"/>
              </w:rPr>
              <w:t>Hichem Azafzaf</w:t>
            </w:r>
          </w:p>
          <w:p w:rsidR="000E61A7" w:rsidRPr="00183F00" w:rsidRDefault="00767F94" w:rsidP="000B0F5F">
            <w:pPr>
              <w:pStyle w:val="Endnotentext"/>
              <w:rPr>
                <w:sz w:val="22"/>
                <w:szCs w:val="22"/>
                <w:lang w:val="fr-FR"/>
              </w:rPr>
            </w:pPr>
            <w:r w:rsidRPr="00183F00">
              <w:rPr>
                <w:sz w:val="22"/>
                <w:szCs w:val="22"/>
                <w:lang w:val="fr-FR"/>
              </w:rPr>
              <w:t>Hussein Sosovele</w:t>
            </w:r>
          </w:p>
          <w:p w:rsidR="000E61A7" w:rsidRPr="00183F00" w:rsidRDefault="00767F94" w:rsidP="000B0F5F">
            <w:pPr>
              <w:pStyle w:val="Endnotentext"/>
              <w:rPr>
                <w:sz w:val="22"/>
                <w:szCs w:val="22"/>
                <w:lang w:val="fr-FR"/>
              </w:rPr>
            </w:pPr>
            <w:r w:rsidRPr="00183F00">
              <w:rPr>
                <w:sz w:val="22"/>
                <w:szCs w:val="22"/>
                <w:lang w:val="fr-FR"/>
              </w:rPr>
              <w:t>Patrick Triplet</w:t>
            </w:r>
          </w:p>
          <w:p w:rsidR="000E61A7" w:rsidRPr="00183F00" w:rsidRDefault="00767F94" w:rsidP="000B0F5F">
            <w:pPr>
              <w:pStyle w:val="Endnotentext"/>
              <w:rPr>
                <w:sz w:val="22"/>
                <w:szCs w:val="22"/>
                <w:lang w:val="fr-FR"/>
              </w:rPr>
            </w:pPr>
            <w:r w:rsidRPr="00183F00">
              <w:rPr>
                <w:sz w:val="22"/>
                <w:szCs w:val="22"/>
                <w:lang w:val="fr-FR"/>
              </w:rPr>
              <w:t>Jean-Christophe Vie</w:t>
            </w:r>
          </w:p>
          <w:p w:rsidR="000E61A7" w:rsidRPr="00183F00" w:rsidRDefault="00767F94" w:rsidP="000B0F5F">
            <w:pPr>
              <w:pStyle w:val="Endnotentext"/>
              <w:rPr>
                <w:sz w:val="22"/>
                <w:szCs w:val="22"/>
                <w:lang w:val="fr-FR"/>
              </w:rPr>
            </w:pPr>
            <w:r w:rsidRPr="00183F00">
              <w:rPr>
                <w:sz w:val="22"/>
                <w:szCs w:val="22"/>
                <w:lang w:val="fr-FR"/>
              </w:rPr>
              <w:t>John Harradine</w:t>
            </w:r>
          </w:p>
        </w:tc>
        <w:tc>
          <w:tcPr>
            <w:tcW w:w="2394" w:type="dxa"/>
          </w:tcPr>
          <w:p w:rsidR="000E61A7" w:rsidRPr="00F301B8" w:rsidRDefault="00767F94" w:rsidP="000B0F5F">
            <w:pPr>
              <w:pStyle w:val="Endnotentext"/>
              <w:rPr>
                <w:b/>
                <w:bCs/>
                <w:sz w:val="22"/>
                <w:szCs w:val="22"/>
                <w:lang w:val="de-DE"/>
              </w:rPr>
            </w:pPr>
            <w:r w:rsidRPr="00F301B8">
              <w:rPr>
                <w:b/>
                <w:bCs/>
                <w:sz w:val="22"/>
                <w:szCs w:val="22"/>
                <w:lang w:val="de-DE"/>
              </w:rPr>
              <w:t>JK</w:t>
            </w:r>
          </w:p>
          <w:p w:rsidR="000E61A7" w:rsidRPr="00F301B8" w:rsidRDefault="00767F94" w:rsidP="000B0F5F">
            <w:pPr>
              <w:pStyle w:val="Endnotentext"/>
              <w:rPr>
                <w:b/>
                <w:bCs/>
                <w:sz w:val="22"/>
                <w:szCs w:val="22"/>
                <w:lang w:val="de-DE"/>
              </w:rPr>
            </w:pPr>
            <w:r w:rsidRPr="00F301B8">
              <w:rPr>
                <w:b/>
                <w:bCs/>
                <w:sz w:val="22"/>
                <w:szCs w:val="22"/>
                <w:lang w:val="de-DE"/>
              </w:rPr>
              <w:t>JM</w:t>
            </w:r>
          </w:p>
          <w:p w:rsidR="000E61A7" w:rsidRPr="00F301B8" w:rsidRDefault="00767F94" w:rsidP="000B0F5F">
            <w:pPr>
              <w:pStyle w:val="Endnotentext"/>
              <w:rPr>
                <w:b/>
                <w:bCs/>
                <w:sz w:val="22"/>
                <w:szCs w:val="22"/>
                <w:lang w:val="de-DE"/>
              </w:rPr>
            </w:pPr>
            <w:r w:rsidRPr="00F301B8">
              <w:rPr>
                <w:b/>
                <w:bCs/>
                <w:sz w:val="22"/>
                <w:szCs w:val="22"/>
                <w:lang w:val="de-DE"/>
              </w:rPr>
              <w:t>JOS</w:t>
            </w:r>
          </w:p>
          <w:p w:rsidR="000E61A7" w:rsidRPr="00F301B8" w:rsidRDefault="00767F94" w:rsidP="000B0F5F">
            <w:pPr>
              <w:pStyle w:val="Endnotentext"/>
              <w:rPr>
                <w:b/>
                <w:bCs/>
                <w:sz w:val="22"/>
                <w:szCs w:val="22"/>
                <w:lang w:val="de-DE"/>
              </w:rPr>
            </w:pPr>
            <w:r w:rsidRPr="00F301B8">
              <w:rPr>
                <w:b/>
                <w:bCs/>
                <w:sz w:val="22"/>
                <w:szCs w:val="22"/>
                <w:lang w:val="de-DE"/>
              </w:rPr>
              <w:t>JYMM</w:t>
            </w:r>
          </w:p>
          <w:p w:rsidR="000E61A7" w:rsidRPr="00F301B8" w:rsidRDefault="00767F94" w:rsidP="000B0F5F">
            <w:pPr>
              <w:pStyle w:val="Endnotentext"/>
              <w:rPr>
                <w:b/>
                <w:bCs/>
                <w:sz w:val="22"/>
                <w:szCs w:val="22"/>
                <w:lang w:val="de-DE"/>
              </w:rPr>
            </w:pPr>
            <w:r w:rsidRPr="00F301B8">
              <w:rPr>
                <w:b/>
                <w:bCs/>
                <w:sz w:val="22"/>
                <w:szCs w:val="22"/>
                <w:lang w:val="de-DE"/>
              </w:rPr>
              <w:t>MA</w:t>
            </w:r>
          </w:p>
          <w:p w:rsidR="000E61A7" w:rsidRPr="00F301B8" w:rsidRDefault="00767F94" w:rsidP="000B0F5F">
            <w:pPr>
              <w:pStyle w:val="Endnotentext"/>
              <w:rPr>
                <w:b/>
                <w:bCs/>
                <w:sz w:val="22"/>
                <w:szCs w:val="22"/>
                <w:lang w:val="de-DE"/>
              </w:rPr>
            </w:pPr>
            <w:r w:rsidRPr="00F301B8">
              <w:rPr>
                <w:b/>
                <w:bCs/>
                <w:sz w:val="22"/>
                <w:szCs w:val="22"/>
                <w:lang w:val="de-DE"/>
              </w:rPr>
              <w:t>ML</w:t>
            </w:r>
          </w:p>
          <w:p w:rsidR="000E61A7" w:rsidRPr="00F301B8" w:rsidRDefault="00767F94" w:rsidP="000B0F5F">
            <w:pPr>
              <w:pStyle w:val="Endnotentext"/>
              <w:rPr>
                <w:b/>
                <w:bCs/>
                <w:sz w:val="22"/>
                <w:szCs w:val="22"/>
              </w:rPr>
            </w:pPr>
            <w:r w:rsidRPr="00F301B8">
              <w:rPr>
                <w:b/>
                <w:bCs/>
                <w:sz w:val="22"/>
                <w:szCs w:val="22"/>
              </w:rPr>
              <w:t>NC</w:t>
            </w:r>
          </w:p>
          <w:p w:rsidR="000E61A7" w:rsidRPr="00F301B8" w:rsidRDefault="00767F94" w:rsidP="000B0F5F">
            <w:pPr>
              <w:pStyle w:val="Endnotentext"/>
              <w:rPr>
                <w:b/>
                <w:bCs/>
                <w:sz w:val="22"/>
                <w:szCs w:val="22"/>
              </w:rPr>
            </w:pPr>
            <w:r w:rsidRPr="00F301B8">
              <w:rPr>
                <w:b/>
                <w:bCs/>
                <w:sz w:val="22"/>
                <w:szCs w:val="22"/>
              </w:rPr>
              <w:t>NK</w:t>
            </w:r>
          </w:p>
          <w:p w:rsidR="000E61A7" w:rsidRPr="00F301B8" w:rsidRDefault="00767F94" w:rsidP="000B0F5F">
            <w:pPr>
              <w:pStyle w:val="Endnotentext"/>
              <w:rPr>
                <w:b/>
                <w:bCs/>
                <w:sz w:val="22"/>
                <w:szCs w:val="22"/>
              </w:rPr>
            </w:pPr>
            <w:r w:rsidRPr="00F301B8">
              <w:rPr>
                <w:b/>
                <w:bCs/>
                <w:sz w:val="22"/>
                <w:szCs w:val="22"/>
              </w:rPr>
              <w:t>ON</w:t>
            </w:r>
          </w:p>
          <w:p w:rsidR="000E61A7" w:rsidRPr="00F301B8" w:rsidRDefault="00767F94" w:rsidP="000B0F5F">
            <w:pPr>
              <w:pStyle w:val="Endnotentext"/>
              <w:rPr>
                <w:b/>
                <w:bCs/>
                <w:sz w:val="22"/>
                <w:szCs w:val="22"/>
              </w:rPr>
            </w:pPr>
            <w:r w:rsidRPr="00F301B8">
              <w:rPr>
                <w:b/>
                <w:bCs/>
                <w:sz w:val="22"/>
                <w:szCs w:val="22"/>
              </w:rPr>
              <w:t>SD</w:t>
            </w:r>
          </w:p>
          <w:p w:rsidR="000E61A7" w:rsidRPr="00F301B8" w:rsidRDefault="00767F94" w:rsidP="000B0F5F">
            <w:pPr>
              <w:pStyle w:val="Endnotentext"/>
              <w:rPr>
                <w:b/>
                <w:bCs/>
                <w:sz w:val="22"/>
                <w:szCs w:val="22"/>
              </w:rPr>
            </w:pPr>
            <w:r w:rsidRPr="00F301B8">
              <w:rPr>
                <w:b/>
                <w:bCs/>
                <w:sz w:val="22"/>
                <w:szCs w:val="22"/>
              </w:rPr>
              <w:t>SK</w:t>
            </w:r>
          </w:p>
          <w:p w:rsidR="008F6C6D" w:rsidRPr="00F301B8" w:rsidRDefault="00767F94" w:rsidP="000B0F5F">
            <w:pPr>
              <w:pStyle w:val="Endnotentext"/>
              <w:rPr>
                <w:b/>
                <w:bCs/>
                <w:sz w:val="22"/>
                <w:szCs w:val="22"/>
              </w:rPr>
            </w:pPr>
            <w:r w:rsidRPr="00F301B8">
              <w:rPr>
                <w:b/>
                <w:bCs/>
                <w:sz w:val="22"/>
                <w:szCs w:val="22"/>
              </w:rPr>
              <w:t>SN</w:t>
            </w:r>
          </w:p>
          <w:p w:rsidR="000E61A7" w:rsidRPr="00183F00" w:rsidRDefault="00767F94" w:rsidP="000B0F5F">
            <w:pPr>
              <w:pStyle w:val="Endnotentext"/>
              <w:rPr>
                <w:b/>
                <w:bCs/>
                <w:sz w:val="22"/>
                <w:szCs w:val="22"/>
                <w:lang w:val="fr-FR"/>
              </w:rPr>
            </w:pPr>
            <w:r w:rsidRPr="00183F00">
              <w:rPr>
                <w:b/>
                <w:bCs/>
                <w:sz w:val="22"/>
                <w:szCs w:val="22"/>
                <w:lang w:val="fr-FR"/>
              </w:rPr>
              <w:t>WH</w:t>
            </w:r>
          </w:p>
        </w:tc>
        <w:tc>
          <w:tcPr>
            <w:tcW w:w="3294" w:type="dxa"/>
          </w:tcPr>
          <w:p w:rsidR="000E61A7" w:rsidRPr="00183F00" w:rsidRDefault="00767F94" w:rsidP="000B0F5F">
            <w:pPr>
              <w:pStyle w:val="Endnotentext"/>
              <w:rPr>
                <w:sz w:val="22"/>
                <w:szCs w:val="22"/>
                <w:lang w:val="fr-FR"/>
              </w:rPr>
            </w:pPr>
            <w:r w:rsidRPr="00183F00">
              <w:rPr>
                <w:sz w:val="22"/>
                <w:szCs w:val="22"/>
                <w:lang w:val="fr-FR"/>
              </w:rPr>
              <w:t>Jelena Kralj</w:t>
            </w:r>
          </w:p>
          <w:p w:rsidR="000E61A7" w:rsidRPr="00183F00" w:rsidRDefault="00767F94" w:rsidP="000B0F5F">
            <w:pPr>
              <w:pStyle w:val="Endnotentext"/>
              <w:rPr>
                <w:sz w:val="22"/>
                <w:szCs w:val="22"/>
                <w:lang w:val="fr-FR"/>
              </w:rPr>
            </w:pPr>
            <w:r w:rsidRPr="00183F00">
              <w:rPr>
                <w:sz w:val="22"/>
                <w:szCs w:val="22"/>
                <w:lang w:val="fr-FR"/>
              </w:rPr>
              <w:t>John Mshelbwala</w:t>
            </w:r>
          </w:p>
          <w:p w:rsidR="000E61A7" w:rsidRPr="00183F00" w:rsidRDefault="00767F94" w:rsidP="000B0F5F">
            <w:pPr>
              <w:pStyle w:val="Endnotentext"/>
              <w:rPr>
                <w:sz w:val="22"/>
                <w:szCs w:val="22"/>
                <w:lang w:val="fr-FR"/>
              </w:rPr>
            </w:pPr>
            <w:r w:rsidRPr="00183F00">
              <w:rPr>
                <w:sz w:val="22"/>
                <w:szCs w:val="22"/>
                <w:lang w:val="fr-FR"/>
              </w:rPr>
              <w:t>John O’Sullivan</w:t>
            </w:r>
          </w:p>
          <w:p w:rsidR="000E61A7" w:rsidRPr="00183F00" w:rsidRDefault="00767F94" w:rsidP="000B0F5F">
            <w:pPr>
              <w:pStyle w:val="Endnotentext"/>
              <w:rPr>
                <w:sz w:val="22"/>
                <w:szCs w:val="22"/>
                <w:lang w:val="fr-FR"/>
              </w:rPr>
            </w:pPr>
            <w:r w:rsidRPr="00183F00">
              <w:rPr>
                <w:sz w:val="22"/>
                <w:szCs w:val="22"/>
                <w:lang w:val="fr-FR"/>
              </w:rPr>
              <w:t>Jean-Yves Mondain-Monval</w:t>
            </w:r>
          </w:p>
          <w:p w:rsidR="000E61A7" w:rsidRPr="00183F00" w:rsidRDefault="00767F94" w:rsidP="000B0F5F">
            <w:pPr>
              <w:pStyle w:val="Endnotentext"/>
              <w:rPr>
                <w:sz w:val="22"/>
                <w:szCs w:val="22"/>
                <w:lang w:val="fr-FR"/>
              </w:rPr>
            </w:pPr>
            <w:r w:rsidRPr="00183F00">
              <w:rPr>
                <w:sz w:val="22"/>
                <w:szCs w:val="22"/>
                <w:lang w:val="fr-FR"/>
              </w:rPr>
              <w:t>Mark Anderson</w:t>
            </w:r>
          </w:p>
          <w:p w:rsidR="000E61A7" w:rsidRPr="00F301B8" w:rsidRDefault="00767F94" w:rsidP="000B0F5F">
            <w:pPr>
              <w:pStyle w:val="Endnotentext"/>
              <w:rPr>
                <w:sz w:val="22"/>
                <w:szCs w:val="22"/>
                <w:lang w:val="de-DE"/>
              </w:rPr>
            </w:pPr>
            <w:r w:rsidRPr="00F301B8">
              <w:rPr>
                <w:sz w:val="22"/>
                <w:szCs w:val="22"/>
                <w:lang w:val="de-DE"/>
              </w:rPr>
              <w:t>Melissa Lewis</w:t>
            </w:r>
          </w:p>
          <w:p w:rsidR="000E61A7" w:rsidRPr="00F301B8" w:rsidRDefault="00767F94" w:rsidP="000B0F5F">
            <w:pPr>
              <w:pStyle w:val="Endnotentext"/>
              <w:rPr>
                <w:sz w:val="22"/>
                <w:szCs w:val="22"/>
                <w:lang w:val="de-DE"/>
              </w:rPr>
            </w:pPr>
            <w:r w:rsidRPr="00F301B8">
              <w:rPr>
                <w:sz w:val="22"/>
                <w:szCs w:val="22"/>
                <w:lang w:val="de-DE"/>
              </w:rPr>
              <w:t>Nicola Crockford</w:t>
            </w:r>
          </w:p>
          <w:p w:rsidR="000E61A7" w:rsidRPr="00F301B8" w:rsidRDefault="00767F94" w:rsidP="000B0F5F">
            <w:pPr>
              <w:pStyle w:val="Endnotentext"/>
              <w:rPr>
                <w:sz w:val="22"/>
                <w:szCs w:val="22"/>
                <w:lang w:val="de-DE"/>
              </w:rPr>
            </w:pPr>
            <w:r w:rsidRPr="00F301B8">
              <w:rPr>
                <w:sz w:val="22"/>
                <w:szCs w:val="22"/>
                <w:lang w:val="de-DE"/>
              </w:rPr>
              <w:t>Niels Kanstrup</w:t>
            </w:r>
          </w:p>
          <w:p w:rsidR="000E61A7" w:rsidRPr="00F301B8" w:rsidRDefault="00767F94" w:rsidP="000B0F5F">
            <w:pPr>
              <w:pStyle w:val="Endnotentext"/>
              <w:rPr>
                <w:sz w:val="22"/>
                <w:szCs w:val="22"/>
              </w:rPr>
            </w:pPr>
            <w:r w:rsidRPr="00F301B8">
              <w:rPr>
                <w:sz w:val="22"/>
                <w:szCs w:val="22"/>
              </w:rPr>
              <w:t>Oliver Nasirwa</w:t>
            </w:r>
          </w:p>
          <w:p w:rsidR="000E61A7" w:rsidRPr="00F301B8" w:rsidRDefault="00767F94" w:rsidP="000B0F5F">
            <w:pPr>
              <w:pStyle w:val="Endnotentext"/>
              <w:rPr>
                <w:sz w:val="22"/>
                <w:szCs w:val="22"/>
              </w:rPr>
            </w:pPr>
            <w:r w:rsidRPr="00F301B8">
              <w:rPr>
                <w:sz w:val="22"/>
                <w:szCs w:val="22"/>
              </w:rPr>
              <w:t>Sergey Dereliev</w:t>
            </w:r>
          </w:p>
          <w:p w:rsidR="000E61A7" w:rsidRPr="00F301B8" w:rsidRDefault="00767F94" w:rsidP="000B0F5F">
            <w:pPr>
              <w:pStyle w:val="Endnotentext"/>
              <w:rPr>
                <w:sz w:val="22"/>
                <w:szCs w:val="22"/>
              </w:rPr>
            </w:pPr>
            <w:r w:rsidRPr="00F301B8">
              <w:rPr>
                <w:sz w:val="22"/>
                <w:szCs w:val="22"/>
              </w:rPr>
              <w:t>Sergey Khomenko</w:t>
            </w:r>
          </w:p>
          <w:p w:rsidR="008F6C6D" w:rsidRPr="00183F00" w:rsidRDefault="00767F94" w:rsidP="000B0F5F">
            <w:pPr>
              <w:pStyle w:val="Endnotentext"/>
              <w:rPr>
                <w:sz w:val="22"/>
                <w:szCs w:val="22"/>
                <w:lang w:val="fr-FR"/>
              </w:rPr>
            </w:pPr>
            <w:r w:rsidRPr="00183F00">
              <w:rPr>
                <w:sz w:val="22"/>
                <w:szCs w:val="22"/>
                <w:lang w:val="fr-FR"/>
              </w:rPr>
              <w:t>Szabolcs Nagy</w:t>
            </w:r>
          </w:p>
          <w:p w:rsidR="000E61A7" w:rsidRPr="00183F00" w:rsidRDefault="00767F94" w:rsidP="000B0F5F">
            <w:pPr>
              <w:pStyle w:val="Endnotentext"/>
              <w:rPr>
                <w:sz w:val="22"/>
                <w:szCs w:val="22"/>
                <w:lang w:val="fr-FR"/>
              </w:rPr>
            </w:pPr>
            <w:r w:rsidRPr="00183F00">
              <w:rPr>
                <w:sz w:val="22"/>
                <w:szCs w:val="22"/>
                <w:lang w:val="fr-FR"/>
              </w:rPr>
              <w:t>Ward Hagemeijer</w:t>
            </w:r>
          </w:p>
        </w:tc>
      </w:tr>
    </w:tbl>
    <w:p w:rsidR="000E61A7" w:rsidRPr="00183F00" w:rsidRDefault="000E61A7" w:rsidP="00B50B65">
      <w:pPr>
        <w:pStyle w:val="Endnotentext"/>
        <w:rPr>
          <w:lang w:val="fr-FR"/>
        </w:rPr>
      </w:pPr>
    </w:p>
    <w:p w:rsidR="000E61A7" w:rsidRPr="00183F00" w:rsidRDefault="000E61A7" w:rsidP="00B50B65">
      <w:pPr>
        <w:pStyle w:val="Endnotentext"/>
        <w:rPr>
          <w:lang w:val="fr-FR"/>
        </w:rPr>
      </w:pPr>
    </w:p>
    <w:p w:rsidR="00B50B65" w:rsidRPr="00183F00" w:rsidRDefault="00B50B65" w:rsidP="00B50B65">
      <w:pPr>
        <w:tabs>
          <w:tab w:val="left" w:pos="2085"/>
        </w:tabs>
        <w:rPr>
          <w:lang w:val="fr-FR"/>
        </w:rPr>
      </w:pPr>
    </w:p>
    <w:p w:rsidR="000E61A7" w:rsidRPr="00183F00" w:rsidRDefault="000E61A7" w:rsidP="000E61A7">
      <w:pPr>
        <w:autoSpaceDE w:val="0"/>
        <w:autoSpaceDN w:val="0"/>
        <w:adjustRightInd w:val="0"/>
        <w:rPr>
          <w:b/>
          <w:bCs/>
          <w:sz w:val="26"/>
          <w:szCs w:val="26"/>
          <w:lang w:val="fr-FR"/>
        </w:rPr>
      </w:pPr>
    </w:p>
    <w:p w:rsidR="000E61A7" w:rsidRPr="00183F00" w:rsidRDefault="000E61A7" w:rsidP="000E61A7">
      <w:pPr>
        <w:tabs>
          <w:tab w:val="left" w:pos="2085"/>
        </w:tabs>
        <w:rPr>
          <w:color w:val="0000FF"/>
          <w:lang w:val="fr-FR"/>
        </w:rPr>
        <w:sectPr w:rsidR="000E61A7" w:rsidRPr="00183F00" w:rsidSect="00CA73C7">
          <w:headerReference w:type="first" r:id="rId14"/>
          <w:pgSz w:w="16840" w:h="11907" w:orient="landscape" w:code="9"/>
          <w:pgMar w:top="1797" w:right="1440" w:bottom="1797" w:left="1440" w:header="709" w:footer="709" w:gutter="0"/>
          <w:cols w:space="708"/>
          <w:docGrid w:linePitch="360"/>
        </w:sectPr>
      </w:pPr>
    </w:p>
    <w:p w:rsidR="00B50B65" w:rsidRPr="00183F00" w:rsidRDefault="00B50B65" w:rsidP="00B50B65">
      <w:pPr>
        <w:tabs>
          <w:tab w:val="left" w:pos="2085"/>
        </w:tabs>
        <w:rPr>
          <w:lang w:val="fr-FR"/>
        </w:rPr>
      </w:pPr>
    </w:p>
    <w:p w:rsidR="00B50B65" w:rsidRPr="00183F00" w:rsidRDefault="00B50B65" w:rsidP="00E76599">
      <w:pPr>
        <w:jc w:val="both"/>
        <w:rPr>
          <w:b/>
          <w:bCs/>
          <w:lang w:val="fr-FR"/>
        </w:rPr>
      </w:pPr>
    </w:p>
    <w:p w:rsidR="00B50B65" w:rsidRPr="00183F00" w:rsidRDefault="00767F94" w:rsidP="00E76599">
      <w:pPr>
        <w:jc w:val="both"/>
        <w:rPr>
          <w:lang w:val="fr-FR"/>
        </w:rPr>
      </w:pPr>
      <w:r w:rsidRPr="00183F00">
        <w:rPr>
          <w:b/>
          <w:bCs/>
          <w:lang w:val="fr-FR"/>
        </w:rPr>
        <w:t>Autres activités du Comité technique au cours de la période intersession</w:t>
      </w:r>
      <w:r w:rsidR="00197B98" w:rsidRPr="00183F00">
        <w:rPr>
          <w:b/>
          <w:bCs/>
          <w:lang w:val="fr-FR"/>
        </w:rPr>
        <w:t>nelle</w:t>
      </w:r>
      <w:r w:rsidRPr="00183F00">
        <w:rPr>
          <w:b/>
          <w:bCs/>
          <w:lang w:val="fr-FR"/>
        </w:rPr>
        <w:t xml:space="preserve"> 2009-2012</w:t>
      </w:r>
    </w:p>
    <w:p w:rsidR="00B50B65" w:rsidRPr="00183F00" w:rsidRDefault="00B50B65" w:rsidP="00E76599">
      <w:pPr>
        <w:jc w:val="both"/>
        <w:rPr>
          <w:lang w:val="fr-FR"/>
        </w:rPr>
      </w:pPr>
    </w:p>
    <w:p w:rsidR="00B50B65" w:rsidRPr="00E054FF" w:rsidRDefault="00767F94" w:rsidP="00E76599">
      <w:pPr>
        <w:numPr>
          <w:ilvl w:val="0"/>
          <w:numId w:val="6"/>
        </w:numPr>
        <w:ind w:hanging="720"/>
        <w:jc w:val="both"/>
        <w:rPr>
          <w:sz w:val="22"/>
          <w:szCs w:val="22"/>
          <w:lang w:val="fr-FR"/>
        </w:rPr>
      </w:pPr>
      <w:r w:rsidRPr="00183F00">
        <w:rPr>
          <w:sz w:val="22"/>
          <w:szCs w:val="22"/>
          <w:lang w:val="fr-FR"/>
        </w:rPr>
        <w:t xml:space="preserve">Le </w:t>
      </w:r>
      <w:r w:rsidR="001348BF">
        <w:rPr>
          <w:sz w:val="22"/>
          <w:szCs w:val="22"/>
          <w:lang w:val="fr-FR"/>
        </w:rPr>
        <w:t>CT</w:t>
      </w:r>
      <w:r w:rsidRPr="00183F00">
        <w:rPr>
          <w:sz w:val="22"/>
          <w:szCs w:val="22"/>
          <w:lang w:val="fr-FR"/>
        </w:rPr>
        <w:t xml:space="preserve"> a examiné, commenté et approuvé</w:t>
      </w:r>
      <w:r w:rsidR="008A5661" w:rsidRPr="00183F00">
        <w:rPr>
          <w:sz w:val="22"/>
          <w:szCs w:val="22"/>
          <w:lang w:val="fr-FR"/>
        </w:rPr>
        <w:t xml:space="preserve"> des avant-projets de Plan d’action par espèce pour c</w:t>
      </w:r>
      <w:r w:rsidR="009B4ECF" w:rsidRPr="00183F00">
        <w:rPr>
          <w:sz w:val="22"/>
          <w:szCs w:val="22"/>
          <w:lang w:val="fr-FR"/>
        </w:rPr>
        <w:t>i</w:t>
      </w:r>
      <w:r w:rsidR="008A5661" w:rsidRPr="00183F00">
        <w:rPr>
          <w:sz w:val="22"/>
          <w:szCs w:val="22"/>
          <w:lang w:val="fr-FR"/>
        </w:rPr>
        <w:t>nq</w:t>
      </w:r>
      <w:r w:rsidRPr="00183F00">
        <w:rPr>
          <w:sz w:val="22"/>
          <w:szCs w:val="22"/>
          <w:lang w:val="fr-FR"/>
        </w:rPr>
        <w:t xml:space="preserve"> </w:t>
      </w:r>
      <w:r w:rsidR="008A5661" w:rsidRPr="00E054FF">
        <w:rPr>
          <w:sz w:val="22"/>
          <w:szCs w:val="22"/>
          <w:lang w:val="fr-FR"/>
        </w:rPr>
        <w:t>espèces/populations d’oiseaux d’eau</w:t>
      </w:r>
      <w:r w:rsidR="009B4ECF" w:rsidRPr="00E054FF">
        <w:rPr>
          <w:sz w:val="22"/>
          <w:szCs w:val="22"/>
          <w:lang w:val="fr-FR"/>
        </w:rPr>
        <w:t>, ainsi qu’</w:t>
      </w:r>
      <w:r w:rsidR="008A5661" w:rsidRPr="00E054FF">
        <w:rPr>
          <w:sz w:val="22"/>
          <w:szCs w:val="22"/>
          <w:lang w:val="fr-FR"/>
        </w:rPr>
        <w:t>un Plan international de gestion des espèces</w:t>
      </w:r>
      <w:r w:rsidRPr="00E054FF">
        <w:rPr>
          <w:sz w:val="22"/>
          <w:szCs w:val="22"/>
          <w:lang w:val="fr-FR"/>
        </w:rPr>
        <w:t xml:space="preserve"> (</w:t>
      </w:r>
      <w:r w:rsidR="008A5661" w:rsidRPr="00E054FF">
        <w:rPr>
          <w:sz w:val="22"/>
          <w:szCs w:val="22"/>
          <w:lang w:val="fr-FR"/>
        </w:rPr>
        <w:t>voir</w:t>
      </w:r>
      <w:r w:rsidRPr="00E054FF">
        <w:rPr>
          <w:sz w:val="22"/>
          <w:szCs w:val="22"/>
          <w:lang w:val="fr-FR"/>
        </w:rPr>
        <w:t xml:space="preserve"> documents AEWA/MOP 5.25 </w:t>
      </w:r>
      <w:r w:rsidR="008A5661" w:rsidRPr="00E054FF">
        <w:rPr>
          <w:sz w:val="22"/>
          <w:szCs w:val="22"/>
          <w:lang w:val="fr-FR"/>
        </w:rPr>
        <w:t>à</w:t>
      </w:r>
      <w:r w:rsidRPr="00E054FF">
        <w:rPr>
          <w:sz w:val="22"/>
          <w:szCs w:val="22"/>
          <w:lang w:val="fr-FR"/>
        </w:rPr>
        <w:t xml:space="preserve"> 5.30) </w:t>
      </w:r>
      <w:r w:rsidR="008A5661" w:rsidRPr="00E054FF">
        <w:rPr>
          <w:sz w:val="22"/>
          <w:szCs w:val="22"/>
          <w:lang w:val="fr-FR"/>
        </w:rPr>
        <w:t>pour soumission à la</w:t>
      </w:r>
      <w:r w:rsidRPr="00E054FF">
        <w:rPr>
          <w:sz w:val="22"/>
          <w:szCs w:val="22"/>
          <w:lang w:val="fr-FR"/>
        </w:rPr>
        <w:t xml:space="preserve"> MOP5.</w:t>
      </w:r>
    </w:p>
    <w:p w:rsidR="00B50B65" w:rsidRPr="00E054FF" w:rsidRDefault="00B50B65" w:rsidP="00E76599">
      <w:pPr>
        <w:jc w:val="both"/>
        <w:rPr>
          <w:color w:val="0000FF"/>
          <w:sz w:val="22"/>
          <w:szCs w:val="22"/>
          <w:lang w:val="fr-FR"/>
        </w:rPr>
      </w:pPr>
    </w:p>
    <w:p w:rsidR="004F781F" w:rsidRPr="00E054FF" w:rsidRDefault="00E00261" w:rsidP="00E76599">
      <w:pPr>
        <w:numPr>
          <w:ilvl w:val="0"/>
          <w:numId w:val="6"/>
        </w:numPr>
        <w:ind w:hanging="720"/>
        <w:jc w:val="both"/>
        <w:rPr>
          <w:sz w:val="22"/>
          <w:szCs w:val="22"/>
          <w:lang w:val="fr-FR"/>
        </w:rPr>
      </w:pPr>
      <w:r w:rsidRPr="00E054FF">
        <w:rPr>
          <w:sz w:val="22"/>
          <w:szCs w:val="22"/>
          <w:lang w:val="fr-FR"/>
        </w:rPr>
        <w:t xml:space="preserve">Le </w:t>
      </w:r>
      <w:r w:rsidR="001348BF" w:rsidRPr="00E054FF">
        <w:rPr>
          <w:sz w:val="22"/>
          <w:szCs w:val="22"/>
          <w:lang w:val="fr-FR"/>
        </w:rPr>
        <w:t>CT</w:t>
      </w:r>
      <w:r w:rsidRPr="00E054FF">
        <w:rPr>
          <w:sz w:val="22"/>
          <w:szCs w:val="22"/>
          <w:lang w:val="fr-FR"/>
        </w:rPr>
        <w:t xml:space="preserve"> a examiné, largement commenté et approuvé la 5</w:t>
      </w:r>
      <w:r w:rsidRPr="00E054FF">
        <w:rPr>
          <w:sz w:val="22"/>
          <w:szCs w:val="22"/>
          <w:vertAlign w:val="superscript"/>
          <w:lang w:val="fr-FR"/>
        </w:rPr>
        <w:t>ème</w:t>
      </w:r>
      <w:r w:rsidRPr="00E054FF">
        <w:rPr>
          <w:sz w:val="22"/>
          <w:szCs w:val="22"/>
          <w:lang w:val="fr-FR"/>
        </w:rPr>
        <w:t xml:space="preserve"> édition du Rapport sur l’état de conservation (document AEWA/MOP Doc. 5.14) et les amende</w:t>
      </w:r>
      <w:r w:rsidR="00E054FF">
        <w:rPr>
          <w:sz w:val="22"/>
          <w:szCs w:val="22"/>
          <w:lang w:val="fr-FR"/>
        </w:rPr>
        <w:t>ments proposés au T</w:t>
      </w:r>
      <w:r w:rsidRPr="00E054FF">
        <w:rPr>
          <w:sz w:val="22"/>
          <w:szCs w:val="22"/>
          <w:lang w:val="fr-FR"/>
        </w:rPr>
        <w:t xml:space="preserve">ableau 1 du Plan d’action de l’AEWA (document AEWA/MOP 5.20), soumis à la MOP5. Le </w:t>
      </w:r>
      <w:r w:rsidR="001348BF" w:rsidRPr="00E054FF">
        <w:rPr>
          <w:sz w:val="22"/>
          <w:szCs w:val="22"/>
          <w:lang w:val="fr-FR"/>
        </w:rPr>
        <w:t>CT</w:t>
      </w:r>
      <w:r w:rsidRPr="00E054FF">
        <w:rPr>
          <w:sz w:val="22"/>
          <w:szCs w:val="22"/>
          <w:lang w:val="fr-FR"/>
        </w:rPr>
        <w:t xml:space="preserve"> a également étroitement guidé le développement de la 1</w:t>
      </w:r>
      <w:r w:rsidRPr="00E054FF">
        <w:rPr>
          <w:sz w:val="22"/>
          <w:szCs w:val="22"/>
          <w:vertAlign w:val="superscript"/>
          <w:lang w:val="fr-FR"/>
        </w:rPr>
        <w:t>ère</w:t>
      </w:r>
      <w:r w:rsidRPr="00E054FF">
        <w:rPr>
          <w:sz w:val="22"/>
          <w:szCs w:val="22"/>
          <w:lang w:val="fr-FR"/>
        </w:rPr>
        <w:t xml:space="preserve"> édition du Rapport sur le réseau de sites (document AEWA/MOP 5.15)</w:t>
      </w:r>
      <w:r w:rsidR="00961D71" w:rsidRPr="00E054FF">
        <w:rPr>
          <w:sz w:val="22"/>
          <w:szCs w:val="22"/>
          <w:lang w:val="fr-FR"/>
        </w:rPr>
        <w:t>.</w:t>
      </w:r>
      <w:r w:rsidR="00EF4E9E" w:rsidRPr="00E054FF">
        <w:rPr>
          <w:sz w:val="22"/>
          <w:szCs w:val="22"/>
          <w:lang w:val="fr-FR"/>
        </w:rPr>
        <w:t xml:space="preserve"> D</w:t>
      </w:r>
      <w:r w:rsidR="006F2D9F" w:rsidRPr="00E054FF">
        <w:rPr>
          <w:sz w:val="22"/>
          <w:szCs w:val="22"/>
          <w:lang w:val="fr-FR"/>
        </w:rPr>
        <w:t>es progrès significatifs</w:t>
      </w:r>
      <w:r w:rsidR="00EF4E9E" w:rsidRPr="00E054FF">
        <w:rPr>
          <w:sz w:val="22"/>
          <w:szCs w:val="22"/>
          <w:lang w:val="fr-FR"/>
        </w:rPr>
        <w:t xml:space="preserve"> ont été </w:t>
      </w:r>
      <w:r w:rsidR="00E054FF" w:rsidRPr="00E054FF">
        <w:rPr>
          <w:sz w:val="22"/>
          <w:szCs w:val="22"/>
          <w:lang w:val="fr-FR"/>
        </w:rPr>
        <w:t>faits</w:t>
      </w:r>
      <w:r w:rsidR="00EF4E9E" w:rsidRPr="00E054FF">
        <w:rPr>
          <w:sz w:val="22"/>
          <w:szCs w:val="22"/>
          <w:lang w:val="fr-FR"/>
        </w:rPr>
        <w:t xml:space="preserve"> pour l’élaboration de ce document</w:t>
      </w:r>
      <w:r w:rsidR="006F2D9F" w:rsidRPr="00E054FF">
        <w:rPr>
          <w:sz w:val="22"/>
          <w:szCs w:val="22"/>
          <w:lang w:val="fr-FR"/>
        </w:rPr>
        <w:t xml:space="preserve">, mais </w:t>
      </w:r>
      <w:r w:rsidR="00F24A73" w:rsidRPr="00E054FF">
        <w:rPr>
          <w:sz w:val="22"/>
          <w:szCs w:val="22"/>
          <w:lang w:val="fr-FR"/>
        </w:rPr>
        <w:t xml:space="preserve">dû à </w:t>
      </w:r>
      <w:r w:rsidR="00EF4E9E" w:rsidRPr="00E054FF">
        <w:rPr>
          <w:sz w:val="22"/>
          <w:szCs w:val="22"/>
          <w:lang w:val="fr-FR"/>
        </w:rPr>
        <w:t xml:space="preserve">des contraintes temporelles et un feedback incomplet </w:t>
      </w:r>
      <w:r w:rsidR="00805C7E" w:rsidRPr="00E054FF">
        <w:rPr>
          <w:sz w:val="22"/>
          <w:szCs w:val="22"/>
          <w:lang w:val="fr-FR"/>
        </w:rPr>
        <w:t xml:space="preserve"> </w:t>
      </w:r>
      <w:r w:rsidR="00EF4E9E" w:rsidRPr="00E054FF">
        <w:rPr>
          <w:sz w:val="22"/>
          <w:szCs w:val="22"/>
          <w:lang w:val="fr-FR"/>
        </w:rPr>
        <w:t>des parties contractantes il n’a pas pu être finalisé pour soumission à la MOP5. Le Comité technique a décidé de continuer son travail sur ce document pendant la prochaine période triennale et de soumettre la version finale à la MOP6. Une version préliminaire du rapport ainsi que de ces conclusions et recommandations a été soumis à la MOP5 à titre d’information.</w:t>
      </w:r>
    </w:p>
    <w:p w:rsidR="004F781F" w:rsidRPr="00E054FF" w:rsidRDefault="004F781F" w:rsidP="00E76599">
      <w:pPr>
        <w:jc w:val="both"/>
        <w:rPr>
          <w:sz w:val="22"/>
          <w:szCs w:val="22"/>
          <w:lang w:val="fr-FR"/>
        </w:rPr>
      </w:pPr>
    </w:p>
    <w:p w:rsidR="00B50B65" w:rsidRPr="00E054FF" w:rsidRDefault="00961D71" w:rsidP="00E76599">
      <w:pPr>
        <w:numPr>
          <w:ilvl w:val="0"/>
          <w:numId w:val="6"/>
        </w:numPr>
        <w:ind w:hanging="720"/>
        <w:jc w:val="both"/>
        <w:rPr>
          <w:sz w:val="22"/>
          <w:szCs w:val="22"/>
          <w:lang w:val="fr-FR"/>
        </w:rPr>
      </w:pPr>
      <w:r w:rsidRPr="00E054FF">
        <w:rPr>
          <w:sz w:val="22"/>
          <w:szCs w:val="22"/>
          <w:lang w:val="fr-FR"/>
        </w:rPr>
        <w:t xml:space="preserve">Le </w:t>
      </w:r>
      <w:r w:rsidR="001348BF" w:rsidRPr="00E054FF">
        <w:rPr>
          <w:sz w:val="22"/>
          <w:szCs w:val="22"/>
          <w:lang w:val="fr-FR"/>
        </w:rPr>
        <w:t>CT</w:t>
      </w:r>
      <w:r w:rsidRPr="00E054FF">
        <w:rPr>
          <w:sz w:val="22"/>
          <w:szCs w:val="22"/>
          <w:lang w:val="fr-FR"/>
        </w:rPr>
        <w:t xml:space="preserve"> a </w:t>
      </w:r>
      <w:r w:rsidR="00EF4E9E" w:rsidRPr="00E054FF">
        <w:rPr>
          <w:sz w:val="22"/>
          <w:szCs w:val="22"/>
          <w:lang w:val="fr-FR"/>
        </w:rPr>
        <w:t xml:space="preserve">étroitement participé </w:t>
      </w:r>
      <w:r w:rsidR="00F301B8" w:rsidRPr="00E054FF">
        <w:rPr>
          <w:sz w:val="22"/>
          <w:szCs w:val="22"/>
          <w:lang w:val="fr-FR"/>
        </w:rPr>
        <w:t xml:space="preserve">au développement du Plan d’action pour l’Afrique 2012-2017 </w:t>
      </w:r>
      <w:r w:rsidRPr="00E054FF">
        <w:rPr>
          <w:sz w:val="22"/>
          <w:szCs w:val="22"/>
          <w:lang w:val="fr-FR"/>
        </w:rPr>
        <w:t>qui sert de guide dans la mise en œuvre du Plan stratégique de l’AEWA 2009-2017 dans la région d’Afrique</w:t>
      </w:r>
      <w:r w:rsidR="00F301B8" w:rsidRPr="00E054FF">
        <w:rPr>
          <w:sz w:val="22"/>
          <w:szCs w:val="22"/>
          <w:lang w:val="fr-FR"/>
        </w:rPr>
        <w:t xml:space="preserve">. Le CT a examiné l’avant-projet </w:t>
      </w:r>
      <w:r w:rsidRPr="00E054FF">
        <w:rPr>
          <w:sz w:val="22"/>
          <w:szCs w:val="22"/>
          <w:lang w:val="fr-FR"/>
        </w:rPr>
        <w:t xml:space="preserve"> et a élaboré deux questionnaires pour obtenir un feedback direct des correspondants locaux africains de l’AEWA, des donateurs potentiels et autres parties prenantes.</w:t>
      </w:r>
    </w:p>
    <w:p w:rsidR="00E86994" w:rsidRPr="00E054FF" w:rsidRDefault="00E86994" w:rsidP="00E76599">
      <w:pPr>
        <w:jc w:val="both"/>
        <w:rPr>
          <w:color w:val="0000FF"/>
          <w:sz w:val="22"/>
          <w:szCs w:val="22"/>
          <w:lang w:val="fr-FR"/>
        </w:rPr>
      </w:pPr>
    </w:p>
    <w:p w:rsidR="00E86994" w:rsidRPr="00E054FF" w:rsidRDefault="00961D71" w:rsidP="00E76599">
      <w:pPr>
        <w:numPr>
          <w:ilvl w:val="0"/>
          <w:numId w:val="6"/>
        </w:numPr>
        <w:ind w:hanging="720"/>
        <w:jc w:val="both"/>
        <w:rPr>
          <w:sz w:val="22"/>
          <w:szCs w:val="22"/>
          <w:lang w:val="fr-FR"/>
        </w:rPr>
      </w:pPr>
      <w:r w:rsidRPr="00E054FF">
        <w:rPr>
          <w:sz w:val="22"/>
          <w:szCs w:val="22"/>
          <w:lang w:val="fr-FR"/>
        </w:rPr>
        <w:t xml:space="preserve">Plusieurs membres du </w:t>
      </w:r>
      <w:r w:rsidR="001348BF" w:rsidRPr="00E054FF">
        <w:rPr>
          <w:sz w:val="22"/>
          <w:szCs w:val="22"/>
          <w:lang w:val="fr-FR"/>
        </w:rPr>
        <w:t>CT</w:t>
      </w:r>
      <w:r w:rsidRPr="00E054FF">
        <w:rPr>
          <w:sz w:val="22"/>
          <w:szCs w:val="22"/>
          <w:lang w:val="fr-FR"/>
        </w:rPr>
        <w:t xml:space="preserve"> ont testé une dernière version du Système de Rapport en ligne de la famille de la CMS, qui a été utilisé pour la remise des rapports nationaux à la MOP5. Le </w:t>
      </w:r>
      <w:r w:rsidR="001348BF" w:rsidRPr="00E054FF">
        <w:rPr>
          <w:sz w:val="22"/>
          <w:szCs w:val="22"/>
          <w:lang w:val="fr-FR"/>
        </w:rPr>
        <w:t>CT</w:t>
      </w:r>
      <w:r w:rsidRPr="00E054FF">
        <w:rPr>
          <w:sz w:val="22"/>
          <w:szCs w:val="22"/>
          <w:lang w:val="fr-FR"/>
        </w:rPr>
        <w:t xml:space="preserve"> a commenté la proposition d’amendements du format de rapport national, préparé par le </w:t>
      </w:r>
      <w:r w:rsidR="0089226A" w:rsidRPr="00E054FF">
        <w:rPr>
          <w:sz w:val="22"/>
          <w:szCs w:val="22"/>
          <w:lang w:val="fr-FR"/>
        </w:rPr>
        <w:t>Secrétariat</w:t>
      </w:r>
      <w:r w:rsidRPr="00E054FF">
        <w:rPr>
          <w:sz w:val="22"/>
          <w:szCs w:val="22"/>
          <w:lang w:val="fr-FR"/>
        </w:rPr>
        <w:t xml:space="preserve">, avant qu’il soit soumis </w:t>
      </w:r>
      <w:r w:rsidR="00C0707E" w:rsidRPr="00E054FF">
        <w:rPr>
          <w:sz w:val="22"/>
          <w:szCs w:val="22"/>
          <w:lang w:val="fr-FR"/>
        </w:rPr>
        <w:t>par le</w:t>
      </w:r>
      <w:r w:rsidRPr="00E054FF">
        <w:rPr>
          <w:sz w:val="22"/>
          <w:szCs w:val="22"/>
          <w:lang w:val="fr-FR"/>
        </w:rPr>
        <w:t xml:space="preserve"> Comité permanent pour approbation.</w:t>
      </w:r>
      <w:r w:rsidR="005C15CB" w:rsidRPr="00E054FF">
        <w:rPr>
          <w:sz w:val="22"/>
          <w:szCs w:val="22"/>
          <w:lang w:val="fr-FR"/>
        </w:rPr>
        <w:t xml:space="preserve"> </w:t>
      </w:r>
      <w:r w:rsidR="00C0707E" w:rsidRPr="00E054FF">
        <w:rPr>
          <w:sz w:val="22"/>
          <w:szCs w:val="22"/>
          <w:lang w:val="fr-FR"/>
        </w:rPr>
        <w:t xml:space="preserve">Plusieurs membres du </w:t>
      </w:r>
      <w:r w:rsidR="001348BF" w:rsidRPr="00E054FF">
        <w:rPr>
          <w:sz w:val="22"/>
          <w:szCs w:val="22"/>
          <w:lang w:val="fr-FR"/>
        </w:rPr>
        <w:t>CT</w:t>
      </w:r>
      <w:r w:rsidR="00C0707E" w:rsidRPr="00E054FF">
        <w:rPr>
          <w:sz w:val="22"/>
          <w:szCs w:val="22"/>
          <w:lang w:val="fr-FR"/>
        </w:rPr>
        <w:t xml:space="preserve"> et observateurs ont travaillé avec le </w:t>
      </w:r>
      <w:r w:rsidR="0089226A" w:rsidRPr="00E054FF">
        <w:rPr>
          <w:sz w:val="22"/>
          <w:szCs w:val="22"/>
          <w:lang w:val="fr-FR"/>
        </w:rPr>
        <w:t>Secrétariat</w:t>
      </w:r>
      <w:r w:rsidR="00C0707E" w:rsidRPr="00E054FF">
        <w:rPr>
          <w:sz w:val="22"/>
          <w:szCs w:val="22"/>
          <w:lang w:val="fr-FR"/>
        </w:rPr>
        <w:t xml:space="preserve"> pour concevoir l’analyse des informations soumises à travers les rapports nationaux.</w:t>
      </w:r>
      <w:r w:rsidR="00D73A05" w:rsidRPr="00E054FF">
        <w:rPr>
          <w:sz w:val="22"/>
          <w:szCs w:val="22"/>
          <w:lang w:val="fr-FR"/>
        </w:rPr>
        <w:t xml:space="preserve"> </w:t>
      </w:r>
      <w:r w:rsidR="00C0707E" w:rsidRPr="00E054FF">
        <w:rPr>
          <w:sz w:val="22"/>
          <w:szCs w:val="22"/>
          <w:lang w:val="fr-FR"/>
        </w:rPr>
        <w:t xml:space="preserve">Ceci a servi de base à la production du document AEWA/MOP 5.12 </w:t>
      </w:r>
      <w:r w:rsidR="00F301B8" w:rsidRPr="00E054FF">
        <w:rPr>
          <w:i/>
          <w:sz w:val="22"/>
          <w:szCs w:val="22"/>
          <w:lang w:val="fr-FR"/>
        </w:rPr>
        <w:t>Analyse des rapport nationaux</w:t>
      </w:r>
      <w:r w:rsidR="00F301B8" w:rsidRPr="00E054FF">
        <w:rPr>
          <w:sz w:val="22"/>
          <w:szCs w:val="22"/>
          <w:lang w:val="fr-FR"/>
        </w:rPr>
        <w:t xml:space="preserve"> </w:t>
      </w:r>
      <w:r w:rsidR="00F301B8" w:rsidRPr="00E054FF">
        <w:rPr>
          <w:i/>
          <w:sz w:val="22"/>
          <w:szCs w:val="22"/>
          <w:lang w:val="fr-FR"/>
        </w:rPr>
        <w:t>pour la période triennale 2009-2011</w:t>
      </w:r>
      <w:r w:rsidR="00C0707E" w:rsidRPr="00E054FF">
        <w:rPr>
          <w:sz w:val="22"/>
          <w:szCs w:val="22"/>
          <w:lang w:val="fr-FR"/>
        </w:rPr>
        <w:t xml:space="preserve">, </w:t>
      </w:r>
      <w:r w:rsidR="00FD75CA" w:rsidRPr="00E054FF">
        <w:rPr>
          <w:sz w:val="22"/>
          <w:szCs w:val="22"/>
          <w:lang w:val="fr-FR"/>
        </w:rPr>
        <w:t>qui a également été commenté par le</w:t>
      </w:r>
      <w:r w:rsidR="00C0707E" w:rsidRPr="00E054FF">
        <w:rPr>
          <w:sz w:val="22"/>
          <w:szCs w:val="22"/>
          <w:lang w:val="fr-FR"/>
        </w:rPr>
        <w:t xml:space="preserve"> </w:t>
      </w:r>
      <w:r w:rsidR="001348BF" w:rsidRPr="00E054FF">
        <w:rPr>
          <w:sz w:val="22"/>
          <w:szCs w:val="22"/>
          <w:lang w:val="fr-FR"/>
        </w:rPr>
        <w:t>CT</w:t>
      </w:r>
      <w:r w:rsidR="00C0707E" w:rsidRPr="00E054FF">
        <w:rPr>
          <w:sz w:val="22"/>
          <w:szCs w:val="22"/>
          <w:lang w:val="fr-FR"/>
        </w:rPr>
        <w:t>.</w:t>
      </w:r>
    </w:p>
    <w:p w:rsidR="00B50B65" w:rsidRPr="00E054FF" w:rsidRDefault="00B50B65" w:rsidP="00E76599">
      <w:pPr>
        <w:jc w:val="both"/>
        <w:rPr>
          <w:sz w:val="22"/>
          <w:szCs w:val="22"/>
          <w:lang w:val="fr-FR"/>
        </w:rPr>
      </w:pPr>
    </w:p>
    <w:p w:rsidR="004470E2" w:rsidRPr="00183F00" w:rsidRDefault="00FD75CA" w:rsidP="00E76599">
      <w:pPr>
        <w:numPr>
          <w:ilvl w:val="0"/>
          <w:numId w:val="6"/>
        </w:numPr>
        <w:ind w:hanging="720"/>
        <w:jc w:val="both"/>
        <w:rPr>
          <w:sz w:val="22"/>
          <w:szCs w:val="22"/>
          <w:lang w:val="fr-FR"/>
        </w:rPr>
      </w:pPr>
      <w:r w:rsidRPr="00E054FF">
        <w:rPr>
          <w:sz w:val="22"/>
          <w:szCs w:val="22"/>
          <w:lang w:val="fr-FR"/>
        </w:rPr>
        <w:t xml:space="preserve">Le </w:t>
      </w:r>
      <w:r w:rsidR="001348BF" w:rsidRPr="00E054FF">
        <w:rPr>
          <w:sz w:val="22"/>
          <w:szCs w:val="22"/>
          <w:lang w:val="fr-FR"/>
        </w:rPr>
        <w:t>CT</w:t>
      </w:r>
      <w:r w:rsidRPr="00E054FF">
        <w:rPr>
          <w:sz w:val="22"/>
          <w:szCs w:val="22"/>
          <w:lang w:val="fr-FR"/>
        </w:rPr>
        <w:t xml:space="preserve"> a examiné trois cas d’IRP éventuels entre les sessions</w:t>
      </w:r>
      <w:r w:rsidRPr="00183F00">
        <w:rPr>
          <w:sz w:val="22"/>
          <w:szCs w:val="22"/>
          <w:lang w:val="fr-FR"/>
        </w:rPr>
        <w:t xml:space="preserve"> et a fourni ses conseils au Comité permanent par le biais du Secrétariat.</w:t>
      </w:r>
    </w:p>
    <w:p w:rsidR="004470E2" w:rsidRPr="00183F00" w:rsidRDefault="004470E2" w:rsidP="00E76599">
      <w:pPr>
        <w:jc w:val="both"/>
        <w:rPr>
          <w:sz w:val="22"/>
          <w:szCs w:val="22"/>
          <w:lang w:val="fr-FR"/>
        </w:rPr>
      </w:pPr>
    </w:p>
    <w:p w:rsidR="00B50B65" w:rsidRPr="00183F00" w:rsidRDefault="00FD75CA" w:rsidP="00E76599">
      <w:pPr>
        <w:numPr>
          <w:ilvl w:val="0"/>
          <w:numId w:val="6"/>
        </w:numPr>
        <w:ind w:hanging="720"/>
        <w:jc w:val="both"/>
        <w:rPr>
          <w:sz w:val="22"/>
          <w:szCs w:val="22"/>
          <w:lang w:val="fr-FR"/>
        </w:rPr>
      </w:pPr>
      <w:r w:rsidRPr="00183F00">
        <w:rPr>
          <w:sz w:val="22"/>
          <w:szCs w:val="22"/>
          <w:lang w:val="fr-FR"/>
        </w:rPr>
        <w:t xml:space="preserve">Le </w:t>
      </w:r>
      <w:r w:rsidR="001348BF">
        <w:rPr>
          <w:sz w:val="22"/>
          <w:szCs w:val="22"/>
          <w:lang w:val="fr-FR"/>
        </w:rPr>
        <w:t>CT</w:t>
      </w:r>
      <w:r w:rsidRPr="00183F00">
        <w:rPr>
          <w:sz w:val="22"/>
          <w:szCs w:val="22"/>
          <w:lang w:val="fr-FR"/>
        </w:rPr>
        <w:t xml:space="preserve"> a examiné entre les sessions les propositions de projets soumises au Fonds de petites subventions et a apporté ses conseils sur leur financement au Comité permanent par le biais du Secrétariat.</w:t>
      </w:r>
      <w:r w:rsidR="00B50B65" w:rsidRPr="00183F00">
        <w:rPr>
          <w:sz w:val="22"/>
          <w:szCs w:val="22"/>
          <w:lang w:val="fr-FR"/>
        </w:rPr>
        <w:t xml:space="preserve"> </w:t>
      </w:r>
    </w:p>
    <w:p w:rsidR="00B50B65" w:rsidRPr="00183F00" w:rsidRDefault="00B50B65" w:rsidP="00E76599">
      <w:pPr>
        <w:jc w:val="both"/>
        <w:rPr>
          <w:sz w:val="22"/>
          <w:szCs w:val="22"/>
          <w:lang w:val="fr-FR"/>
        </w:rPr>
      </w:pPr>
    </w:p>
    <w:p w:rsidR="00B50B65" w:rsidRPr="00E054FF" w:rsidRDefault="00C20883" w:rsidP="00E054FF">
      <w:pPr>
        <w:numPr>
          <w:ilvl w:val="0"/>
          <w:numId w:val="6"/>
        </w:numPr>
        <w:ind w:hanging="720"/>
        <w:jc w:val="both"/>
        <w:rPr>
          <w:sz w:val="22"/>
          <w:szCs w:val="22"/>
          <w:lang w:val="fr-FR"/>
        </w:rPr>
      </w:pPr>
      <w:r w:rsidRPr="00183F00">
        <w:rPr>
          <w:sz w:val="22"/>
          <w:szCs w:val="22"/>
          <w:lang w:val="fr-FR"/>
        </w:rPr>
        <w:t>Le président du Comité technique a participé activement aux 6</w:t>
      </w:r>
      <w:r w:rsidRPr="00183F00">
        <w:rPr>
          <w:sz w:val="22"/>
          <w:szCs w:val="22"/>
          <w:vertAlign w:val="superscript"/>
          <w:lang w:val="fr-FR"/>
        </w:rPr>
        <w:t xml:space="preserve">ème </w:t>
      </w:r>
      <w:r w:rsidRPr="00183F00">
        <w:rPr>
          <w:sz w:val="22"/>
          <w:szCs w:val="22"/>
          <w:lang w:val="fr-FR"/>
        </w:rPr>
        <w:t>et 7</w:t>
      </w:r>
      <w:r w:rsidRPr="00183F00">
        <w:rPr>
          <w:sz w:val="22"/>
          <w:szCs w:val="22"/>
          <w:vertAlign w:val="superscript"/>
          <w:lang w:val="fr-FR"/>
        </w:rPr>
        <w:t>ème</w:t>
      </w:r>
      <w:r w:rsidRPr="00183F00">
        <w:rPr>
          <w:sz w:val="22"/>
          <w:szCs w:val="22"/>
          <w:lang w:val="fr-FR"/>
        </w:rPr>
        <w:t xml:space="preserve"> réunions</w:t>
      </w:r>
      <w:r w:rsidR="00E054FF">
        <w:rPr>
          <w:sz w:val="22"/>
          <w:szCs w:val="22"/>
          <w:lang w:val="fr-FR"/>
        </w:rPr>
        <w:t xml:space="preserve"> </w:t>
      </w:r>
      <w:r w:rsidRPr="00E054FF">
        <w:rPr>
          <w:sz w:val="22"/>
          <w:szCs w:val="22"/>
          <w:lang w:val="fr-FR"/>
        </w:rPr>
        <w:t>du Comité permanent de l’AEWA, qui se sont tenues les 16 et 17 juin 2010 à La Haye, Pays-Bas et les 26 et 27 novembre 2011 à Bergen, Norvège.</w:t>
      </w:r>
    </w:p>
    <w:p w:rsidR="00B50B65" w:rsidRPr="00183F00" w:rsidRDefault="00B50B65" w:rsidP="00E76599">
      <w:pPr>
        <w:jc w:val="both"/>
        <w:rPr>
          <w:sz w:val="22"/>
          <w:szCs w:val="22"/>
          <w:lang w:val="fr-FR"/>
        </w:rPr>
      </w:pPr>
    </w:p>
    <w:p w:rsidR="004470E2" w:rsidRPr="00183F00" w:rsidRDefault="00B50B65" w:rsidP="00E76599">
      <w:pPr>
        <w:autoSpaceDE w:val="0"/>
        <w:autoSpaceDN w:val="0"/>
        <w:adjustRightInd w:val="0"/>
        <w:ind w:left="720" w:hanging="720"/>
        <w:jc w:val="both"/>
        <w:rPr>
          <w:sz w:val="22"/>
          <w:szCs w:val="22"/>
          <w:lang w:val="fr-FR"/>
        </w:rPr>
      </w:pPr>
      <w:r w:rsidRPr="00183F00">
        <w:rPr>
          <w:sz w:val="22"/>
          <w:szCs w:val="22"/>
          <w:lang w:val="fr-FR"/>
        </w:rPr>
        <w:t>9.</w:t>
      </w:r>
      <w:r w:rsidRPr="00183F00">
        <w:rPr>
          <w:sz w:val="22"/>
          <w:szCs w:val="22"/>
          <w:lang w:val="fr-FR"/>
        </w:rPr>
        <w:tab/>
      </w:r>
      <w:r w:rsidR="00C20883" w:rsidRPr="00183F00">
        <w:rPr>
          <w:sz w:val="22"/>
          <w:szCs w:val="22"/>
          <w:lang w:val="fr-FR"/>
        </w:rPr>
        <w:t xml:space="preserve">Le président du </w:t>
      </w:r>
      <w:r w:rsidR="001348BF">
        <w:rPr>
          <w:sz w:val="22"/>
          <w:szCs w:val="22"/>
          <w:lang w:val="fr-FR"/>
        </w:rPr>
        <w:t>CT</w:t>
      </w:r>
      <w:r w:rsidR="00C20883" w:rsidRPr="00183F00">
        <w:rPr>
          <w:sz w:val="22"/>
          <w:szCs w:val="22"/>
          <w:lang w:val="fr-FR"/>
        </w:rPr>
        <w:t xml:space="preserve"> a participé au  Symposium de célébration de 15</w:t>
      </w:r>
      <w:r w:rsidR="00C20883" w:rsidRPr="00183F00">
        <w:rPr>
          <w:sz w:val="22"/>
          <w:szCs w:val="22"/>
          <w:vertAlign w:val="superscript"/>
          <w:lang w:val="fr-FR"/>
        </w:rPr>
        <w:t>ème</w:t>
      </w:r>
      <w:r w:rsidR="00C20883" w:rsidRPr="00183F00">
        <w:rPr>
          <w:sz w:val="22"/>
          <w:szCs w:val="22"/>
          <w:lang w:val="fr-FR"/>
        </w:rPr>
        <w:t xml:space="preserve"> anniversaire de l’AEWA sous le slogan </w:t>
      </w:r>
      <w:r w:rsidR="00321C49" w:rsidRPr="00183F00">
        <w:rPr>
          <w:sz w:val="22"/>
          <w:szCs w:val="22"/>
          <w:lang w:val="fr-FR"/>
        </w:rPr>
        <w:t>« </w:t>
      </w:r>
      <w:r w:rsidR="00321C49" w:rsidRPr="00183F00">
        <w:rPr>
          <w:i/>
          <w:sz w:val="22"/>
          <w:szCs w:val="22"/>
          <w:lang w:val="fr-FR"/>
        </w:rPr>
        <w:t>La conservation par la voie de migration à l’œuvre</w:t>
      </w:r>
      <w:r w:rsidR="00321C49" w:rsidRPr="00183F00">
        <w:rPr>
          <w:sz w:val="22"/>
          <w:szCs w:val="22"/>
          <w:lang w:val="fr-FR"/>
        </w:rPr>
        <w:t> »</w:t>
      </w:r>
      <w:r w:rsidR="00C20883" w:rsidRPr="00183F00">
        <w:rPr>
          <w:sz w:val="22"/>
          <w:szCs w:val="22"/>
          <w:lang w:val="fr-FR"/>
        </w:rPr>
        <w:t xml:space="preserve"> </w:t>
      </w:r>
      <w:r w:rsidR="00321C49" w:rsidRPr="00183F00">
        <w:rPr>
          <w:sz w:val="22"/>
          <w:szCs w:val="22"/>
          <w:lang w:val="fr-FR"/>
        </w:rPr>
        <w:t>qui a eu lieu les</w:t>
      </w:r>
      <w:r w:rsidR="00C20883" w:rsidRPr="00183F00">
        <w:rPr>
          <w:sz w:val="22"/>
          <w:szCs w:val="22"/>
          <w:lang w:val="fr-FR"/>
        </w:rPr>
        <w:t xml:space="preserve"> 14</w:t>
      </w:r>
      <w:r w:rsidR="00321C49" w:rsidRPr="00183F00">
        <w:rPr>
          <w:sz w:val="22"/>
          <w:szCs w:val="22"/>
          <w:lang w:val="fr-FR"/>
        </w:rPr>
        <w:t xml:space="preserve"> et </w:t>
      </w:r>
      <w:r w:rsidR="00C20883" w:rsidRPr="00183F00">
        <w:rPr>
          <w:sz w:val="22"/>
          <w:szCs w:val="22"/>
          <w:lang w:val="fr-FR"/>
        </w:rPr>
        <w:t xml:space="preserve">15 </w:t>
      </w:r>
      <w:r w:rsidR="00321C49" w:rsidRPr="00183F00">
        <w:rPr>
          <w:sz w:val="22"/>
          <w:szCs w:val="22"/>
          <w:lang w:val="fr-FR"/>
        </w:rPr>
        <w:t>juin</w:t>
      </w:r>
      <w:r w:rsidR="00C20883" w:rsidRPr="00183F00">
        <w:rPr>
          <w:sz w:val="22"/>
          <w:szCs w:val="22"/>
          <w:lang w:val="fr-FR"/>
        </w:rPr>
        <w:t xml:space="preserve"> 2010 </w:t>
      </w:r>
      <w:r w:rsidR="00321C49" w:rsidRPr="00183F00">
        <w:rPr>
          <w:sz w:val="22"/>
          <w:szCs w:val="22"/>
          <w:lang w:val="fr-FR"/>
        </w:rPr>
        <w:t>à La</w:t>
      </w:r>
      <w:r w:rsidR="00C20883" w:rsidRPr="00183F00">
        <w:rPr>
          <w:sz w:val="22"/>
          <w:szCs w:val="22"/>
          <w:lang w:val="fr-FR"/>
        </w:rPr>
        <w:t xml:space="preserve"> Ha</w:t>
      </w:r>
      <w:r w:rsidR="00321C49" w:rsidRPr="00183F00">
        <w:rPr>
          <w:sz w:val="22"/>
          <w:szCs w:val="22"/>
          <w:lang w:val="fr-FR"/>
        </w:rPr>
        <w:t>ye, Pays-Bas</w:t>
      </w:r>
      <w:r w:rsidR="00C20883" w:rsidRPr="00183F00">
        <w:rPr>
          <w:sz w:val="22"/>
          <w:szCs w:val="22"/>
          <w:lang w:val="fr-FR"/>
        </w:rPr>
        <w:t>.</w:t>
      </w:r>
    </w:p>
    <w:p w:rsidR="004470E2" w:rsidRPr="00183F00" w:rsidRDefault="004470E2" w:rsidP="00E76599">
      <w:pPr>
        <w:autoSpaceDE w:val="0"/>
        <w:autoSpaceDN w:val="0"/>
        <w:adjustRightInd w:val="0"/>
        <w:ind w:left="720" w:hanging="720"/>
        <w:jc w:val="both"/>
        <w:rPr>
          <w:sz w:val="22"/>
          <w:szCs w:val="22"/>
          <w:lang w:val="fr-FR"/>
        </w:rPr>
      </w:pPr>
    </w:p>
    <w:p w:rsidR="00B50B65" w:rsidRPr="00183F00" w:rsidRDefault="004470E2" w:rsidP="00E76599">
      <w:pPr>
        <w:autoSpaceDE w:val="0"/>
        <w:autoSpaceDN w:val="0"/>
        <w:adjustRightInd w:val="0"/>
        <w:ind w:left="720" w:hanging="720"/>
        <w:jc w:val="both"/>
        <w:rPr>
          <w:sz w:val="22"/>
          <w:szCs w:val="22"/>
          <w:lang w:val="fr-FR"/>
        </w:rPr>
      </w:pPr>
      <w:r w:rsidRPr="00183F00">
        <w:rPr>
          <w:sz w:val="22"/>
          <w:szCs w:val="22"/>
          <w:lang w:val="fr-FR"/>
        </w:rPr>
        <w:t>10.</w:t>
      </w:r>
      <w:r w:rsidRPr="00183F00">
        <w:rPr>
          <w:sz w:val="22"/>
          <w:szCs w:val="22"/>
          <w:lang w:val="fr-FR"/>
        </w:rPr>
        <w:tab/>
      </w:r>
      <w:r w:rsidR="00321C49" w:rsidRPr="00183F00">
        <w:rPr>
          <w:sz w:val="22"/>
          <w:szCs w:val="22"/>
          <w:lang w:val="fr-FR"/>
        </w:rPr>
        <w:t xml:space="preserve">Le président du Comité technique a participé activement </w:t>
      </w:r>
      <w:r w:rsidR="005367C1" w:rsidRPr="00183F00">
        <w:rPr>
          <w:sz w:val="22"/>
          <w:szCs w:val="22"/>
          <w:lang w:val="fr-FR"/>
        </w:rPr>
        <w:t>au groupe de travail intersession</w:t>
      </w:r>
      <w:r w:rsidR="00197B98" w:rsidRPr="00183F00">
        <w:rPr>
          <w:sz w:val="22"/>
          <w:szCs w:val="22"/>
          <w:lang w:val="fr-FR"/>
        </w:rPr>
        <w:t>nel</w:t>
      </w:r>
      <w:r w:rsidR="005367C1" w:rsidRPr="00183F00">
        <w:rPr>
          <w:sz w:val="22"/>
          <w:szCs w:val="22"/>
          <w:lang w:val="fr-FR"/>
        </w:rPr>
        <w:t xml:space="preserve"> sur les voies de migration du Conseil scientifique de la </w:t>
      </w:r>
      <w:r w:rsidR="00321C49" w:rsidRPr="00183F00">
        <w:rPr>
          <w:sz w:val="22"/>
          <w:szCs w:val="22"/>
          <w:lang w:val="fr-FR"/>
        </w:rPr>
        <w:t xml:space="preserve">CMS </w:t>
      </w:r>
      <w:r w:rsidR="005367C1" w:rsidRPr="00183F00">
        <w:rPr>
          <w:sz w:val="22"/>
          <w:szCs w:val="22"/>
          <w:lang w:val="fr-FR"/>
        </w:rPr>
        <w:t xml:space="preserve">et a assisté à sa première réunion, qui s’est tenue les </w:t>
      </w:r>
      <w:r w:rsidR="00321C49" w:rsidRPr="00183F00">
        <w:rPr>
          <w:sz w:val="22"/>
          <w:szCs w:val="22"/>
          <w:lang w:val="fr-FR"/>
        </w:rPr>
        <w:t>20</w:t>
      </w:r>
      <w:r w:rsidR="005367C1" w:rsidRPr="00183F00">
        <w:rPr>
          <w:sz w:val="22"/>
          <w:szCs w:val="22"/>
          <w:lang w:val="fr-FR"/>
        </w:rPr>
        <w:t xml:space="preserve"> et </w:t>
      </w:r>
      <w:r w:rsidR="00321C49" w:rsidRPr="00183F00">
        <w:rPr>
          <w:sz w:val="22"/>
          <w:szCs w:val="22"/>
          <w:lang w:val="fr-FR"/>
        </w:rPr>
        <w:t xml:space="preserve">21 </w:t>
      </w:r>
      <w:r w:rsidR="005367C1" w:rsidRPr="00183F00">
        <w:rPr>
          <w:sz w:val="22"/>
          <w:szCs w:val="22"/>
          <w:lang w:val="fr-FR"/>
        </w:rPr>
        <w:t>février</w:t>
      </w:r>
      <w:r w:rsidR="00321C49" w:rsidRPr="00183F00">
        <w:rPr>
          <w:sz w:val="22"/>
          <w:szCs w:val="22"/>
          <w:lang w:val="fr-FR"/>
        </w:rPr>
        <w:t xml:space="preserve"> 2011 </w:t>
      </w:r>
      <w:r w:rsidR="005367C1" w:rsidRPr="00183F00">
        <w:rPr>
          <w:sz w:val="22"/>
          <w:szCs w:val="22"/>
          <w:lang w:val="fr-FR"/>
        </w:rPr>
        <w:t>à</w:t>
      </w:r>
      <w:r w:rsidR="00321C49" w:rsidRPr="00183F00">
        <w:rPr>
          <w:sz w:val="22"/>
          <w:szCs w:val="22"/>
          <w:lang w:val="fr-FR"/>
        </w:rPr>
        <w:t xml:space="preserve"> </w:t>
      </w:r>
      <w:r w:rsidR="0089226A" w:rsidRPr="00183F00">
        <w:rPr>
          <w:sz w:val="22"/>
          <w:szCs w:val="22"/>
          <w:lang w:val="fr-FR"/>
        </w:rPr>
        <w:t>Édinbourg</w:t>
      </w:r>
      <w:r w:rsidR="00321C49" w:rsidRPr="00183F00">
        <w:rPr>
          <w:sz w:val="22"/>
          <w:szCs w:val="22"/>
          <w:lang w:val="fr-FR"/>
        </w:rPr>
        <w:t xml:space="preserve">, </w:t>
      </w:r>
      <w:r w:rsidR="005367C1" w:rsidRPr="00183F00">
        <w:rPr>
          <w:sz w:val="22"/>
          <w:szCs w:val="22"/>
          <w:lang w:val="fr-FR"/>
        </w:rPr>
        <w:t>Écosse</w:t>
      </w:r>
      <w:r w:rsidR="00321C49" w:rsidRPr="00183F00">
        <w:rPr>
          <w:sz w:val="22"/>
          <w:szCs w:val="22"/>
          <w:lang w:val="fr-FR"/>
        </w:rPr>
        <w:t>.</w:t>
      </w:r>
      <w:r w:rsidRPr="00183F00">
        <w:rPr>
          <w:sz w:val="22"/>
          <w:szCs w:val="22"/>
          <w:lang w:val="fr-FR"/>
        </w:rPr>
        <w:t xml:space="preserve">  </w:t>
      </w:r>
    </w:p>
    <w:p w:rsidR="00B50B65" w:rsidRPr="00183F00" w:rsidRDefault="00B50B65" w:rsidP="00672F43">
      <w:pPr>
        <w:ind w:hanging="720"/>
        <w:jc w:val="both"/>
        <w:rPr>
          <w:sz w:val="22"/>
          <w:szCs w:val="22"/>
          <w:lang w:val="fr-FR"/>
        </w:rPr>
      </w:pPr>
    </w:p>
    <w:p w:rsidR="00B50B65" w:rsidRPr="00183F00" w:rsidRDefault="00B50B65" w:rsidP="00672F43">
      <w:pPr>
        <w:jc w:val="both"/>
        <w:rPr>
          <w:sz w:val="22"/>
          <w:szCs w:val="22"/>
          <w:lang w:val="fr-FR"/>
        </w:rPr>
      </w:pPr>
    </w:p>
    <w:p w:rsidR="00672F43" w:rsidRPr="00183F00" w:rsidRDefault="00672F43" w:rsidP="00672F43">
      <w:pPr>
        <w:jc w:val="both"/>
        <w:rPr>
          <w:sz w:val="22"/>
          <w:szCs w:val="22"/>
          <w:lang w:val="fr-FR"/>
        </w:rPr>
      </w:pPr>
    </w:p>
    <w:p w:rsidR="00B50B65" w:rsidRPr="00183F00" w:rsidRDefault="00E054FF" w:rsidP="00672F43">
      <w:pPr>
        <w:pStyle w:val="berschrift2"/>
        <w:numPr>
          <w:ilvl w:val="0"/>
          <w:numId w:val="0"/>
        </w:numPr>
        <w:spacing w:before="0" w:after="0"/>
        <w:rPr>
          <w:rFonts w:ascii="Times New Roman" w:hAnsi="Times New Roman"/>
          <w:i w:val="0"/>
          <w:sz w:val="22"/>
          <w:szCs w:val="22"/>
          <w:lang w:val="fr-FR"/>
        </w:rPr>
      </w:pPr>
      <w:r>
        <w:rPr>
          <w:rFonts w:ascii="Times New Roman" w:hAnsi="Times New Roman"/>
          <w:i w:val="0"/>
          <w:sz w:val="22"/>
          <w:szCs w:val="22"/>
          <w:lang w:val="fr-FR"/>
        </w:rPr>
        <w:br w:type="page"/>
      </w:r>
      <w:r w:rsidR="005367C1" w:rsidRPr="00183F00">
        <w:rPr>
          <w:rFonts w:ascii="Times New Roman" w:hAnsi="Times New Roman"/>
          <w:i w:val="0"/>
          <w:sz w:val="22"/>
          <w:szCs w:val="22"/>
          <w:lang w:val="fr-FR"/>
        </w:rPr>
        <w:lastRenderedPageBreak/>
        <w:t>Remerciements</w:t>
      </w:r>
    </w:p>
    <w:p w:rsidR="00B50B65" w:rsidRPr="00183F00" w:rsidRDefault="00B50B65" w:rsidP="00B50B65">
      <w:pPr>
        <w:rPr>
          <w:sz w:val="22"/>
          <w:szCs w:val="22"/>
          <w:lang w:val="fr-FR"/>
        </w:rPr>
      </w:pPr>
    </w:p>
    <w:p w:rsidR="00B50B65" w:rsidRPr="00183F00" w:rsidRDefault="005367C1" w:rsidP="00B50B65">
      <w:pPr>
        <w:pStyle w:val="Textkrper"/>
        <w:rPr>
          <w:sz w:val="22"/>
          <w:szCs w:val="22"/>
          <w:lang w:val="fr-FR"/>
        </w:rPr>
      </w:pPr>
      <w:r w:rsidRPr="00183F00">
        <w:rPr>
          <w:sz w:val="22"/>
          <w:szCs w:val="22"/>
          <w:lang w:val="fr-FR"/>
        </w:rPr>
        <w:t>Nous désirons faire part de nos remerciements aux membres et aux observateurs du Comité technique, et notamment aux divers groupes de travail intersession</w:t>
      </w:r>
      <w:r w:rsidR="00197B98" w:rsidRPr="00183F00">
        <w:rPr>
          <w:sz w:val="22"/>
          <w:szCs w:val="22"/>
          <w:lang w:val="fr-FR"/>
        </w:rPr>
        <w:t>nels</w:t>
      </w:r>
      <w:r w:rsidR="009B4ECF" w:rsidRPr="00183F00">
        <w:rPr>
          <w:sz w:val="22"/>
          <w:szCs w:val="22"/>
          <w:lang w:val="fr-FR"/>
        </w:rPr>
        <w:t>,</w:t>
      </w:r>
      <w:r w:rsidRPr="00183F00">
        <w:rPr>
          <w:sz w:val="22"/>
          <w:szCs w:val="22"/>
          <w:lang w:val="fr-FR"/>
        </w:rPr>
        <w:t xml:space="preserve"> </w:t>
      </w:r>
      <w:r w:rsidR="009B4ECF" w:rsidRPr="00183F00">
        <w:rPr>
          <w:sz w:val="22"/>
          <w:szCs w:val="22"/>
          <w:lang w:val="fr-FR"/>
        </w:rPr>
        <w:t>pour</w:t>
      </w:r>
      <w:r w:rsidRPr="00183F00">
        <w:rPr>
          <w:sz w:val="22"/>
          <w:szCs w:val="22"/>
          <w:lang w:val="fr-FR"/>
        </w:rPr>
        <w:t xml:space="preserve"> leur dévouement et </w:t>
      </w:r>
      <w:r w:rsidR="009B4ECF" w:rsidRPr="00183F00">
        <w:rPr>
          <w:sz w:val="22"/>
          <w:szCs w:val="22"/>
          <w:lang w:val="fr-FR"/>
        </w:rPr>
        <w:t>l</w:t>
      </w:r>
      <w:r w:rsidRPr="00183F00">
        <w:rPr>
          <w:sz w:val="22"/>
          <w:szCs w:val="22"/>
          <w:lang w:val="fr-FR"/>
        </w:rPr>
        <w:t xml:space="preserve">es efforts déployés, </w:t>
      </w:r>
      <w:r w:rsidR="0001784A" w:rsidRPr="00183F00">
        <w:rPr>
          <w:sz w:val="22"/>
          <w:szCs w:val="22"/>
          <w:lang w:val="fr-FR"/>
        </w:rPr>
        <w:t>de même qu’au</w:t>
      </w:r>
      <w:r w:rsidRPr="00183F00">
        <w:rPr>
          <w:sz w:val="22"/>
          <w:szCs w:val="22"/>
          <w:lang w:val="fr-FR"/>
        </w:rPr>
        <w:t xml:space="preserve"> Secrétariat</w:t>
      </w:r>
      <w:r w:rsidR="0001784A" w:rsidRPr="00183F00">
        <w:rPr>
          <w:sz w:val="22"/>
          <w:szCs w:val="22"/>
          <w:lang w:val="fr-FR"/>
        </w:rPr>
        <w:t>,</w:t>
      </w:r>
      <w:r w:rsidRPr="00183F00">
        <w:rPr>
          <w:sz w:val="22"/>
          <w:szCs w:val="22"/>
          <w:lang w:val="fr-FR"/>
        </w:rPr>
        <w:t xml:space="preserve"> </w:t>
      </w:r>
      <w:r w:rsidR="00183F00" w:rsidRPr="00183F00">
        <w:rPr>
          <w:sz w:val="22"/>
          <w:szCs w:val="22"/>
          <w:lang w:val="fr-FR"/>
        </w:rPr>
        <w:t>pour</w:t>
      </w:r>
      <w:r w:rsidR="00B761A9" w:rsidRPr="00183F00">
        <w:rPr>
          <w:sz w:val="22"/>
          <w:szCs w:val="22"/>
          <w:lang w:val="fr-FR"/>
        </w:rPr>
        <w:t xml:space="preserve"> nous avoir apporté</w:t>
      </w:r>
      <w:r w:rsidRPr="00183F00">
        <w:rPr>
          <w:sz w:val="22"/>
          <w:szCs w:val="22"/>
          <w:lang w:val="fr-FR"/>
        </w:rPr>
        <w:t xml:space="preserve"> leur soutien indéfectible et </w:t>
      </w:r>
      <w:r w:rsidR="00183F00" w:rsidRPr="00183F00">
        <w:rPr>
          <w:sz w:val="22"/>
          <w:szCs w:val="22"/>
          <w:lang w:val="fr-FR"/>
        </w:rPr>
        <w:t xml:space="preserve">pour </w:t>
      </w:r>
      <w:r w:rsidR="00B761A9" w:rsidRPr="00183F00">
        <w:rPr>
          <w:sz w:val="22"/>
          <w:szCs w:val="22"/>
          <w:lang w:val="fr-FR"/>
        </w:rPr>
        <w:t>avoir</w:t>
      </w:r>
      <w:r w:rsidRPr="00183F00">
        <w:rPr>
          <w:sz w:val="22"/>
          <w:szCs w:val="22"/>
          <w:lang w:val="fr-FR"/>
        </w:rPr>
        <w:t xml:space="preserve"> finalis</w:t>
      </w:r>
      <w:r w:rsidR="00B761A9" w:rsidRPr="00183F00">
        <w:rPr>
          <w:sz w:val="22"/>
          <w:szCs w:val="22"/>
          <w:lang w:val="fr-FR"/>
        </w:rPr>
        <w:t>é</w:t>
      </w:r>
      <w:r w:rsidRPr="00183F00">
        <w:rPr>
          <w:sz w:val="22"/>
          <w:szCs w:val="22"/>
          <w:lang w:val="fr-FR"/>
        </w:rPr>
        <w:t xml:space="preserve"> </w:t>
      </w:r>
      <w:r w:rsidR="00B761A9" w:rsidRPr="00183F00">
        <w:rPr>
          <w:sz w:val="22"/>
          <w:szCs w:val="22"/>
          <w:lang w:val="fr-FR"/>
        </w:rPr>
        <w:t>en temps voulu les documents de discussion.</w:t>
      </w:r>
    </w:p>
    <w:sectPr w:rsidR="00B50B65" w:rsidRPr="00183F00" w:rsidSect="004A12C7">
      <w:headerReference w:type="first" r:id="rId15"/>
      <w:pgSz w:w="11907" w:h="16840" w:code="9"/>
      <w:pgMar w:top="1021" w:right="1134" w:bottom="1440" w:left="1134"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0D" w:rsidRDefault="00035C0D">
      <w:r>
        <w:separator/>
      </w:r>
    </w:p>
  </w:endnote>
  <w:endnote w:type="continuationSeparator" w:id="0">
    <w:p w:rsidR="00035C0D" w:rsidRDefault="00035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9A" w:rsidRDefault="00525F9A" w:rsidP="007952C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25F9A" w:rsidRDefault="00525F9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9A" w:rsidRPr="00521F69" w:rsidRDefault="00525F9A" w:rsidP="007952C2">
    <w:pPr>
      <w:pStyle w:val="Fuzeile"/>
      <w:framePr w:wrap="around" w:vAnchor="text" w:hAnchor="margin" w:xAlign="center" w:y="1"/>
      <w:rPr>
        <w:rStyle w:val="Seitenzahl"/>
        <w:sz w:val="20"/>
        <w:szCs w:val="20"/>
      </w:rPr>
    </w:pPr>
    <w:r w:rsidRPr="00521F69">
      <w:rPr>
        <w:rStyle w:val="Seitenzahl"/>
        <w:sz w:val="20"/>
        <w:szCs w:val="20"/>
      </w:rPr>
      <w:fldChar w:fldCharType="begin"/>
    </w:r>
    <w:r w:rsidRPr="00521F69">
      <w:rPr>
        <w:rStyle w:val="Seitenzahl"/>
        <w:sz w:val="20"/>
        <w:szCs w:val="20"/>
      </w:rPr>
      <w:instrText xml:space="preserve">PAGE  </w:instrText>
    </w:r>
    <w:r w:rsidRPr="00521F69">
      <w:rPr>
        <w:rStyle w:val="Seitenzahl"/>
        <w:sz w:val="20"/>
        <w:szCs w:val="20"/>
      </w:rPr>
      <w:fldChar w:fldCharType="separate"/>
    </w:r>
    <w:r w:rsidR="00FF342C">
      <w:rPr>
        <w:rStyle w:val="Seitenzahl"/>
        <w:noProof/>
        <w:sz w:val="20"/>
        <w:szCs w:val="20"/>
      </w:rPr>
      <w:t>16</w:t>
    </w:r>
    <w:r w:rsidRPr="00521F69">
      <w:rPr>
        <w:rStyle w:val="Seitenzahl"/>
        <w:sz w:val="20"/>
        <w:szCs w:val="20"/>
      </w:rPr>
      <w:fldChar w:fldCharType="end"/>
    </w:r>
  </w:p>
  <w:p w:rsidR="00525F9A" w:rsidRDefault="00525F9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9A" w:rsidRDefault="00525F9A" w:rsidP="00BD1430">
    <w:pPr>
      <w:pStyle w:val="Fuzeil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9A" w:rsidRPr="00521F69" w:rsidRDefault="00525F9A" w:rsidP="007952C2">
    <w:pPr>
      <w:pStyle w:val="Fuzeile"/>
      <w:framePr w:wrap="around" w:vAnchor="text" w:hAnchor="margin" w:xAlign="center" w:y="1"/>
      <w:rPr>
        <w:rStyle w:val="Seitenzahl"/>
        <w:sz w:val="20"/>
        <w:szCs w:val="20"/>
      </w:rPr>
    </w:pPr>
    <w:r w:rsidRPr="00521F69">
      <w:rPr>
        <w:rStyle w:val="Seitenzahl"/>
        <w:sz w:val="20"/>
        <w:szCs w:val="20"/>
      </w:rPr>
      <w:fldChar w:fldCharType="begin"/>
    </w:r>
    <w:r w:rsidRPr="00521F69">
      <w:rPr>
        <w:rStyle w:val="Seitenzahl"/>
        <w:sz w:val="20"/>
        <w:szCs w:val="20"/>
      </w:rPr>
      <w:instrText xml:space="preserve">PAGE  </w:instrText>
    </w:r>
    <w:r w:rsidRPr="00521F69">
      <w:rPr>
        <w:rStyle w:val="Seitenzahl"/>
        <w:sz w:val="20"/>
        <w:szCs w:val="20"/>
      </w:rPr>
      <w:fldChar w:fldCharType="separate"/>
    </w:r>
    <w:r w:rsidR="00FF342C">
      <w:rPr>
        <w:rStyle w:val="Seitenzahl"/>
        <w:noProof/>
        <w:sz w:val="20"/>
        <w:szCs w:val="20"/>
      </w:rPr>
      <w:t>15</w:t>
    </w:r>
    <w:r w:rsidRPr="00521F69">
      <w:rPr>
        <w:rStyle w:val="Seitenzahl"/>
        <w:sz w:val="20"/>
        <w:szCs w:val="20"/>
      </w:rPr>
      <w:fldChar w:fldCharType="end"/>
    </w:r>
  </w:p>
  <w:p w:rsidR="00525F9A" w:rsidRDefault="00525F9A" w:rsidP="00BD1430">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0D" w:rsidRDefault="00035C0D">
      <w:r>
        <w:separator/>
      </w:r>
    </w:p>
  </w:footnote>
  <w:footnote w:type="continuationSeparator" w:id="0">
    <w:p w:rsidR="00035C0D" w:rsidRDefault="00035C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98" w:type="dxa"/>
      <w:tblInd w:w="108" w:type="dxa"/>
      <w:tblBorders>
        <w:bottom w:val="single" w:sz="8" w:space="0" w:color="auto"/>
      </w:tblBorders>
      <w:tblLayout w:type="fixed"/>
      <w:tblLook w:val="0000"/>
    </w:tblPr>
    <w:tblGrid>
      <w:gridCol w:w="2268"/>
      <w:gridCol w:w="4678"/>
      <w:gridCol w:w="2552"/>
    </w:tblGrid>
    <w:tr w:rsidR="00525F9A" w:rsidRPr="00401867" w:rsidTr="00755521">
      <w:trPr>
        <w:trHeight w:val="1256"/>
      </w:trPr>
      <w:tc>
        <w:tcPr>
          <w:tcW w:w="2268" w:type="dxa"/>
        </w:tcPr>
        <w:p w:rsidR="00525F9A" w:rsidRDefault="00FF342C" w:rsidP="00755521">
          <w:r>
            <w:rPr>
              <w:noProof/>
              <w:lang w:val="de-DE" w:eastAsia="de-DE"/>
            </w:rPr>
            <w:drawing>
              <wp:inline distT="0" distB="0" distL="0" distR="0">
                <wp:extent cx="828675" cy="695325"/>
                <wp:effectExtent l="19050" t="0" r="9525"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srcRect/>
                        <a:stretch>
                          <a:fillRect/>
                        </a:stretch>
                      </pic:blipFill>
                      <pic:spPr bwMode="auto">
                        <a:xfrm>
                          <a:off x="0" y="0"/>
                          <a:ext cx="828675" cy="695325"/>
                        </a:xfrm>
                        <a:prstGeom prst="rect">
                          <a:avLst/>
                        </a:prstGeom>
                        <a:noFill/>
                        <a:ln w="9525">
                          <a:noFill/>
                          <a:miter lim="800000"/>
                          <a:headEnd/>
                          <a:tailEnd/>
                        </a:ln>
                      </pic:spPr>
                    </pic:pic>
                  </a:graphicData>
                </a:graphic>
              </wp:inline>
            </w:drawing>
          </w:r>
        </w:p>
      </w:tc>
      <w:tc>
        <w:tcPr>
          <w:tcW w:w="4678" w:type="dxa"/>
        </w:tcPr>
        <w:p w:rsidR="00525F9A" w:rsidRPr="00E52AE0" w:rsidRDefault="00525F9A" w:rsidP="00755521">
          <w:pPr>
            <w:tabs>
              <w:tab w:val="left" w:pos="2871"/>
            </w:tabs>
            <w:jc w:val="center"/>
            <w:rPr>
              <w:sz w:val="20"/>
              <w:szCs w:val="20"/>
              <w:lang w:val="fr-FR"/>
            </w:rPr>
          </w:pPr>
          <w:r w:rsidRPr="00E52AE0">
            <w:rPr>
              <w:i/>
              <w:caps/>
              <w:sz w:val="20"/>
              <w:szCs w:val="20"/>
              <w:lang w:val="fr-FR"/>
            </w:rPr>
            <w:t>ACCORD SUR LA CONSERVATION DES OISEAUX D’eau migrateurs D’afrique-eurasie</w:t>
          </w:r>
        </w:p>
      </w:tc>
      <w:tc>
        <w:tcPr>
          <w:tcW w:w="2552" w:type="dxa"/>
        </w:tcPr>
        <w:p w:rsidR="00525F9A" w:rsidRPr="00E52AE0" w:rsidRDefault="00525F9A" w:rsidP="00755521">
          <w:pPr>
            <w:ind w:left="-108"/>
            <w:jc w:val="right"/>
            <w:rPr>
              <w:bCs/>
              <w:i/>
              <w:iCs/>
              <w:sz w:val="20"/>
              <w:szCs w:val="20"/>
              <w:lang w:val="fr-FR"/>
            </w:rPr>
          </w:pPr>
          <w:r w:rsidRPr="00E52AE0">
            <w:rPr>
              <w:i/>
              <w:iCs/>
              <w:sz w:val="20"/>
              <w:szCs w:val="20"/>
              <w:lang w:val="fr-FR"/>
            </w:rPr>
            <w:t xml:space="preserve">Doc: </w:t>
          </w:r>
          <w:r w:rsidRPr="00E52AE0">
            <w:rPr>
              <w:bCs/>
              <w:i/>
              <w:iCs/>
              <w:sz w:val="20"/>
              <w:szCs w:val="20"/>
              <w:lang w:val="fr-FR"/>
            </w:rPr>
            <w:t>AEWA/MOP 5.</w:t>
          </w:r>
          <w:r>
            <w:rPr>
              <w:bCs/>
              <w:i/>
              <w:iCs/>
              <w:sz w:val="20"/>
              <w:szCs w:val="20"/>
              <w:lang w:val="fr-FR"/>
            </w:rPr>
            <w:t>7</w:t>
          </w:r>
        </w:p>
        <w:p w:rsidR="00525F9A" w:rsidRPr="00E52AE0" w:rsidRDefault="00525F9A" w:rsidP="00755521">
          <w:pPr>
            <w:ind w:left="-108"/>
            <w:jc w:val="right"/>
            <w:rPr>
              <w:bCs/>
              <w:i/>
              <w:iCs/>
              <w:sz w:val="20"/>
              <w:szCs w:val="20"/>
              <w:lang w:val="fr-FR"/>
            </w:rPr>
          </w:pPr>
          <w:r w:rsidRPr="00E52AE0">
            <w:rPr>
              <w:i/>
              <w:iCs/>
              <w:sz w:val="20"/>
              <w:szCs w:val="20"/>
              <w:lang w:val="fr-FR"/>
            </w:rPr>
            <w:t xml:space="preserve">Point </w:t>
          </w:r>
          <w:r>
            <w:rPr>
              <w:i/>
              <w:iCs/>
              <w:sz w:val="20"/>
              <w:szCs w:val="20"/>
              <w:lang w:val="fr-FR"/>
            </w:rPr>
            <w:t>9b</w:t>
          </w:r>
          <w:r w:rsidRPr="00E52AE0">
            <w:rPr>
              <w:bCs/>
              <w:i/>
              <w:iCs/>
              <w:sz w:val="20"/>
              <w:szCs w:val="20"/>
              <w:lang w:val="fr-FR"/>
            </w:rPr>
            <w:t xml:space="preserve"> de l’ordre du jour</w:t>
          </w:r>
        </w:p>
        <w:p w:rsidR="00525F9A" w:rsidRPr="00E52AE0" w:rsidRDefault="00525F9A" w:rsidP="00755521">
          <w:pPr>
            <w:jc w:val="right"/>
            <w:rPr>
              <w:bCs/>
              <w:i/>
              <w:iCs/>
              <w:sz w:val="20"/>
              <w:szCs w:val="20"/>
              <w:lang w:val="fr-FR"/>
            </w:rPr>
          </w:pPr>
          <w:r w:rsidRPr="00E52AE0">
            <w:rPr>
              <w:i/>
              <w:iCs/>
              <w:sz w:val="20"/>
              <w:szCs w:val="20"/>
              <w:lang w:val="fr-FR"/>
            </w:rPr>
            <w:t>Original: Anglais</w:t>
          </w:r>
        </w:p>
        <w:p w:rsidR="00525F9A" w:rsidRPr="00E52AE0" w:rsidRDefault="00525F9A" w:rsidP="00755521">
          <w:pPr>
            <w:jc w:val="right"/>
            <w:rPr>
              <w:bCs/>
              <w:i/>
              <w:iCs/>
              <w:sz w:val="20"/>
              <w:szCs w:val="20"/>
              <w:lang w:val="fr-FR"/>
            </w:rPr>
          </w:pPr>
        </w:p>
        <w:p w:rsidR="00525F9A" w:rsidRPr="00E52AE0" w:rsidRDefault="00525F9A" w:rsidP="00755521">
          <w:pPr>
            <w:jc w:val="right"/>
            <w:rPr>
              <w:i/>
              <w:iCs/>
              <w:sz w:val="20"/>
              <w:szCs w:val="20"/>
              <w:lang w:val="fr-FR"/>
            </w:rPr>
          </w:pPr>
          <w:r w:rsidRPr="00E52AE0">
            <w:rPr>
              <w:i/>
              <w:iCs/>
              <w:sz w:val="20"/>
              <w:szCs w:val="20"/>
              <w:lang w:val="fr-FR"/>
            </w:rPr>
            <w:t xml:space="preserve">Date: </w:t>
          </w:r>
          <w:r w:rsidR="00E054FF">
            <w:rPr>
              <w:i/>
              <w:iCs/>
              <w:sz w:val="20"/>
              <w:szCs w:val="20"/>
              <w:lang w:val="fr-FR"/>
            </w:rPr>
            <w:t>27</w:t>
          </w:r>
          <w:r>
            <w:rPr>
              <w:i/>
              <w:iCs/>
              <w:sz w:val="20"/>
              <w:szCs w:val="20"/>
              <w:lang w:val="fr-FR"/>
            </w:rPr>
            <w:t xml:space="preserve"> avril</w:t>
          </w:r>
          <w:r w:rsidRPr="00E52AE0">
            <w:rPr>
              <w:i/>
              <w:iCs/>
              <w:sz w:val="20"/>
              <w:szCs w:val="20"/>
              <w:lang w:val="fr-FR"/>
            </w:rPr>
            <w:t xml:space="preserve"> 2012</w:t>
          </w:r>
        </w:p>
        <w:p w:rsidR="00525F9A" w:rsidRPr="00E52AE0" w:rsidRDefault="00525F9A" w:rsidP="00755521">
          <w:pPr>
            <w:jc w:val="right"/>
            <w:rPr>
              <w:sz w:val="18"/>
              <w:szCs w:val="18"/>
              <w:lang w:val="fr-FR"/>
            </w:rPr>
          </w:pPr>
        </w:p>
      </w:tc>
    </w:tr>
    <w:tr w:rsidR="00525F9A" w:rsidTr="00755521">
      <w:tc>
        <w:tcPr>
          <w:tcW w:w="9498" w:type="dxa"/>
          <w:gridSpan w:val="3"/>
        </w:tcPr>
        <w:p w:rsidR="00525F9A" w:rsidRPr="00C478BA" w:rsidRDefault="00525F9A" w:rsidP="00755521">
          <w:pPr>
            <w:pStyle w:val="Textkrper2"/>
            <w:jc w:val="center"/>
            <w:rPr>
              <w:b/>
              <w:bCs/>
              <w:caps/>
              <w:sz w:val="26"/>
              <w:szCs w:val="26"/>
              <w:lang w:val="fr-FR"/>
            </w:rPr>
          </w:pPr>
          <w:r w:rsidRPr="00C478BA">
            <w:rPr>
              <w:b/>
              <w:bCs/>
              <w:sz w:val="26"/>
              <w:szCs w:val="26"/>
              <w:lang w:val="fr-FR"/>
            </w:rPr>
            <w:t>5</w:t>
          </w:r>
          <w:r w:rsidRPr="00C478BA">
            <w:rPr>
              <w:b/>
              <w:bCs/>
              <w:sz w:val="26"/>
              <w:szCs w:val="26"/>
              <w:vertAlign w:val="superscript"/>
              <w:lang w:val="fr-FR"/>
            </w:rPr>
            <w:t>ème</w:t>
          </w:r>
          <w:r w:rsidRPr="00C478BA">
            <w:rPr>
              <w:b/>
              <w:bCs/>
              <w:sz w:val="26"/>
              <w:szCs w:val="26"/>
              <w:lang w:val="fr-FR"/>
            </w:rPr>
            <w:t xml:space="preserve"> </w:t>
          </w:r>
          <w:r w:rsidRPr="00C478BA">
            <w:rPr>
              <w:b/>
              <w:bCs/>
              <w:caps/>
              <w:sz w:val="26"/>
              <w:szCs w:val="26"/>
              <w:lang w:val="fr-FR"/>
            </w:rPr>
            <w:t>Session de la rÉunion des parties contractantes</w:t>
          </w:r>
        </w:p>
        <w:p w:rsidR="00525F9A" w:rsidRPr="009E3956" w:rsidRDefault="00525F9A" w:rsidP="00755521">
          <w:pPr>
            <w:jc w:val="center"/>
            <w:rPr>
              <w:i/>
              <w:sz w:val="22"/>
              <w:szCs w:val="22"/>
            </w:rPr>
          </w:pPr>
          <w:r w:rsidRPr="00F37CBA">
            <w:rPr>
              <w:i/>
              <w:iCs/>
              <w:lang w:val="fr-FR"/>
            </w:rPr>
            <w:t>14 – 18 mai 2012, La Rochelle, France</w:t>
          </w:r>
        </w:p>
      </w:tc>
    </w:tr>
    <w:tr w:rsidR="00525F9A" w:rsidRPr="00401867" w:rsidTr="00755521">
      <w:trPr>
        <w:trHeight w:val="702"/>
      </w:trPr>
      <w:tc>
        <w:tcPr>
          <w:tcW w:w="9498" w:type="dxa"/>
          <w:gridSpan w:val="3"/>
          <w:tcBorders>
            <w:bottom w:val="single" w:sz="8" w:space="0" w:color="auto"/>
          </w:tcBorders>
          <w:vAlign w:val="center"/>
        </w:tcPr>
        <w:p w:rsidR="00525F9A" w:rsidRPr="00F37CBA" w:rsidRDefault="00525F9A" w:rsidP="00755521">
          <w:pPr>
            <w:pStyle w:val="Textkrper2"/>
            <w:jc w:val="center"/>
            <w:rPr>
              <w:bCs/>
              <w:i/>
              <w:lang w:val="fr-FR"/>
            </w:rPr>
          </w:pPr>
          <w:r w:rsidRPr="00E7468D">
            <w:rPr>
              <w:bCs/>
              <w:i/>
              <w:lang w:val="fr-FR"/>
            </w:rPr>
            <w:t>« </w:t>
          </w:r>
          <w:r>
            <w:rPr>
              <w:bCs/>
              <w:i/>
              <w:lang w:val="fr-FR"/>
            </w:rPr>
            <w:t xml:space="preserve">Les </w:t>
          </w:r>
          <w:r w:rsidRPr="00E7468D">
            <w:rPr>
              <w:bCs/>
              <w:i/>
              <w:lang w:val="fr-FR"/>
            </w:rPr>
            <w:t>oiseaux d’eau</w:t>
          </w:r>
          <w:r>
            <w:rPr>
              <w:bCs/>
              <w:i/>
              <w:lang w:val="fr-FR"/>
            </w:rPr>
            <w:t xml:space="preserve"> migrateurs et les hommes </w:t>
          </w:r>
          <w:r w:rsidRPr="000F0BC9">
            <w:rPr>
              <w:bCs/>
              <w:i/>
              <w:lang w:val="fr-FR"/>
            </w:rPr>
            <w:t>– des zones</w:t>
          </w:r>
          <w:r>
            <w:rPr>
              <w:bCs/>
              <w:i/>
              <w:lang w:val="fr-FR"/>
            </w:rPr>
            <w:t xml:space="preserve"> humides en partage</w:t>
          </w:r>
          <w:r w:rsidRPr="00E7468D">
            <w:rPr>
              <w:bCs/>
              <w:i/>
              <w:lang w:val="fr-FR"/>
            </w:rPr>
            <w:t> »</w:t>
          </w:r>
        </w:p>
      </w:tc>
    </w:tr>
  </w:tbl>
  <w:p w:rsidR="00525F9A" w:rsidRDefault="00525F9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9A" w:rsidRDefault="00525F9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9A" w:rsidRDefault="00525F9A">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F9A" w:rsidRDefault="00525F9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732"/>
    <w:multiLevelType w:val="hybridMultilevel"/>
    <w:tmpl w:val="721C3E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6D3686"/>
    <w:multiLevelType w:val="hybridMultilevel"/>
    <w:tmpl w:val="0898F3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B868F7"/>
    <w:multiLevelType w:val="hybridMultilevel"/>
    <w:tmpl w:val="25A46134"/>
    <w:lvl w:ilvl="0" w:tplc="6F6CF154">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316D0E"/>
    <w:multiLevelType w:val="multilevel"/>
    <w:tmpl w:val="32566F1E"/>
    <w:lvl w:ilvl="0">
      <w:start w:val="1"/>
      <w:numFmt w:val="decimal"/>
      <w:lvlRestart w:val="0"/>
      <w:pStyle w:val="berschrift1"/>
      <w:lvlText w:val="%1"/>
      <w:lvlJc w:val="left"/>
      <w:pPr>
        <w:tabs>
          <w:tab w:val="num" w:pos="360"/>
        </w:tabs>
        <w:ind w:left="0" w:firstLine="0"/>
      </w:pPr>
      <w:rPr>
        <w:rFonts w:ascii="Garamond" w:hAnsi="Garamond" w:hint="default"/>
        <w:b/>
        <w:i w:val="0"/>
        <w:sz w:val="24"/>
      </w:rPr>
    </w:lvl>
    <w:lvl w:ilvl="1">
      <w:start w:val="1"/>
      <w:numFmt w:val="decimal"/>
      <w:pStyle w:val="berschrift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58DA7912"/>
    <w:multiLevelType w:val="multilevel"/>
    <w:tmpl w:val="721C3E1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20C4471"/>
    <w:multiLevelType w:val="hybridMultilevel"/>
    <w:tmpl w:val="DD0A42C0"/>
    <w:lvl w:ilvl="0" w:tplc="2C88B956">
      <w:start w:val="1"/>
      <w:numFmt w:val="lowerLetter"/>
      <w:lvlText w:val="%1)"/>
      <w:lvlJc w:val="left"/>
      <w:pPr>
        <w:tabs>
          <w:tab w:val="num" w:pos="750"/>
        </w:tabs>
        <w:ind w:left="75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ECF1EFB"/>
    <w:multiLevelType w:val="hybridMultilevel"/>
    <w:tmpl w:val="FD78B2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8"/>
  </w:num>
  <w:num w:numId="5">
    <w:abstractNumId w:val="5"/>
  </w:num>
  <w:num w:numId="6">
    <w:abstractNumId w:val="10"/>
  </w:num>
  <w:num w:numId="7">
    <w:abstractNumId w:val="7"/>
  </w:num>
  <w:num w:numId="8">
    <w:abstractNumId w:val="2"/>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B50B65"/>
    <w:rsid w:val="00002D79"/>
    <w:rsid w:val="00012951"/>
    <w:rsid w:val="00013239"/>
    <w:rsid w:val="00016E7B"/>
    <w:rsid w:val="0001784A"/>
    <w:rsid w:val="00022B21"/>
    <w:rsid w:val="000270D5"/>
    <w:rsid w:val="00035C0D"/>
    <w:rsid w:val="00037178"/>
    <w:rsid w:val="00054318"/>
    <w:rsid w:val="00060494"/>
    <w:rsid w:val="0006129C"/>
    <w:rsid w:val="0006228A"/>
    <w:rsid w:val="00065FE6"/>
    <w:rsid w:val="00070B17"/>
    <w:rsid w:val="00077E7D"/>
    <w:rsid w:val="00081EC7"/>
    <w:rsid w:val="00090EB2"/>
    <w:rsid w:val="000977BB"/>
    <w:rsid w:val="000A5A47"/>
    <w:rsid w:val="000A646C"/>
    <w:rsid w:val="000A7CC6"/>
    <w:rsid w:val="000B0F5F"/>
    <w:rsid w:val="000C4F32"/>
    <w:rsid w:val="000D0C04"/>
    <w:rsid w:val="000D3BB1"/>
    <w:rsid w:val="000D6899"/>
    <w:rsid w:val="000D6E57"/>
    <w:rsid w:val="000E153E"/>
    <w:rsid w:val="000E61A7"/>
    <w:rsid w:val="000E783F"/>
    <w:rsid w:val="000F118B"/>
    <w:rsid w:val="000F48CB"/>
    <w:rsid w:val="000F60E4"/>
    <w:rsid w:val="000F6B6E"/>
    <w:rsid w:val="00104C13"/>
    <w:rsid w:val="001348BF"/>
    <w:rsid w:val="00135E7B"/>
    <w:rsid w:val="001408F0"/>
    <w:rsid w:val="00142A14"/>
    <w:rsid w:val="00151749"/>
    <w:rsid w:val="00153AA3"/>
    <w:rsid w:val="00163444"/>
    <w:rsid w:val="00165D09"/>
    <w:rsid w:val="00167718"/>
    <w:rsid w:val="00167D59"/>
    <w:rsid w:val="0017403F"/>
    <w:rsid w:val="00176020"/>
    <w:rsid w:val="00182DCC"/>
    <w:rsid w:val="00183F00"/>
    <w:rsid w:val="00186687"/>
    <w:rsid w:val="00196E67"/>
    <w:rsid w:val="00197B98"/>
    <w:rsid w:val="001A00B6"/>
    <w:rsid w:val="001A3372"/>
    <w:rsid w:val="001B186D"/>
    <w:rsid w:val="001C7402"/>
    <w:rsid w:val="001D21F7"/>
    <w:rsid w:val="001E3CA6"/>
    <w:rsid w:val="001E6A35"/>
    <w:rsid w:val="001E7EBD"/>
    <w:rsid w:val="001F1D9A"/>
    <w:rsid w:val="001F4726"/>
    <w:rsid w:val="00207325"/>
    <w:rsid w:val="0020764A"/>
    <w:rsid w:val="002170E2"/>
    <w:rsid w:val="00230776"/>
    <w:rsid w:val="00241131"/>
    <w:rsid w:val="00241BC2"/>
    <w:rsid w:val="00241CD9"/>
    <w:rsid w:val="002522E4"/>
    <w:rsid w:val="00253785"/>
    <w:rsid w:val="00262391"/>
    <w:rsid w:val="00265F05"/>
    <w:rsid w:val="002677D9"/>
    <w:rsid w:val="0027613A"/>
    <w:rsid w:val="002766DF"/>
    <w:rsid w:val="00284619"/>
    <w:rsid w:val="00286103"/>
    <w:rsid w:val="00286BE7"/>
    <w:rsid w:val="00294A52"/>
    <w:rsid w:val="002A0248"/>
    <w:rsid w:val="002A3D00"/>
    <w:rsid w:val="002A5DDB"/>
    <w:rsid w:val="002B0C2C"/>
    <w:rsid w:val="002D5C42"/>
    <w:rsid w:val="002E3B75"/>
    <w:rsid w:val="002E4C1F"/>
    <w:rsid w:val="002E541B"/>
    <w:rsid w:val="002E6092"/>
    <w:rsid w:val="002E7873"/>
    <w:rsid w:val="002F0141"/>
    <w:rsid w:val="002F3D3C"/>
    <w:rsid w:val="002F417A"/>
    <w:rsid w:val="002F5018"/>
    <w:rsid w:val="002F62E2"/>
    <w:rsid w:val="002F6683"/>
    <w:rsid w:val="002F7147"/>
    <w:rsid w:val="00301240"/>
    <w:rsid w:val="00303606"/>
    <w:rsid w:val="00304CB5"/>
    <w:rsid w:val="003072A9"/>
    <w:rsid w:val="00307406"/>
    <w:rsid w:val="003119B9"/>
    <w:rsid w:val="00312BA0"/>
    <w:rsid w:val="003137EE"/>
    <w:rsid w:val="00315EA7"/>
    <w:rsid w:val="003209C2"/>
    <w:rsid w:val="00321C49"/>
    <w:rsid w:val="003227EA"/>
    <w:rsid w:val="00330A84"/>
    <w:rsid w:val="0033181C"/>
    <w:rsid w:val="00335011"/>
    <w:rsid w:val="003412DF"/>
    <w:rsid w:val="003427D6"/>
    <w:rsid w:val="003445A8"/>
    <w:rsid w:val="00344B12"/>
    <w:rsid w:val="00353767"/>
    <w:rsid w:val="003554FB"/>
    <w:rsid w:val="00360A6B"/>
    <w:rsid w:val="00366F1A"/>
    <w:rsid w:val="00370754"/>
    <w:rsid w:val="003724A9"/>
    <w:rsid w:val="00376FAB"/>
    <w:rsid w:val="00381172"/>
    <w:rsid w:val="00383FCF"/>
    <w:rsid w:val="00387B3D"/>
    <w:rsid w:val="0039554F"/>
    <w:rsid w:val="003A2349"/>
    <w:rsid w:val="003A4BB1"/>
    <w:rsid w:val="003A596F"/>
    <w:rsid w:val="003B2918"/>
    <w:rsid w:val="003B4398"/>
    <w:rsid w:val="003C1B38"/>
    <w:rsid w:val="003C320A"/>
    <w:rsid w:val="003C7510"/>
    <w:rsid w:val="003D580F"/>
    <w:rsid w:val="003E0DB9"/>
    <w:rsid w:val="003E3136"/>
    <w:rsid w:val="003F05EB"/>
    <w:rsid w:val="003F72D6"/>
    <w:rsid w:val="003F7F14"/>
    <w:rsid w:val="004038BC"/>
    <w:rsid w:val="00407E65"/>
    <w:rsid w:val="00412408"/>
    <w:rsid w:val="00415D8D"/>
    <w:rsid w:val="00427FA7"/>
    <w:rsid w:val="00430266"/>
    <w:rsid w:val="00430B3D"/>
    <w:rsid w:val="004313BF"/>
    <w:rsid w:val="00436D54"/>
    <w:rsid w:val="004370A6"/>
    <w:rsid w:val="0044138E"/>
    <w:rsid w:val="004470E2"/>
    <w:rsid w:val="004623B2"/>
    <w:rsid w:val="00466106"/>
    <w:rsid w:val="004735A4"/>
    <w:rsid w:val="0048284D"/>
    <w:rsid w:val="004830D6"/>
    <w:rsid w:val="00497689"/>
    <w:rsid w:val="004A12C7"/>
    <w:rsid w:val="004A4D81"/>
    <w:rsid w:val="004B57A6"/>
    <w:rsid w:val="004B75C0"/>
    <w:rsid w:val="004C0B8A"/>
    <w:rsid w:val="004C535D"/>
    <w:rsid w:val="004D6156"/>
    <w:rsid w:val="004D6494"/>
    <w:rsid w:val="004E33AB"/>
    <w:rsid w:val="004E4977"/>
    <w:rsid w:val="004F4C39"/>
    <w:rsid w:val="004F4E6A"/>
    <w:rsid w:val="004F781F"/>
    <w:rsid w:val="00503FF2"/>
    <w:rsid w:val="00510253"/>
    <w:rsid w:val="00517C62"/>
    <w:rsid w:val="0052010F"/>
    <w:rsid w:val="00521F69"/>
    <w:rsid w:val="005220B4"/>
    <w:rsid w:val="00523B15"/>
    <w:rsid w:val="00525C8A"/>
    <w:rsid w:val="00525F9A"/>
    <w:rsid w:val="00531134"/>
    <w:rsid w:val="00533A8D"/>
    <w:rsid w:val="005367C1"/>
    <w:rsid w:val="005426DD"/>
    <w:rsid w:val="00545A45"/>
    <w:rsid w:val="00546AF2"/>
    <w:rsid w:val="00550AB4"/>
    <w:rsid w:val="005545F0"/>
    <w:rsid w:val="005619EC"/>
    <w:rsid w:val="005629EF"/>
    <w:rsid w:val="00566D40"/>
    <w:rsid w:val="00567628"/>
    <w:rsid w:val="00575367"/>
    <w:rsid w:val="0057702C"/>
    <w:rsid w:val="005856A8"/>
    <w:rsid w:val="005865FA"/>
    <w:rsid w:val="005970C7"/>
    <w:rsid w:val="005972E3"/>
    <w:rsid w:val="005A2B4A"/>
    <w:rsid w:val="005B0569"/>
    <w:rsid w:val="005B2149"/>
    <w:rsid w:val="005B531E"/>
    <w:rsid w:val="005B613F"/>
    <w:rsid w:val="005C15CB"/>
    <w:rsid w:val="005C3960"/>
    <w:rsid w:val="005D32C0"/>
    <w:rsid w:val="005D54ED"/>
    <w:rsid w:val="005E7429"/>
    <w:rsid w:val="0060349D"/>
    <w:rsid w:val="006075EE"/>
    <w:rsid w:val="006122CD"/>
    <w:rsid w:val="00620F9F"/>
    <w:rsid w:val="00627B04"/>
    <w:rsid w:val="006314D6"/>
    <w:rsid w:val="0063334F"/>
    <w:rsid w:val="006369E9"/>
    <w:rsid w:val="006426C1"/>
    <w:rsid w:val="00643C4D"/>
    <w:rsid w:val="00646955"/>
    <w:rsid w:val="006500E7"/>
    <w:rsid w:val="00657A1D"/>
    <w:rsid w:val="00662109"/>
    <w:rsid w:val="006713EC"/>
    <w:rsid w:val="00671A83"/>
    <w:rsid w:val="00671ED2"/>
    <w:rsid w:val="00672F43"/>
    <w:rsid w:val="006766E9"/>
    <w:rsid w:val="00682787"/>
    <w:rsid w:val="00684BEA"/>
    <w:rsid w:val="006875C0"/>
    <w:rsid w:val="0069010A"/>
    <w:rsid w:val="006974E0"/>
    <w:rsid w:val="006A05BD"/>
    <w:rsid w:val="006A4A6F"/>
    <w:rsid w:val="006B069A"/>
    <w:rsid w:val="006B6B98"/>
    <w:rsid w:val="006D709F"/>
    <w:rsid w:val="006F2D9F"/>
    <w:rsid w:val="006F35B4"/>
    <w:rsid w:val="006F404C"/>
    <w:rsid w:val="00703647"/>
    <w:rsid w:val="00705411"/>
    <w:rsid w:val="00717A17"/>
    <w:rsid w:val="00717B5E"/>
    <w:rsid w:val="00720708"/>
    <w:rsid w:val="00723861"/>
    <w:rsid w:val="007346DE"/>
    <w:rsid w:val="00734722"/>
    <w:rsid w:val="00751FDB"/>
    <w:rsid w:val="00755521"/>
    <w:rsid w:val="007555FB"/>
    <w:rsid w:val="00755622"/>
    <w:rsid w:val="00762C47"/>
    <w:rsid w:val="00764988"/>
    <w:rsid w:val="00767F94"/>
    <w:rsid w:val="00777E11"/>
    <w:rsid w:val="00782849"/>
    <w:rsid w:val="00786993"/>
    <w:rsid w:val="00786AF1"/>
    <w:rsid w:val="007878D4"/>
    <w:rsid w:val="007952C2"/>
    <w:rsid w:val="0079698D"/>
    <w:rsid w:val="007A6251"/>
    <w:rsid w:val="007B0353"/>
    <w:rsid w:val="007B1C5A"/>
    <w:rsid w:val="007B465F"/>
    <w:rsid w:val="007B5D57"/>
    <w:rsid w:val="007C0F75"/>
    <w:rsid w:val="007C3541"/>
    <w:rsid w:val="007C692D"/>
    <w:rsid w:val="007C79F5"/>
    <w:rsid w:val="007E054A"/>
    <w:rsid w:val="007E1121"/>
    <w:rsid w:val="007E166A"/>
    <w:rsid w:val="007E23DA"/>
    <w:rsid w:val="007E28AC"/>
    <w:rsid w:val="007E42BB"/>
    <w:rsid w:val="007F2A65"/>
    <w:rsid w:val="00805C7E"/>
    <w:rsid w:val="008115B4"/>
    <w:rsid w:val="0081654F"/>
    <w:rsid w:val="00821176"/>
    <w:rsid w:val="0082215E"/>
    <w:rsid w:val="008235E1"/>
    <w:rsid w:val="008257EC"/>
    <w:rsid w:val="00825801"/>
    <w:rsid w:val="008301D8"/>
    <w:rsid w:val="00842A74"/>
    <w:rsid w:val="00847E1D"/>
    <w:rsid w:val="00850386"/>
    <w:rsid w:val="00850C33"/>
    <w:rsid w:val="008550D3"/>
    <w:rsid w:val="008577A7"/>
    <w:rsid w:val="008650A4"/>
    <w:rsid w:val="0089226A"/>
    <w:rsid w:val="008A4F5F"/>
    <w:rsid w:val="008A5661"/>
    <w:rsid w:val="008B3285"/>
    <w:rsid w:val="008C01B7"/>
    <w:rsid w:val="008C144E"/>
    <w:rsid w:val="008C4DB8"/>
    <w:rsid w:val="008D305B"/>
    <w:rsid w:val="008E450E"/>
    <w:rsid w:val="008F0DEA"/>
    <w:rsid w:val="008F4E75"/>
    <w:rsid w:val="008F6C6D"/>
    <w:rsid w:val="0090279F"/>
    <w:rsid w:val="00903E6E"/>
    <w:rsid w:val="00906328"/>
    <w:rsid w:val="009164F2"/>
    <w:rsid w:val="00920EE0"/>
    <w:rsid w:val="009221A8"/>
    <w:rsid w:val="009221F0"/>
    <w:rsid w:val="00924B50"/>
    <w:rsid w:val="00924D2F"/>
    <w:rsid w:val="009307E6"/>
    <w:rsid w:val="00930872"/>
    <w:rsid w:val="00942C60"/>
    <w:rsid w:val="009519A8"/>
    <w:rsid w:val="00952C86"/>
    <w:rsid w:val="00955061"/>
    <w:rsid w:val="00960705"/>
    <w:rsid w:val="009616B5"/>
    <w:rsid w:val="00961D71"/>
    <w:rsid w:val="0096757D"/>
    <w:rsid w:val="0096780E"/>
    <w:rsid w:val="0097335B"/>
    <w:rsid w:val="009742F4"/>
    <w:rsid w:val="00974791"/>
    <w:rsid w:val="00975A7B"/>
    <w:rsid w:val="009812ED"/>
    <w:rsid w:val="009819CB"/>
    <w:rsid w:val="00983DD7"/>
    <w:rsid w:val="00984D57"/>
    <w:rsid w:val="00987FB7"/>
    <w:rsid w:val="009900A0"/>
    <w:rsid w:val="00990AB9"/>
    <w:rsid w:val="0099731E"/>
    <w:rsid w:val="009A0959"/>
    <w:rsid w:val="009A124C"/>
    <w:rsid w:val="009A4C08"/>
    <w:rsid w:val="009B4ECF"/>
    <w:rsid w:val="009B6545"/>
    <w:rsid w:val="009C0998"/>
    <w:rsid w:val="009C4018"/>
    <w:rsid w:val="009E0FEA"/>
    <w:rsid w:val="009E2740"/>
    <w:rsid w:val="009F75B2"/>
    <w:rsid w:val="00A00EB3"/>
    <w:rsid w:val="00A0510C"/>
    <w:rsid w:val="00A115AC"/>
    <w:rsid w:val="00A13B54"/>
    <w:rsid w:val="00A20411"/>
    <w:rsid w:val="00A20461"/>
    <w:rsid w:val="00A204F8"/>
    <w:rsid w:val="00A2116E"/>
    <w:rsid w:val="00A256B3"/>
    <w:rsid w:val="00A360BC"/>
    <w:rsid w:val="00A36A12"/>
    <w:rsid w:val="00A513FC"/>
    <w:rsid w:val="00A554C6"/>
    <w:rsid w:val="00A7089D"/>
    <w:rsid w:val="00A751D1"/>
    <w:rsid w:val="00A7655C"/>
    <w:rsid w:val="00A80639"/>
    <w:rsid w:val="00A814A2"/>
    <w:rsid w:val="00A827D1"/>
    <w:rsid w:val="00A84DF2"/>
    <w:rsid w:val="00A86EF9"/>
    <w:rsid w:val="00A91E21"/>
    <w:rsid w:val="00A95F0E"/>
    <w:rsid w:val="00AA014B"/>
    <w:rsid w:val="00AA30B0"/>
    <w:rsid w:val="00AA6201"/>
    <w:rsid w:val="00AA6DA2"/>
    <w:rsid w:val="00AB5F2B"/>
    <w:rsid w:val="00AB7E58"/>
    <w:rsid w:val="00AC55DC"/>
    <w:rsid w:val="00AD37B5"/>
    <w:rsid w:val="00AE0544"/>
    <w:rsid w:val="00AE2F82"/>
    <w:rsid w:val="00AE5DCE"/>
    <w:rsid w:val="00AE5F59"/>
    <w:rsid w:val="00AF4198"/>
    <w:rsid w:val="00AF6378"/>
    <w:rsid w:val="00B04069"/>
    <w:rsid w:val="00B04408"/>
    <w:rsid w:val="00B05D45"/>
    <w:rsid w:val="00B119D4"/>
    <w:rsid w:val="00B20C25"/>
    <w:rsid w:val="00B230BA"/>
    <w:rsid w:val="00B248CC"/>
    <w:rsid w:val="00B30BE0"/>
    <w:rsid w:val="00B34A81"/>
    <w:rsid w:val="00B37E95"/>
    <w:rsid w:val="00B43108"/>
    <w:rsid w:val="00B50B65"/>
    <w:rsid w:val="00B56DEB"/>
    <w:rsid w:val="00B61B2D"/>
    <w:rsid w:val="00B704DF"/>
    <w:rsid w:val="00B761A9"/>
    <w:rsid w:val="00B82CE5"/>
    <w:rsid w:val="00B845EB"/>
    <w:rsid w:val="00B920A5"/>
    <w:rsid w:val="00BA790F"/>
    <w:rsid w:val="00BB1613"/>
    <w:rsid w:val="00BB3773"/>
    <w:rsid w:val="00BB3E92"/>
    <w:rsid w:val="00BB60C5"/>
    <w:rsid w:val="00BC52D8"/>
    <w:rsid w:val="00BD1430"/>
    <w:rsid w:val="00BE761A"/>
    <w:rsid w:val="00BE7F98"/>
    <w:rsid w:val="00BF0223"/>
    <w:rsid w:val="00BF3BF0"/>
    <w:rsid w:val="00BF6954"/>
    <w:rsid w:val="00C0707E"/>
    <w:rsid w:val="00C10107"/>
    <w:rsid w:val="00C11037"/>
    <w:rsid w:val="00C20883"/>
    <w:rsid w:val="00C20F53"/>
    <w:rsid w:val="00C21729"/>
    <w:rsid w:val="00C27D84"/>
    <w:rsid w:val="00C31079"/>
    <w:rsid w:val="00C31A30"/>
    <w:rsid w:val="00C32774"/>
    <w:rsid w:val="00C37179"/>
    <w:rsid w:val="00C407A9"/>
    <w:rsid w:val="00C455EB"/>
    <w:rsid w:val="00C508A4"/>
    <w:rsid w:val="00C51EB8"/>
    <w:rsid w:val="00C62DE6"/>
    <w:rsid w:val="00C645F5"/>
    <w:rsid w:val="00C72EF1"/>
    <w:rsid w:val="00C83EC9"/>
    <w:rsid w:val="00C83F45"/>
    <w:rsid w:val="00C85E1C"/>
    <w:rsid w:val="00C87237"/>
    <w:rsid w:val="00C920C2"/>
    <w:rsid w:val="00C9793F"/>
    <w:rsid w:val="00CA1892"/>
    <w:rsid w:val="00CA24E9"/>
    <w:rsid w:val="00CA443A"/>
    <w:rsid w:val="00CA6DB5"/>
    <w:rsid w:val="00CA73C7"/>
    <w:rsid w:val="00CB1CAA"/>
    <w:rsid w:val="00CB47A3"/>
    <w:rsid w:val="00CB48BF"/>
    <w:rsid w:val="00CC3F9D"/>
    <w:rsid w:val="00CC509F"/>
    <w:rsid w:val="00CD6084"/>
    <w:rsid w:val="00CE1A01"/>
    <w:rsid w:val="00CF59B8"/>
    <w:rsid w:val="00CF5F07"/>
    <w:rsid w:val="00D01BA7"/>
    <w:rsid w:val="00D068B3"/>
    <w:rsid w:val="00D07F6A"/>
    <w:rsid w:val="00D106B4"/>
    <w:rsid w:val="00D13C16"/>
    <w:rsid w:val="00D43566"/>
    <w:rsid w:val="00D462A6"/>
    <w:rsid w:val="00D6437C"/>
    <w:rsid w:val="00D73A05"/>
    <w:rsid w:val="00D7525C"/>
    <w:rsid w:val="00D801A7"/>
    <w:rsid w:val="00D81F25"/>
    <w:rsid w:val="00D84A21"/>
    <w:rsid w:val="00D92A6A"/>
    <w:rsid w:val="00D94DD4"/>
    <w:rsid w:val="00D974B6"/>
    <w:rsid w:val="00DA2736"/>
    <w:rsid w:val="00DA2E04"/>
    <w:rsid w:val="00DB6FF8"/>
    <w:rsid w:val="00DC62BB"/>
    <w:rsid w:val="00DD01F0"/>
    <w:rsid w:val="00DD4ADA"/>
    <w:rsid w:val="00DE14AE"/>
    <w:rsid w:val="00DE2183"/>
    <w:rsid w:val="00DE21E7"/>
    <w:rsid w:val="00DE6C76"/>
    <w:rsid w:val="00DF26A5"/>
    <w:rsid w:val="00DF4408"/>
    <w:rsid w:val="00DF67BD"/>
    <w:rsid w:val="00E00261"/>
    <w:rsid w:val="00E02643"/>
    <w:rsid w:val="00E043A4"/>
    <w:rsid w:val="00E04CD0"/>
    <w:rsid w:val="00E054FF"/>
    <w:rsid w:val="00E062D5"/>
    <w:rsid w:val="00E0718B"/>
    <w:rsid w:val="00E16A51"/>
    <w:rsid w:val="00E20847"/>
    <w:rsid w:val="00E23EDE"/>
    <w:rsid w:val="00E24624"/>
    <w:rsid w:val="00E332BB"/>
    <w:rsid w:val="00E358FB"/>
    <w:rsid w:val="00E37F03"/>
    <w:rsid w:val="00E40496"/>
    <w:rsid w:val="00E46508"/>
    <w:rsid w:val="00E55F1B"/>
    <w:rsid w:val="00E62661"/>
    <w:rsid w:val="00E70654"/>
    <w:rsid w:val="00E719DA"/>
    <w:rsid w:val="00E72059"/>
    <w:rsid w:val="00E73BAF"/>
    <w:rsid w:val="00E76376"/>
    <w:rsid w:val="00E76599"/>
    <w:rsid w:val="00E8288F"/>
    <w:rsid w:val="00E84EF7"/>
    <w:rsid w:val="00E86994"/>
    <w:rsid w:val="00E903DF"/>
    <w:rsid w:val="00E93006"/>
    <w:rsid w:val="00E96059"/>
    <w:rsid w:val="00E965A8"/>
    <w:rsid w:val="00E969E5"/>
    <w:rsid w:val="00EA075D"/>
    <w:rsid w:val="00EA1BA4"/>
    <w:rsid w:val="00EB0AF9"/>
    <w:rsid w:val="00EB5204"/>
    <w:rsid w:val="00EB7343"/>
    <w:rsid w:val="00EC18C6"/>
    <w:rsid w:val="00EC2E9B"/>
    <w:rsid w:val="00ED5C38"/>
    <w:rsid w:val="00ED6366"/>
    <w:rsid w:val="00ED6420"/>
    <w:rsid w:val="00ED648E"/>
    <w:rsid w:val="00EE0129"/>
    <w:rsid w:val="00EE409B"/>
    <w:rsid w:val="00EF0159"/>
    <w:rsid w:val="00EF4E9E"/>
    <w:rsid w:val="00F05EC2"/>
    <w:rsid w:val="00F06368"/>
    <w:rsid w:val="00F109AD"/>
    <w:rsid w:val="00F12C9E"/>
    <w:rsid w:val="00F157BA"/>
    <w:rsid w:val="00F17109"/>
    <w:rsid w:val="00F23AD0"/>
    <w:rsid w:val="00F24A73"/>
    <w:rsid w:val="00F301B8"/>
    <w:rsid w:val="00F31D92"/>
    <w:rsid w:val="00F34EFA"/>
    <w:rsid w:val="00F45C4B"/>
    <w:rsid w:val="00F47812"/>
    <w:rsid w:val="00F51998"/>
    <w:rsid w:val="00F55A94"/>
    <w:rsid w:val="00F627E9"/>
    <w:rsid w:val="00F7427B"/>
    <w:rsid w:val="00F77452"/>
    <w:rsid w:val="00F81B26"/>
    <w:rsid w:val="00F83A50"/>
    <w:rsid w:val="00F85886"/>
    <w:rsid w:val="00F8623C"/>
    <w:rsid w:val="00F96D47"/>
    <w:rsid w:val="00F97CD3"/>
    <w:rsid w:val="00FB3C43"/>
    <w:rsid w:val="00FC21DC"/>
    <w:rsid w:val="00FC6071"/>
    <w:rsid w:val="00FD2EA5"/>
    <w:rsid w:val="00FD75CA"/>
    <w:rsid w:val="00FE1797"/>
    <w:rsid w:val="00FE4106"/>
    <w:rsid w:val="00FF185C"/>
    <w:rsid w:val="00FF34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0B65"/>
    <w:rPr>
      <w:sz w:val="24"/>
      <w:szCs w:val="24"/>
      <w:lang w:val="en-US" w:eastAsia="en-US"/>
    </w:rPr>
  </w:style>
  <w:style w:type="paragraph" w:styleId="berschrift1">
    <w:name w:val="heading 1"/>
    <w:basedOn w:val="Standard"/>
    <w:next w:val="Standard"/>
    <w:qFormat/>
    <w:rsid w:val="008F0DEA"/>
    <w:pPr>
      <w:keepNext/>
      <w:numPr>
        <w:numId w:val="5"/>
      </w:numPr>
      <w:outlineLvl w:val="0"/>
    </w:pPr>
    <w:rPr>
      <w:b/>
      <w:bCs/>
      <w:lang w:val="en-GB"/>
    </w:rPr>
  </w:style>
  <w:style w:type="paragraph" w:styleId="berschrift2">
    <w:name w:val="heading 2"/>
    <w:basedOn w:val="Standard"/>
    <w:next w:val="Standard"/>
    <w:qFormat/>
    <w:rsid w:val="008F0DEA"/>
    <w:pPr>
      <w:keepNext/>
      <w:numPr>
        <w:ilvl w:val="1"/>
        <w:numId w:val="5"/>
      </w:numPr>
      <w:spacing w:before="240" w:after="60"/>
      <w:outlineLvl w:val="1"/>
    </w:pPr>
    <w:rPr>
      <w:rFonts w:ascii="Arial" w:hAnsi="Arial"/>
      <w:b/>
      <w:bCs/>
      <w:i/>
      <w:iCs/>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F627E9"/>
    <w:pPr>
      <w:tabs>
        <w:tab w:val="center" w:pos="4320"/>
        <w:tab w:val="right" w:pos="8640"/>
      </w:tabs>
    </w:pPr>
  </w:style>
  <w:style w:type="paragraph" w:styleId="Fuzeile">
    <w:name w:val="footer"/>
    <w:basedOn w:val="Standard"/>
    <w:link w:val="FuzeileZchn"/>
    <w:uiPriority w:val="99"/>
    <w:rsid w:val="00F627E9"/>
    <w:pPr>
      <w:tabs>
        <w:tab w:val="center" w:pos="4320"/>
        <w:tab w:val="right" w:pos="8640"/>
      </w:tabs>
    </w:pPr>
    <w:rPr>
      <w:lang/>
    </w:rPr>
  </w:style>
  <w:style w:type="paragraph" w:styleId="Textkrper2">
    <w:name w:val="Body Text 2"/>
    <w:basedOn w:val="Standard"/>
    <w:rsid w:val="00F627E9"/>
    <w:rPr>
      <w:sz w:val="22"/>
      <w:lang w:val="en-GB"/>
    </w:rPr>
  </w:style>
  <w:style w:type="table" w:styleId="Tabellengitternetz">
    <w:name w:val="Table Grid"/>
    <w:basedOn w:val="NormaleTabelle"/>
    <w:rsid w:val="008F0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8F0DEA"/>
    <w:rPr>
      <w:sz w:val="20"/>
      <w:szCs w:val="20"/>
    </w:rPr>
  </w:style>
  <w:style w:type="character" w:styleId="Funotenzeichen">
    <w:name w:val="footnote reference"/>
    <w:semiHidden/>
    <w:rsid w:val="008F0DEA"/>
    <w:rPr>
      <w:vertAlign w:val="superscript"/>
    </w:rPr>
  </w:style>
  <w:style w:type="character" w:styleId="Seitenzahl">
    <w:name w:val="page number"/>
    <w:basedOn w:val="Absatz-Standardschriftart"/>
    <w:rsid w:val="008F0DEA"/>
  </w:style>
  <w:style w:type="paragraph" w:styleId="Titel">
    <w:name w:val="Title"/>
    <w:basedOn w:val="Standard"/>
    <w:qFormat/>
    <w:rsid w:val="00B50B65"/>
    <w:pPr>
      <w:jc w:val="center"/>
    </w:pPr>
    <w:rPr>
      <w:rFonts w:ascii="Arial" w:hAnsi="Arial" w:cs="Arial"/>
      <w:b/>
      <w:bCs/>
      <w:i/>
      <w:iCs/>
      <w:lang w:val="en-GB"/>
    </w:rPr>
  </w:style>
  <w:style w:type="paragraph" w:styleId="Textkrper">
    <w:name w:val="Body Text"/>
    <w:basedOn w:val="Standard"/>
    <w:rsid w:val="00B50B65"/>
    <w:pPr>
      <w:jc w:val="both"/>
    </w:pPr>
    <w:rPr>
      <w:lang w:val="en-GB"/>
    </w:rPr>
  </w:style>
  <w:style w:type="paragraph" w:styleId="Textkrper3">
    <w:name w:val="Body Text 3"/>
    <w:basedOn w:val="Standard"/>
    <w:rsid w:val="00B50B65"/>
    <w:pPr>
      <w:spacing w:after="120"/>
    </w:pPr>
    <w:rPr>
      <w:sz w:val="16"/>
      <w:szCs w:val="16"/>
    </w:rPr>
  </w:style>
  <w:style w:type="paragraph" w:styleId="Endnotentext">
    <w:name w:val="endnote text"/>
    <w:basedOn w:val="Standard"/>
    <w:semiHidden/>
    <w:rsid w:val="00B50B65"/>
    <w:rPr>
      <w:sz w:val="20"/>
      <w:szCs w:val="20"/>
    </w:rPr>
  </w:style>
  <w:style w:type="paragraph" w:styleId="Sprechblasentext">
    <w:name w:val="Balloon Text"/>
    <w:basedOn w:val="Standard"/>
    <w:semiHidden/>
    <w:rsid w:val="00EF0159"/>
    <w:rPr>
      <w:rFonts w:ascii="Tahoma" w:hAnsi="Tahoma" w:cs="Tahoma"/>
      <w:sz w:val="16"/>
      <w:szCs w:val="16"/>
    </w:rPr>
  </w:style>
  <w:style w:type="character" w:styleId="Kommentarzeichen">
    <w:name w:val="annotation reference"/>
    <w:semiHidden/>
    <w:rsid w:val="00FE1797"/>
    <w:rPr>
      <w:sz w:val="16"/>
      <w:szCs w:val="16"/>
    </w:rPr>
  </w:style>
  <w:style w:type="paragraph" w:styleId="Kommentartext">
    <w:name w:val="annotation text"/>
    <w:basedOn w:val="Standard"/>
    <w:semiHidden/>
    <w:rsid w:val="00FE1797"/>
    <w:rPr>
      <w:sz w:val="20"/>
      <w:szCs w:val="20"/>
    </w:rPr>
  </w:style>
  <w:style w:type="paragraph" w:styleId="Kommentarthema">
    <w:name w:val="annotation subject"/>
    <w:basedOn w:val="Kommentartext"/>
    <w:next w:val="Kommentartext"/>
    <w:semiHidden/>
    <w:rsid w:val="00FE1797"/>
    <w:rPr>
      <w:b/>
      <w:bCs/>
    </w:rPr>
  </w:style>
  <w:style w:type="character" w:styleId="Hyperlink">
    <w:name w:val="Hyperlink"/>
    <w:rsid w:val="00782849"/>
    <w:rPr>
      <w:color w:val="0000FF"/>
      <w:u w:val="single"/>
    </w:rPr>
  </w:style>
  <w:style w:type="paragraph" w:styleId="Listenabsatz">
    <w:name w:val="List Paragraph"/>
    <w:basedOn w:val="Standard"/>
    <w:uiPriority w:val="34"/>
    <w:qFormat/>
    <w:rsid w:val="00717B5E"/>
    <w:pPr>
      <w:ind w:left="720"/>
    </w:pPr>
  </w:style>
  <w:style w:type="paragraph" w:styleId="Dokumentstruktur">
    <w:name w:val="Document Map"/>
    <w:basedOn w:val="Standard"/>
    <w:semiHidden/>
    <w:rsid w:val="00230776"/>
    <w:pPr>
      <w:shd w:val="clear" w:color="auto" w:fill="000080"/>
    </w:pPr>
    <w:rPr>
      <w:rFonts w:ascii="Tahoma" w:hAnsi="Tahoma" w:cs="Tahoma"/>
    </w:rPr>
  </w:style>
  <w:style w:type="character" w:customStyle="1" w:styleId="FuzeileZchn">
    <w:name w:val="Fußzeile Zchn"/>
    <w:link w:val="Fuzeile"/>
    <w:uiPriority w:val="99"/>
    <w:rsid w:val="00C455EB"/>
    <w:rPr>
      <w:sz w:val="24"/>
      <w:szCs w:val="24"/>
    </w:rPr>
  </w:style>
</w:styles>
</file>

<file path=word/webSettings.xml><?xml version="1.0" encoding="utf-8"?>
<w:webSettings xmlns:r="http://schemas.openxmlformats.org/officeDocument/2006/relationships" xmlns:w="http://schemas.openxmlformats.org/wordprocessingml/2006/main">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ow.wetlands.org/informationflyway/criticalsitenetworktool/tabid/1349/language/en-US/Default.asp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OP4\DOCUMENTS\doc1_templat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doc1_template</Template>
  <TotalTime>0</TotalTime>
  <Pages>16</Pages>
  <Words>5305</Words>
  <Characters>33423</Characters>
  <Application>Microsoft Office Word</Application>
  <DocSecurity>0</DocSecurity>
  <Lines>278</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38651</CharactersWithSpaces>
  <SharedDoc>false</SharedDoc>
  <HLinks>
    <vt:vector size="6" baseType="variant">
      <vt:variant>
        <vt:i4>4325446</vt:i4>
      </vt:variant>
      <vt:variant>
        <vt:i4>0</vt:i4>
      </vt:variant>
      <vt:variant>
        <vt:i4>0</vt:i4>
      </vt:variant>
      <vt:variant>
        <vt:i4>5</vt:i4>
      </vt:variant>
      <vt:variant>
        <vt:lpwstr>http://wow.wetlands.org/informationflyway/criticalsitenetworktool/tabid/1349/language/en-US/Default.aspx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aewa_mtk</cp:lastModifiedBy>
  <cp:revision>2</cp:revision>
  <cp:lastPrinted>2012-04-11T09:40:00Z</cp:lastPrinted>
  <dcterms:created xsi:type="dcterms:W3CDTF">2012-05-10T19:56:00Z</dcterms:created>
  <dcterms:modified xsi:type="dcterms:W3CDTF">2012-05-10T19:56:00Z</dcterms:modified>
</cp:coreProperties>
</file>