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D89" w:rsidRPr="001331B4" w:rsidRDefault="00FD1D89" w:rsidP="0087707B">
      <w:pPr>
        <w:ind w:left="-240"/>
        <w:jc w:val="center"/>
        <w:rPr>
          <w:rStyle w:val="Emphasis"/>
        </w:rPr>
      </w:pPr>
      <w:bookmarkStart w:id="0" w:name="_GoBack"/>
      <w:bookmarkEnd w:id="0"/>
    </w:p>
    <w:p w:rsidR="00FD1D89" w:rsidRPr="00722894" w:rsidRDefault="00FD1D89" w:rsidP="00FA6D32">
      <w:pPr>
        <w:jc w:val="center"/>
        <w:rPr>
          <w:b/>
          <w:bCs/>
          <w:lang w:val="fr-FR"/>
        </w:rPr>
      </w:pPr>
      <w:r w:rsidRPr="00722894">
        <w:rPr>
          <w:b/>
          <w:bCs/>
          <w:lang w:val="fr-FR"/>
        </w:rPr>
        <w:t xml:space="preserve">RAPPORT  SUR LA MISE EN ŒUVRE </w:t>
      </w:r>
      <w:r w:rsidR="0044190E">
        <w:rPr>
          <w:b/>
          <w:bCs/>
          <w:lang w:val="fr-FR"/>
        </w:rPr>
        <w:t xml:space="preserve">ET LA RÉVISION </w:t>
      </w:r>
      <w:r w:rsidRPr="00722894">
        <w:rPr>
          <w:b/>
          <w:bCs/>
          <w:lang w:val="fr-FR"/>
        </w:rPr>
        <w:t xml:space="preserve">DE LA   </w:t>
      </w:r>
    </w:p>
    <w:p w:rsidR="00FD1D89" w:rsidRPr="00722894" w:rsidRDefault="00FD1D89" w:rsidP="00FA6D32">
      <w:pPr>
        <w:jc w:val="center"/>
        <w:rPr>
          <w:b/>
          <w:bCs/>
          <w:lang w:val="fr-FR"/>
        </w:rPr>
      </w:pPr>
      <w:r w:rsidRPr="00722894">
        <w:rPr>
          <w:b/>
          <w:bCs/>
          <w:lang w:val="fr-FR"/>
        </w:rPr>
        <w:t xml:space="preserve">STRATÉGIE DE COMMUNICATION </w:t>
      </w:r>
    </w:p>
    <w:p w:rsidR="00FD1D89" w:rsidRPr="00722894" w:rsidRDefault="00FD1D89" w:rsidP="00FA6D32">
      <w:pPr>
        <w:jc w:val="center"/>
        <w:rPr>
          <w:b/>
          <w:bCs/>
          <w:sz w:val="28"/>
          <w:szCs w:val="28"/>
          <w:lang w:val="fr-FR"/>
        </w:rPr>
      </w:pPr>
    </w:p>
    <w:p w:rsidR="00FD1D89" w:rsidRPr="00722894" w:rsidRDefault="00FD1D89" w:rsidP="00FA6D32">
      <w:pPr>
        <w:jc w:val="center"/>
        <w:rPr>
          <w:i/>
          <w:iCs/>
          <w:sz w:val="28"/>
          <w:szCs w:val="28"/>
          <w:lang w:val="fr-FR"/>
        </w:rPr>
      </w:pPr>
      <w:r w:rsidRPr="00722894">
        <w:rPr>
          <w:i/>
          <w:iCs/>
          <w:lang w:val="fr-FR"/>
        </w:rPr>
        <w:t>Préparé par le Secrétariat PNUE/AEWA</w:t>
      </w:r>
    </w:p>
    <w:p w:rsidR="004B7125" w:rsidRDefault="004B7125" w:rsidP="004B7125">
      <w:pPr>
        <w:jc w:val="center"/>
        <w:rPr>
          <w:b/>
          <w:bCs/>
          <w:lang w:val="fr-FR"/>
        </w:rPr>
      </w:pPr>
    </w:p>
    <w:p w:rsidR="004B7125" w:rsidRDefault="004B7125" w:rsidP="004B7125">
      <w:pPr>
        <w:jc w:val="center"/>
        <w:rPr>
          <w:b/>
          <w:bCs/>
          <w:lang w:val="fr-FR"/>
        </w:rPr>
      </w:pPr>
    </w:p>
    <w:p w:rsidR="004B7125" w:rsidRPr="00562ED2" w:rsidRDefault="004B7125" w:rsidP="004B7125">
      <w:pPr>
        <w:jc w:val="center"/>
        <w:rPr>
          <w:b/>
          <w:bCs/>
          <w:lang w:val="fr-FR"/>
        </w:rPr>
      </w:pPr>
      <w:r w:rsidRPr="00F060C6">
        <w:rPr>
          <w:b/>
          <w:bCs/>
          <w:lang w:val="fr-FR"/>
        </w:rPr>
        <w:t>RÉSUMÉ ANALYTIQUE</w:t>
      </w:r>
    </w:p>
    <w:p w:rsidR="004B7125" w:rsidRPr="00562ED2" w:rsidRDefault="004B7125" w:rsidP="004B7125">
      <w:pPr>
        <w:jc w:val="center"/>
        <w:rPr>
          <w:b/>
          <w:bCs/>
          <w:lang w:val="fr-FR"/>
        </w:rPr>
      </w:pPr>
    </w:p>
    <w:p w:rsidR="004B7125" w:rsidRPr="00562ED2" w:rsidRDefault="004B7125" w:rsidP="004B7125">
      <w:pPr>
        <w:ind w:left="284" w:right="306"/>
        <w:jc w:val="both"/>
        <w:rPr>
          <w:sz w:val="22"/>
          <w:szCs w:val="22"/>
          <w:lang w:val="fr-FR"/>
        </w:rPr>
      </w:pPr>
      <w:r w:rsidRPr="002C7A3D">
        <w:rPr>
          <w:sz w:val="22"/>
          <w:szCs w:val="22"/>
          <w:lang w:val="fr-FR"/>
        </w:rPr>
        <w:t>Avec l’adoption de la Résolution 3.10 par</w:t>
      </w:r>
      <w:r>
        <w:rPr>
          <w:sz w:val="22"/>
          <w:szCs w:val="22"/>
          <w:lang w:val="fr-FR"/>
        </w:rPr>
        <w:t xml:space="preserve"> la MOP3 à Dakar, Sénégal, en o</w:t>
      </w:r>
      <w:r w:rsidRPr="002C7A3D">
        <w:rPr>
          <w:sz w:val="22"/>
          <w:szCs w:val="22"/>
          <w:lang w:val="fr-FR"/>
        </w:rPr>
        <w:t>ctobre 2005, les Parties  à l’AEWA ont clairement reconnu l’importance de la communication en tant qu’élément central et sous-jacent pour la mise en œuvre de l’Accord.</w:t>
      </w:r>
      <w:r w:rsidRPr="00562ED2">
        <w:rPr>
          <w:sz w:val="22"/>
          <w:szCs w:val="22"/>
          <w:lang w:val="fr-FR"/>
        </w:rPr>
        <w:t xml:space="preserve"> </w:t>
      </w:r>
      <w:r w:rsidRPr="00FF1858">
        <w:rPr>
          <w:sz w:val="22"/>
          <w:szCs w:val="22"/>
          <w:lang w:val="fr-FR"/>
        </w:rPr>
        <w:t>Avec la Résolution 3.10, les Parties contractantes ont également adopté une Stratégie de communication pour l’Accord et souligné que sa mise en œuvre devrait être une responsabilité partagée, notamment par les Parties contractantes et le Secrétariat de l’Accord.</w:t>
      </w:r>
      <w:r w:rsidRPr="00562ED2">
        <w:rPr>
          <w:sz w:val="22"/>
          <w:szCs w:val="22"/>
          <w:lang w:val="fr-FR"/>
        </w:rPr>
        <w:t xml:space="preserve"> </w:t>
      </w:r>
    </w:p>
    <w:p w:rsidR="004B7125" w:rsidRPr="00562ED2" w:rsidRDefault="004B7125" w:rsidP="004B7125">
      <w:pPr>
        <w:ind w:left="284" w:right="306"/>
        <w:jc w:val="both"/>
        <w:rPr>
          <w:sz w:val="22"/>
          <w:szCs w:val="22"/>
          <w:lang w:val="fr-FR"/>
        </w:rPr>
      </w:pPr>
    </w:p>
    <w:p w:rsidR="004B7125" w:rsidRPr="00562ED2" w:rsidRDefault="004B7125" w:rsidP="004B7125">
      <w:pPr>
        <w:ind w:left="284" w:right="306"/>
        <w:jc w:val="both"/>
        <w:rPr>
          <w:sz w:val="22"/>
          <w:szCs w:val="22"/>
          <w:lang w:val="fr-FR"/>
        </w:rPr>
      </w:pPr>
      <w:r>
        <w:rPr>
          <w:sz w:val="22"/>
          <w:szCs w:val="22"/>
          <w:lang w:val="fr-FR"/>
        </w:rPr>
        <w:t>Selon le point de vue</w:t>
      </w:r>
      <w:r w:rsidRPr="000D7552">
        <w:rPr>
          <w:sz w:val="22"/>
          <w:szCs w:val="22"/>
          <w:lang w:val="fr-FR"/>
        </w:rPr>
        <w:t xml:space="preserve"> du Secrétariat, la Stratégie de communication a prouvé qu’elle était un outil utile qui l’a guidé dans ses activités de communication et l’a clairement aidé à trouver et à définir son rôle en tant que facilitateur de processus – en tant « qu’araignée dans la toile » de la conservation par la voie de migration pour la région d’Afrique-Eurasie depuis la MOP3.</w:t>
      </w:r>
      <w:r w:rsidRPr="00562ED2">
        <w:rPr>
          <w:sz w:val="22"/>
          <w:szCs w:val="22"/>
          <w:lang w:val="fr-FR"/>
        </w:rPr>
        <w:t xml:space="preserve"> </w:t>
      </w:r>
    </w:p>
    <w:p w:rsidR="004B7125" w:rsidRPr="00562ED2" w:rsidRDefault="004B7125" w:rsidP="004B7125">
      <w:pPr>
        <w:ind w:left="284" w:right="306"/>
        <w:jc w:val="both"/>
        <w:rPr>
          <w:sz w:val="22"/>
          <w:szCs w:val="22"/>
          <w:lang w:val="fr-FR"/>
        </w:rPr>
      </w:pPr>
    </w:p>
    <w:p w:rsidR="004B7125" w:rsidRPr="00562ED2" w:rsidRDefault="004B7125" w:rsidP="004B7125">
      <w:pPr>
        <w:ind w:left="284" w:right="306"/>
        <w:jc w:val="both"/>
        <w:rPr>
          <w:sz w:val="22"/>
          <w:szCs w:val="22"/>
          <w:lang w:val="fr-FR"/>
        </w:rPr>
      </w:pPr>
      <w:r w:rsidRPr="00FE48D6">
        <w:rPr>
          <w:sz w:val="22"/>
          <w:szCs w:val="22"/>
          <w:lang w:val="fr-FR"/>
        </w:rPr>
        <w:t>La Stratégie de communication contient en pièce jointe un Plan d'action pour la communication pour la période 2006-2009, qui comprend un volet ambitieux d’activités devant être entièrement financées par le biais de contributions volontaires.</w:t>
      </w:r>
      <w:r w:rsidRPr="00562ED2">
        <w:rPr>
          <w:sz w:val="22"/>
          <w:szCs w:val="22"/>
          <w:lang w:val="fr-FR"/>
        </w:rPr>
        <w:t xml:space="preserve"> </w:t>
      </w:r>
      <w:r w:rsidRPr="004C7E00">
        <w:rPr>
          <w:sz w:val="22"/>
          <w:szCs w:val="22"/>
          <w:lang w:val="fr-FR"/>
        </w:rPr>
        <w:t>Toutefois, en regardant en arrière, un nombre très limité de ces activités ont pu être entreprises entre 2006 et 2009 en raison d’un manque de ressources</w:t>
      </w:r>
      <w:r>
        <w:rPr>
          <w:sz w:val="22"/>
          <w:szCs w:val="22"/>
          <w:lang w:val="fr-FR"/>
        </w:rPr>
        <w:t>,</w:t>
      </w:r>
      <w:r w:rsidRPr="004C7E00">
        <w:rPr>
          <w:sz w:val="22"/>
          <w:szCs w:val="22"/>
          <w:lang w:val="fr-FR"/>
        </w:rPr>
        <w:t xml:space="preserve"> et celles qui ont été mises en œuvre l’ont été en premier lieu sur la base du temp</w:t>
      </w:r>
      <w:r>
        <w:rPr>
          <w:sz w:val="22"/>
          <w:szCs w:val="22"/>
          <w:lang w:val="fr-FR"/>
        </w:rPr>
        <w:t>s</w:t>
      </w:r>
      <w:r w:rsidRPr="004C7E00">
        <w:rPr>
          <w:sz w:val="22"/>
          <w:szCs w:val="22"/>
          <w:lang w:val="fr-FR"/>
        </w:rPr>
        <w:t xml:space="preserve"> alloué par l’équipe du Secrétariat et ne dépendaient pas directement d’un financement supplémentaire.</w:t>
      </w:r>
      <w:r w:rsidRPr="00562ED2">
        <w:rPr>
          <w:sz w:val="22"/>
          <w:szCs w:val="22"/>
          <w:lang w:val="fr-FR"/>
        </w:rPr>
        <w:t xml:space="preserve"> </w:t>
      </w:r>
      <w:r w:rsidRPr="007C719A">
        <w:rPr>
          <w:sz w:val="22"/>
          <w:szCs w:val="22"/>
          <w:lang w:val="fr-FR"/>
        </w:rPr>
        <w:t xml:space="preserve">Durant la période allant de 2006 à 2010, le Secrétariat s’est consacré en premier lieu </w:t>
      </w:r>
      <w:r>
        <w:rPr>
          <w:sz w:val="22"/>
          <w:szCs w:val="22"/>
          <w:lang w:val="fr-FR"/>
        </w:rPr>
        <w:t>à</w:t>
      </w:r>
      <w:r>
        <w:rPr>
          <w:sz w:val="22"/>
          <w:szCs w:val="22"/>
          <w:lang w:val="fr-FR"/>
        </w:rPr>
        <w:tab/>
      </w:r>
      <w:r w:rsidRPr="007C719A">
        <w:rPr>
          <w:sz w:val="22"/>
          <w:szCs w:val="22"/>
          <w:lang w:val="fr-FR"/>
        </w:rPr>
        <w:t xml:space="preserve">la mise en œuvre </w:t>
      </w:r>
      <w:r w:rsidRPr="00A96FB4">
        <w:rPr>
          <w:sz w:val="22"/>
          <w:szCs w:val="22"/>
          <w:lang w:val="fr-FR"/>
        </w:rPr>
        <w:t>et la réunion de fonds</w:t>
      </w:r>
      <w:r w:rsidRPr="007C719A">
        <w:rPr>
          <w:sz w:val="22"/>
          <w:szCs w:val="22"/>
          <w:lang w:val="fr-FR"/>
        </w:rPr>
        <w:t xml:space="preserve"> pour le Projet </w:t>
      </w:r>
      <w:proofErr w:type="spellStart"/>
      <w:r w:rsidRPr="007C719A">
        <w:rPr>
          <w:sz w:val="22"/>
          <w:szCs w:val="22"/>
          <w:lang w:val="fr-FR"/>
        </w:rPr>
        <w:t>Wings</w:t>
      </w:r>
      <w:proofErr w:type="spellEnd"/>
      <w:r w:rsidRPr="007C719A">
        <w:rPr>
          <w:sz w:val="22"/>
          <w:szCs w:val="22"/>
          <w:lang w:val="fr-FR"/>
        </w:rPr>
        <w:t xml:space="preserve"> Over </w:t>
      </w:r>
      <w:proofErr w:type="spellStart"/>
      <w:r w:rsidRPr="007C719A">
        <w:rPr>
          <w:sz w:val="22"/>
          <w:szCs w:val="22"/>
          <w:lang w:val="fr-FR"/>
        </w:rPr>
        <w:t>Wetlands</w:t>
      </w:r>
      <w:proofErr w:type="spellEnd"/>
      <w:r w:rsidRPr="007C719A">
        <w:rPr>
          <w:sz w:val="22"/>
          <w:szCs w:val="22"/>
          <w:lang w:val="fr-FR"/>
        </w:rPr>
        <w:t xml:space="preserve"> (WOW) du PNUE-FEM sur les voies de migration d'Afrique-Eurasie.</w:t>
      </w:r>
      <w:r w:rsidRPr="00562ED2">
        <w:rPr>
          <w:sz w:val="22"/>
          <w:szCs w:val="22"/>
          <w:lang w:val="fr-FR"/>
        </w:rPr>
        <w:t xml:space="preserve"> </w:t>
      </w:r>
    </w:p>
    <w:p w:rsidR="004B7125" w:rsidRPr="00562ED2" w:rsidRDefault="004B7125" w:rsidP="004B7125">
      <w:pPr>
        <w:ind w:left="284" w:right="306"/>
        <w:jc w:val="both"/>
        <w:rPr>
          <w:sz w:val="22"/>
          <w:szCs w:val="22"/>
          <w:lang w:val="fr-FR"/>
        </w:rPr>
      </w:pPr>
      <w:r>
        <w:rPr>
          <w:sz w:val="22"/>
          <w:szCs w:val="22"/>
          <w:lang w:val="fr-FR"/>
        </w:rPr>
        <w:t>En outre</w:t>
      </w:r>
      <w:r w:rsidRPr="007C719A">
        <w:rPr>
          <w:sz w:val="22"/>
          <w:szCs w:val="22"/>
          <w:lang w:val="fr-FR"/>
        </w:rPr>
        <w:t xml:space="preserve">, </w:t>
      </w:r>
      <w:r>
        <w:rPr>
          <w:sz w:val="22"/>
          <w:szCs w:val="22"/>
          <w:lang w:val="fr-FR"/>
        </w:rPr>
        <w:t>l’</w:t>
      </w:r>
      <w:r w:rsidRPr="007C719A">
        <w:rPr>
          <w:sz w:val="22"/>
          <w:szCs w:val="22"/>
          <w:lang w:val="fr-FR"/>
        </w:rPr>
        <w:t xml:space="preserve">adoption </w:t>
      </w:r>
      <w:r>
        <w:rPr>
          <w:sz w:val="22"/>
          <w:szCs w:val="22"/>
          <w:lang w:val="fr-FR"/>
        </w:rPr>
        <w:t xml:space="preserve">du Plan stratégique </w:t>
      </w:r>
      <w:r w:rsidRPr="007C719A">
        <w:rPr>
          <w:sz w:val="22"/>
          <w:szCs w:val="22"/>
          <w:lang w:val="fr-FR"/>
        </w:rPr>
        <w:t xml:space="preserve">2009 </w:t>
      </w:r>
      <w:r>
        <w:rPr>
          <w:sz w:val="22"/>
          <w:szCs w:val="22"/>
          <w:lang w:val="fr-FR"/>
        </w:rPr>
        <w:t>–</w:t>
      </w:r>
      <w:r w:rsidRPr="007C719A">
        <w:rPr>
          <w:sz w:val="22"/>
          <w:szCs w:val="22"/>
          <w:lang w:val="fr-FR"/>
        </w:rPr>
        <w:t xml:space="preserve"> 2017</w:t>
      </w:r>
      <w:r>
        <w:rPr>
          <w:sz w:val="22"/>
          <w:szCs w:val="22"/>
          <w:lang w:val="fr-FR"/>
        </w:rPr>
        <w:t xml:space="preserve"> de l’AEWA</w:t>
      </w:r>
      <w:r w:rsidRPr="007C719A">
        <w:rPr>
          <w:sz w:val="22"/>
          <w:szCs w:val="22"/>
          <w:lang w:val="fr-FR"/>
        </w:rPr>
        <w:t xml:space="preserve">, </w:t>
      </w:r>
      <w:r>
        <w:rPr>
          <w:sz w:val="22"/>
          <w:szCs w:val="22"/>
          <w:lang w:val="fr-FR"/>
        </w:rPr>
        <w:t>l’</w:t>
      </w:r>
      <w:r w:rsidRPr="007C719A">
        <w:rPr>
          <w:sz w:val="22"/>
          <w:szCs w:val="22"/>
          <w:lang w:val="fr-FR"/>
        </w:rPr>
        <w:t xml:space="preserve">Initiative </w:t>
      </w:r>
      <w:r>
        <w:rPr>
          <w:sz w:val="22"/>
          <w:szCs w:val="22"/>
          <w:lang w:val="fr-FR"/>
        </w:rPr>
        <w:t>africaine de même que le développement de la Journée Mondiale</w:t>
      </w:r>
      <w:r w:rsidR="0044190E">
        <w:rPr>
          <w:sz w:val="22"/>
          <w:szCs w:val="22"/>
          <w:lang w:val="fr-FR"/>
        </w:rPr>
        <w:t xml:space="preserve"> des Oiseaux M</w:t>
      </w:r>
      <w:r>
        <w:rPr>
          <w:sz w:val="22"/>
          <w:szCs w:val="22"/>
          <w:lang w:val="fr-FR"/>
        </w:rPr>
        <w:t>igrateurs</w:t>
      </w:r>
      <w:r w:rsidR="0044190E">
        <w:rPr>
          <w:sz w:val="22"/>
          <w:szCs w:val="22"/>
          <w:lang w:val="fr-FR"/>
        </w:rPr>
        <w:t xml:space="preserve"> (JMOM</w:t>
      </w:r>
      <w:r w:rsidRPr="007C719A">
        <w:rPr>
          <w:sz w:val="22"/>
          <w:szCs w:val="22"/>
          <w:lang w:val="fr-FR"/>
        </w:rPr>
        <w:t>)</w:t>
      </w:r>
      <w:r>
        <w:rPr>
          <w:sz w:val="22"/>
          <w:szCs w:val="22"/>
          <w:lang w:val="fr-FR"/>
        </w:rPr>
        <w:t xml:space="preserve"> en campagne internationale ont toutes eu lieu après l’</w:t>
      </w:r>
      <w:r w:rsidRPr="007C719A">
        <w:rPr>
          <w:sz w:val="22"/>
          <w:szCs w:val="22"/>
          <w:lang w:val="fr-FR"/>
        </w:rPr>
        <w:t xml:space="preserve">adoption </w:t>
      </w:r>
      <w:r>
        <w:rPr>
          <w:sz w:val="22"/>
          <w:szCs w:val="22"/>
          <w:lang w:val="fr-FR"/>
        </w:rPr>
        <w:t>de la Stratégie de communication</w:t>
      </w:r>
      <w:r w:rsidRPr="007C719A">
        <w:rPr>
          <w:sz w:val="22"/>
          <w:szCs w:val="22"/>
          <w:lang w:val="fr-FR"/>
        </w:rPr>
        <w:t>.</w:t>
      </w:r>
    </w:p>
    <w:p w:rsidR="004B7125" w:rsidRPr="00562ED2" w:rsidRDefault="004B7125" w:rsidP="004B7125">
      <w:pPr>
        <w:ind w:left="284" w:right="306"/>
        <w:jc w:val="both"/>
        <w:rPr>
          <w:sz w:val="22"/>
          <w:szCs w:val="22"/>
          <w:lang w:val="fr-FR"/>
        </w:rPr>
      </w:pPr>
    </w:p>
    <w:p w:rsidR="004B7125" w:rsidRDefault="004B7125" w:rsidP="004B7125">
      <w:pPr>
        <w:ind w:left="284" w:right="306"/>
        <w:jc w:val="both"/>
        <w:rPr>
          <w:sz w:val="22"/>
          <w:szCs w:val="22"/>
          <w:lang w:val="fr-FR"/>
        </w:rPr>
        <w:sectPr w:rsidR="004B7125" w:rsidSect="004B7125">
          <w:footerReference w:type="default" r:id="rId8"/>
          <w:headerReference w:type="first" r:id="rId9"/>
          <w:footerReference w:type="first" r:id="rId10"/>
          <w:pgSz w:w="11907" w:h="16840" w:code="9"/>
          <w:pgMar w:top="1021" w:right="1134" w:bottom="851" w:left="1134" w:header="709" w:footer="709" w:gutter="0"/>
          <w:pgNumType w:start="1"/>
          <w:cols w:space="708"/>
          <w:titlePg/>
          <w:docGrid w:linePitch="360"/>
        </w:sectPr>
      </w:pPr>
      <w:r w:rsidRPr="00AA21C6">
        <w:rPr>
          <w:sz w:val="22"/>
          <w:szCs w:val="22"/>
          <w:lang w:val="fr-FR"/>
        </w:rPr>
        <w:t xml:space="preserve">Les Parties contractantes sont invitées à réfléchir </w:t>
      </w:r>
      <w:r>
        <w:rPr>
          <w:sz w:val="22"/>
          <w:szCs w:val="22"/>
          <w:lang w:val="fr-FR"/>
        </w:rPr>
        <w:t>au démarrage</w:t>
      </w:r>
      <w:r w:rsidRPr="00AA21C6">
        <w:rPr>
          <w:sz w:val="22"/>
          <w:szCs w:val="22"/>
          <w:lang w:val="fr-FR"/>
        </w:rPr>
        <w:t xml:space="preserve"> d’un processus de révision coordonné pour la Stratégie de communication existante lors de la MOP5, processus qui alignerait la Stratégie sur les objectifs et activités du Plan Stratégique 2009–2017 tel qu’adopté par la Résolution 4.7, le Plan d’action pour l’Afrique s’il est adopté, et d’intégrer et tirer pleinement avantage des initiatives et outils existants tels que la campagne de </w:t>
      </w:r>
      <w:smartTag w:uri="urn:schemas-microsoft-com:office:smarttags" w:element="PersonName">
        <w:smartTagPr>
          <w:attr w:name="ProductID" w:val="la Journée Mondiale"/>
        </w:smartTagPr>
        <w:r w:rsidRPr="00AA21C6">
          <w:rPr>
            <w:sz w:val="22"/>
            <w:szCs w:val="22"/>
            <w:lang w:val="fr-FR"/>
          </w:rPr>
          <w:t>la Journée Mondiale</w:t>
        </w:r>
      </w:smartTag>
      <w:r w:rsidRPr="00AA21C6">
        <w:rPr>
          <w:sz w:val="22"/>
          <w:szCs w:val="22"/>
          <w:lang w:val="fr-FR"/>
        </w:rPr>
        <w:t xml:space="preserve"> des Oiseaux Migrateurs (JMOM) et les résultats liés à la communication et au renforcement des capacités du Projet </w:t>
      </w:r>
      <w:proofErr w:type="spellStart"/>
      <w:r w:rsidRPr="00AA21C6">
        <w:rPr>
          <w:sz w:val="22"/>
          <w:szCs w:val="22"/>
          <w:lang w:val="fr-FR"/>
        </w:rPr>
        <w:t>Wings</w:t>
      </w:r>
      <w:proofErr w:type="spellEnd"/>
      <w:r w:rsidRPr="00AA21C6">
        <w:rPr>
          <w:sz w:val="22"/>
          <w:szCs w:val="22"/>
          <w:lang w:val="fr-FR"/>
        </w:rPr>
        <w:t xml:space="preserve"> Over </w:t>
      </w:r>
      <w:proofErr w:type="spellStart"/>
      <w:r w:rsidRPr="00AA21C6">
        <w:rPr>
          <w:sz w:val="22"/>
          <w:szCs w:val="22"/>
          <w:lang w:val="fr-FR"/>
        </w:rPr>
        <w:t>Wetlands</w:t>
      </w:r>
      <w:proofErr w:type="spellEnd"/>
      <w:r w:rsidRPr="00AA21C6">
        <w:rPr>
          <w:sz w:val="22"/>
          <w:szCs w:val="22"/>
          <w:lang w:val="fr-FR"/>
        </w:rPr>
        <w:t xml:space="preserve"> (WOW) du PNUE-FEM sur les voies de migration d'Afrique-Eurasie .</w:t>
      </w:r>
      <w:r w:rsidRPr="00562ED2">
        <w:rPr>
          <w:sz w:val="22"/>
          <w:szCs w:val="22"/>
          <w:lang w:val="fr-FR"/>
        </w:rPr>
        <w:t xml:space="preserve"> </w:t>
      </w:r>
      <w:r w:rsidRPr="00AA21C6">
        <w:rPr>
          <w:sz w:val="22"/>
          <w:szCs w:val="22"/>
          <w:lang w:val="fr-FR"/>
        </w:rPr>
        <w:t>En outre, le Secrétariat a le sentiment que la future mise en œuvre de la Stratégie de communication ainsi que sa révision pourraient être mieux soutenues, par le biais de l’établissement d’un groupe d’experts de CEPA au sein du Comité technique, de la nomination de correspondants nationaux CEPA, et de l’allocation de davantage de fonds spécifiquement réservés à la mise en œuvre de la Stratégie de communication.</w:t>
      </w:r>
    </w:p>
    <w:p w:rsidR="004B7125" w:rsidRPr="00562ED2" w:rsidRDefault="004B7125" w:rsidP="004B7125">
      <w:pPr>
        <w:ind w:left="284" w:right="306"/>
        <w:jc w:val="both"/>
        <w:rPr>
          <w:sz w:val="22"/>
          <w:szCs w:val="22"/>
          <w:lang w:val="fr-FR"/>
        </w:rPr>
      </w:pPr>
    </w:p>
    <w:p w:rsidR="00FD1D89" w:rsidRDefault="001331B4" w:rsidP="00FA6D32">
      <w:pPr>
        <w:jc w:val="both"/>
        <w:rPr>
          <w:b/>
          <w:bCs/>
          <w:lang w:val="fr-FR"/>
        </w:rPr>
      </w:pPr>
      <w:r>
        <w:rPr>
          <w:b/>
          <w:bCs/>
          <w:lang w:val="fr-FR"/>
        </w:rPr>
        <w:t>I</w:t>
      </w:r>
      <w:r w:rsidR="00FD1D89" w:rsidRPr="00722894">
        <w:rPr>
          <w:b/>
          <w:bCs/>
          <w:lang w:val="fr-FR"/>
        </w:rPr>
        <w:t>. Introduction</w:t>
      </w:r>
    </w:p>
    <w:p w:rsidR="004B7125" w:rsidRPr="00722894" w:rsidRDefault="004B7125" w:rsidP="00FA6D32">
      <w:pPr>
        <w:jc w:val="both"/>
        <w:rPr>
          <w:b/>
          <w:bCs/>
          <w:lang w:val="fr-FR"/>
        </w:rPr>
      </w:pPr>
    </w:p>
    <w:p w:rsidR="00FD1D89" w:rsidRPr="00722894" w:rsidRDefault="00FD1D89" w:rsidP="00FA6D32">
      <w:pPr>
        <w:jc w:val="both"/>
        <w:rPr>
          <w:sz w:val="22"/>
          <w:szCs w:val="22"/>
          <w:lang w:val="fr-FR"/>
        </w:rPr>
      </w:pPr>
      <w:r w:rsidRPr="00722894">
        <w:rPr>
          <w:sz w:val="22"/>
          <w:szCs w:val="22"/>
          <w:lang w:val="fr-FR"/>
        </w:rPr>
        <w:t xml:space="preserve">1. </w:t>
      </w:r>
      <w:r w:rsidRPr="00722894">
        <w:rPr>
          <w:sz w:val="22"/>
          <w:szCs w:val="22"/>
          <w:lang w:val="fr-FR"/>
        </w:rPr>
        <w:tab/>
        <w:t xml:space="preserve">Lors de sa troisième session, qui a eu lieu du 23 au 27 octobre 2005 à Dakar, Sénégal, la Réunion des Parties a adopté la Stratégie de communication de l’AEWA sous la </w:t>
      </w:r>
      <w:r w:rsidRPr="00722894">
        <w:rPr>
          <w:b/>
          <w:bCs/>
          <w:sz w:val="22"/>
          <w:szCs w:val="22"/>
          <w:lang w:val="fr-FR"/>
        </w:rPr>
        <w:t>Résolution 3.10</w:t>
      </w:r>
      <w:r w:rsidRPr="00722894">
        <w:rPr>
          <w:sz w:val="22"/>
          <w:szCs w:val="22"/>
          <w:lang w:val="fr-FR"/>
        </w:rPr>
        <w:t xml:space="preserve">. </w:t>
      </w:r>
    </w:p>
    <w:p w:rsidR="00FD1D89" w:rsidRPr="00722894" w:rsidRDefault="00FD1D89" w:rsidP="00FA6D32">
      <w:pPr>
        <w:jc w:val="both"/>
        <w:rPr>
          <w:sz w:val="22"/>
          <w:szCs w:val="22"/>
          <w:lang w:val="fr-FR"/>
        </w:rPr>
      </w:pPr>
    </w:p>
    <w:p w:rsidR="00FD1D89" w:rsidRPr="00722894" w:rsidRDefault="00FD1D89" w:rsidP="00FA6D32">
      <w:pPr>
        <w:jc w:val="both"/>
        <w:rPr>
          <w:sz w:val="22"/>
          <w:szCs w:val="22"/>
          <w:lang w:val="fr-FR"/>
        </w:rPr>
      </w:pPr>
      <w:r w:rsidRPr="00722894">
        <w:rPr>
          <w:sz w:val="22"/>
          <w:szCs w:val="22"/>
          <w:lang w:val="fr-FR"/>
        </w:rPr>
        <w:t>Comme établi dans cette Résolution, la Réunion des Parties :</w:t>
      </w:r>
    </w:p>
    <w:p w:rsidR="00FD1D89" w:rsidRPr="00722894" w:rsidRDefault="00FD1D89" w:rsidP="00FA6D32">
      <w:pPr>
        <w:jc w:val="both"/>
        <w:rPr>
          <w:sz w:val="22"/>
          <w:szCs w:val="22"/>
          <w:lang w:val="fr-FR"/>
        </w:rPr>
      </w:pPr>
    </w:p>
    <w:p w:rsidR="00FD1D89" w:rsidRPr="00722894" w:rsidRDefault="00FD1D89" w:rsidP="00FA6D32">
      <w:pPr>
        <w:numPr>
          <w:ilvl w:val="0"/>
          <w:numId w:val="32"/>
        </w:numPr>
        <w:jc w:val="both"/>
        <w:rPr>
          <w:sz w:val="22"/>
          <w:szCs w:val="22"/>
          <w:lang w:val="fr-FR"/>
        </w:rPr>
      </w:pPr>
      <w:r w:rsidRPr="00722894">
        <w:rPr>
          <w:i/>
          <w:sz w:val="22"/>
          <w:szCs w:val="22"/>
          <w:lang w:val="fr-FR"/>
        </w:rPr>
        <w:t>Adopte</w:t>
      </w:r>
      <w:r w:rsidRPr="00722894">
        <w:rPr>
          <w:sz w:val="22"/>
          <w:szCs w:val="22"/>
          <w:lang w:val="fr-FR"/>
        </w:rPr>
        <w:t xml:space="preserve"> la Stratégie de communication contenue en Annexe I à </w:t>
      </w:r>
      <w:smartTag w:uri="urn:schemas-microsoft-com:office:smarttags" w:element="PersonName">
        <w:smartTagPr>
          <w:attr w:name="ProductID" w:val="la Journée Mondiale"/>
        </w:smartTagPr>
        <w:r w:rsidRPr="00722894">
          <w:rPr>
            <w:sz w:val="22"/>
            <w:szCs w:val="22"/>
            <w:lang w:val="fr-FR"/>
          </w:rPr>
          <w:t>la présente Résolution</w:t>
        </w:r>
      </w:smartTag>
      <w:r w:rsidRPr="00722894">
        <w:rPr>
          <w:sz w:val="22"/>
          <w:szCs w:val="22"/>
          <w:lang w:val="fr-FR"/>
        </w:rPr>
        <w:t xml:space="preserve"> en tant qu’instrument permettant une prise en main efficace de la conservation des oiseaux d’eau au niveau de la voie de migration</w:t>
      </w:r>
      <w:r w:rsidRPr="00722894">
        <w:rPr>
          <w:i/>
          <w:iCs/>
          <w:sz w:val="22"/>
          <w:szCs w:val="22"/>
          <w:lang w:val="fr-FR"/>
        </w:rPr>
        <w:t>,</w:t>
      </w:r>
    </w:p>
    <w:p w:rsidR="00FD1D89" w:rsidRPr="00722894" w:rsidRDefault="00FD1D89" w:rsidP="00FA6D32">
      <w:pPr>
        <w:numPr>
          <w:ilvl w:val="0"/>
          <w:numId w:val="32"/>
        </w:numPr>
        <w:jc w:val="both"/>
        <w:rPr>
          <w:sz w:val="22"/>
          <w:szCs w:val="22"/>
          <w:lang w:val="fr-FR"/>
        </w:rPr>
      </w:pPr>
      <w:r w:rsidRPr="00722894">
        <w:rPr>
          <w:i/>
          <w:sz w:val="22"/>
          <w:szCs w:val="22"/>
          <w:lang w:val="fr-FR"/>
        </w:rPr>
        <w:t>Enjoint</w:t>
      </w:r>
      <w:r w:rsidRPr="00722894">
        <w:rPr>
          <w:sz w:val="22"/>
          <w:szCs w:val="22"/>
          <w:lang w:val="fr-FR"/>
        </w:rPr>
        <w:t xml:space="preserve"> le Secrétariat de l’AEWA de mettre en œuvre la Stratégie de communication et de la développer si possible en tenant compte des moyens disponibles, d’examiner régulièrement son efficacité et de présenter un rapport sur sa mise en œuvre aux réunions du Comité permanent et à la 4</w:t>
      </w:r>
      <w:r w:rsidRPr="00722894">
        <w:rPr>
          <w:sz w:val="22"/>
          <w:szCs w:val="22"/>
          <w:vertAlign w:val="superscript"/>
          <w:lang w:val="fr-FR"/>
        </w:rPr>
        <w:t>ème</w:t>
      </w:r>
      <w:r w:rsidRPr="00722894">
        <w:rPr>
          <w:sz w:val="22"/>
          <w:szCs w:val="22"/>
          <w:lang w:val="fr-FR"/>
        </w:rPr>
        <w:t xml:space="preserve"> Réunion des Parties</w:t>
      </w:r>
      <w:r w:rsidRPr="00722894">
        <w:rPr>
          <w:i/>
          <w:iCs/>
          <w:sz w:val="22"/>
          <w:szCs w:val="22"/>
          <w:lang w:val="fr-FR"/>
        </w:rPr>
        <w:t>,</w:t>
      </w:r>
    </w:p>
    <w:p w:rsidR="00FD1D89" w:rsidRPr="00722894" w:rsidRDefault="00FD1D89" w:rsidP="00FA6D32">
      <w:pPr>
        <w:numPr>
          <w:ilvl w:val="0"/>
          <w:numId w:val="32"/>
        </w:numPr>
        <w:jc w:val="both"/>
        <w:rPr>
          <w:sz w:val="22"/>
          <w:szCs w:val="22"/>
          <w:lang w:val="fr-FR"/>
        </w:rPr>
      </w:pPr>
      <w:r w:rsidRPr="00722894">
        <w:rPr>
          <w:i/>
          <w:sz w:val="22"/>
          <w:szCs w:val="22"/>
          <w:lang w:val="fr-FR"/>
        </w:rPr>
        <w:t>Enjoint également</w:t>
      </w:r>
      <w:r w:rsidRPr="00722894">
        <w:rPr>
          <w:sz w:val="22"/>
          <w:szCs w:val="22"/>
          <w:lang w:val="fr-FR"/>
        </w:rPr>
        <w:t xml:space="preserve"> le Secrétariat de redoubler d’efforts pour obtenir des aides financières supplémentaires en vue de la mise en œuvre de la Stratégie de communication,</w:t>
      </w:r>
    </w:p>
    <w:p w:rsidR="00FD1D89" w:rsidRPr="00722894" w:rsidRDefault="00FD1D89" w:rsidP="00FA6D32">
      <w:pPr>
        <w:numPr>
          <w:ilvl w:val="0"/>
          <w:numId w:val="32"/>
        </w:numPr>
        <w:jc w:val="both"/>
        <w:rPr>
          <w:sz w:val="22"/>
          <w:szCs w:val="22"/>
          <w:lang w:val="fr-FR"/>
        </w:rPr>
      </w:pPr>
      <w:r w:rsidRPr="00722894">
        <w:rPr>
          <w:i/>
          <w:sz w:val="22"/>
          <w:szCs w:val="22"/>
          <w:lang w:val="fr-FR"/>
        </w:rPr>
        <w:t>Exhorte</w:t>
      </w:r>
      <w:r w:rsidRPr="00722894">
        <w:rPr>
          <w:sz w:val="22"/>
          <w:szCs w:val="22"/>
          <w:lang w:val="fr-FR"/>
        </w:rPr>
        <w:t xml:space="preserve"> les Parties contractantes, les donateurs et les sponsors du secteur privé à fournir une aide financière supplémentaire afin de permettre au Secrétariat de réaliser toutes les activités identifiées de la Stratégie</w:t>
      </w:r>
      <w:r w:rsidRPr="00722894">
        <w:rPr>
          <w:i/>
          <w:iCs/>
          <w:sz w:val="22"/>
          <w:szCs w:val="22"/>
          <w:lang w:val="fr-FR"/>
        </w:rPr>
        <w:t>,</w:t>
      </w:r>
    </w:p>
    <w:p w:rsidR="00FD1D89" w:rsidRPr="00722894" w:rsidRDefault="00FD1D89" w:rsidP="00FA6D32">
      <w:pPr>
        <w:numPr>
          <w:ilvl w:val="0"/>
          <w:numId w:val="32"/>
        </w:numPr>
        <w:jc w:val="both"/>
        <w:rPr>
          <w:sz w:val="22"/>
          <w:szCs w:val="22"/>
          <w:lang w:val="fr-FR"/>
        </w:rPr>
      </w:pPr>
      <w:r w:rsidRPr="00722894">
        <w:rPr>
          <w:i/>
          <w:sz w:val="22"/>
          <w:szCs w:val="22"/>
          <w:lang w:val="fr-FR"/>
        </w:rPr>
        <w:t>Invite</w:t>
      </w:r>
      <w:r w:rsidRPr="00722894">
        <w:rPr>
          <w:sz w:val="22"/>
          <w:szCs w:val="22"/>
          <w:lang w:val="fr-FR"/>
        </w:rPr>
        <w:t xml:space="preserve"> toutes les Parties contractantes, les États de l’aire de répartition et autres parties prenantes de la Voie de migration d’Afrique-Eurasie à aider à la mise en œuvre de la Stratégie de communication aux niveaux mondial, régional, national ou local, le cas échéant, grâce à l’expertise, aux réseaux, aux compétences et aux moyens dont ils disposent,</w:t>
      </w:r>
    </w:p>
    <w:p w:rsidR="00FD1D89" w:rsidRPr="00722894" w:rsidRDefault="00FD1D89" w:rsidP="00514F6E">
      <w:pPr>
        <w:numPr>
          <w:ilvl w:val="0"/>
          <w:numId w:val="32"/>
        </w:numPr>
        <w:jc w:val="both"/>
        <w:rPr>
          <w:rStyle w:val="tw4winMark"/>
          <w:rFonts w:ascii="Times New Roman" w:hAnsi="Times New Roman" w:cs="Times New Roman"/>
          <w:bCs w:val="0"/>
          <w:noProof w:val="0"/>
          <w:vanish w:val="0"/>
          <w:color w:val="auto"/>
          <w:vertAlign w:val="baseline"/>
          <w:lang w:val="fr-FR"/>
        </w:rPr>
      </w:pPr>
      <w:r w:rsidRPr="00722894">
        <w:rPr>
          <w:i/>
          <w:sz w:val="22"/>
          <w:szCs w:val="22"/>
          <w:lang w:val="fr-FR"/>
        </w:rPr>
        <w:t>Encourage</w:t>
      </w:r>
      <w:r w:rsidRPr="00722894">
        <w:rPr>
          <w:sz w:val="22"/>
          <w:szCs w:val="22"/>
          <w:lang w:val="fr-FR"/>
        </w:rPr>
        <w:t xml:space="preserve"> toutes les Parties contractantes à accueillir des Centres d’échange de l’AEWA pour leur région, comme le stipule la Stratégie de communication,</w:t>
      </w:r>
    </w:p>
    <w:p w:rsidR="00FD1D89" w:rsidRPr="00722894" w:rsidRDefault="00FD1D89" w:rsidP="00514F6E">
      <w:pPr>
        <w:numPr>
          <w:ilvl w:val="0"/>
          <w:numId w:val="32"/>
        </w:numPr>
        <w:jc w:val="both"/>
        <w:rPr>
          <w:sz w:val="22"/>
          <w:szCs w:val="22"/>
          <w:lang w:val="fr-FR"/>
        </w:rPr>
      </w:pPr>
      <w:r w:rsidRPr="00722894">
        <w:rPr>
          <w:i/>
          <w:sz w:val="22"/>
          <w:szCs w:val="22"/>
          <w:lang w:val="fr-FR"/>
        </w:rPr>
        <w:t>Encourage en outre</w:t>
      </w:r>
      <w:r w:rsidRPr="00722894">
        <w:rPr>
          <w:sz w:val="22"/>
          <w:szCs w:val="22"/>
          <w:lang w:val="fr-FR"/>
        </w:rPr>
        <w:t xml:space="preserve"> tous les représentants des Parties contractantes et organisations partenaires à envisager de fonctionner en tant qu’ambassadeur de l’AEWA, afin d’aider le Secrétariat à recruter de nouvelles Parties contractantes à l’AEWA. </w:t>
      </w:r>
    </w:p>
    <w:p w:rsidR="00FD1D89" w:rsidRPr="00722894" w:rsidRDefault="00FD1D89" w:rsidP="00514F6E">
      <w:pPr>
        <w:jc w:val="both"/>
        <w:rPr>
          <w:sz w:val="22"/>
          <w:szCs w:val="22"/>
          <w:lang w:val="fr-FR"/>
        </w:rPr>
      </w:pPr>
    </w:p>
    <w:p w:rsidR="00FD1D89" w:rsidRPr="00722894" w:rsidRDefault="00FD1D89" w:rsidP="00514F6E">
      <w:pPr>
        <w:jc w:val="both"/>
        <w:rPr>
          <w:sz w:val="22"/>
          <w:szCs w:val="22"/>
          <w:lang w:val="fr-FR"/>
        </w:rPr>
      </w:pPr>
    </w:p>
    <w:p w:rsidR="00FD1D89" w:rsidRDefault="00FD1D89" w:rsidP="00514F6E">
      <w:pPr>
        <w:shd w:val="pct70" w:color="FFFFFF" w:fill="auto"/>
        <w:jc w:val="both"/>
        <w:rPr>
          <w:sz w:val="22"/>
          <w:szCs w:val="22"/>
          <w:lang w:val="fr-FR"/>
        </w:rPr>
      </w:pPr>
      <w:r w:rsidRPr="00722894">
        <w:rPr>
          <w:sz w:val="22"/>
          <w:szCs w:val="22"/>
          <w:lang w:val="fr-FR"/>
        </w:rPr>
        <w:t>2.</w:t>
      </w:r>
      <w:r w:rsidRPr="00722894">
        <w:rPr>
          <w:sz w:val="22"/>
          <w:szCs w:val="22"/>
          <w:lang w:val="fr-FR"/>
        </w:rPr>
        <w:tab/>
        <w:t>Le paragraphe opérationnel de la Résolution 3.10 explique que la mise en œuvre de la Stratégie de communication est une responsabilité partagée, notamment par les Parties contractantes et le Secrétariat de l’Accord. Il souligne en outre que la mise en œuvre de la Stratégie de communication est dépendante des ressources disponibles.</w:t>
      </w:r>
    </w:p>
    <w:p w:rsidR="00BB1FB6" w:rsidRPr="00722894" w:rsidRDefault="00BB1FB6" w:rsidP="00514F6E">
      <w:pPr>
        <w:shd w:val="pct70" w:color="FFFFFF" w:fill="auto"/>
        <w:jc w:val="both"/>
        <w:rPr>
          <w:sz w:val="22"/>
          <w:szCs w:val="22"/>
          <w:lang w:val="fr-FR"/>
        </w:rPr>
      </w:pPr>
    </w:p>
    <w:p w:rsidR="00FD1D89" w:rsidRPr="00722894" w:rsidRDefault="00FD1D89" w:rsidP="00FA6D32">
      <w:pPr>
        <w:jc w:val="both"/>
        <w:rPr>
          <w:rStyle w:val="tw4winMark"/>
          <w:lang w:val="fr-FR"/>
        </w:rPr>
      </w:pPr>
    </w:p>
    <w:p w:rsidR="00FD1D89" w:rsidRPr="00722894" w:rsidRDefault="00FD1D89" w:rsidP="00FA6D32">
      <w:pPr>
        <w:jc w:val="both"/>
        <w:rPr>
          <w:sz w:val="22"/>
          <w:szCs w:val="22"/>
          <w:lang w:val="fr-FR"/>
        </w:rPr>
      </w:pPr>
      <w:r w:rsidRPr="00722894">
        <w:rPr>
          <w:sz w:val="22"/>
          <w:szCs w:val="22"/>
          <w:lang w:val="fr-FR"/>
        </w:rPr>
        <w:t>3.</w:t>
      </w:r>
      <w:r w:rsidRPr="00722894">
        <w:rPr>
          <w:sz w:val="22"/>
          <w:szCs w:val="22"/>
          <w:lang w:val="fr-FR"/>
        </w:rPr>
        <w:tab/>
        <w:t>Comme demandé par la Résolution 3.10, une vue d’ensemble détaillée de la mise en œuvre de la Stratégie de communication (Document AEWA/MOP 4.18) a été préparée par le Secrétariat pour la 4</w:t>
      </w:r>
      <w:r w:rsidRPr="00722894">
        <w:rPr>
          <w:sz w:val="22"/>
          <w:szCs w:val="22"/>
          <w:vertAlign w:val="superscript"/>
          <w:lang w:val="fr-FR"/>
        </w:rPr>
        <w:t>ème</w:t>
      </w:r>
      <w:r w:rsidRPr="00722894">
        <w:rPr>
          <w:sz w:val="22"/>
          <w:szCs w:val="22"/>
          <w:lang w:val="fr-FR"/>
        </w:rPr>
        <w:t xml:space="preserve"> session de la Réunion des Parties (MOP4), qui a eu lieu du 15 au 19 septembre 2008 à Antananarivo, Madagascar. Le Plan d'action pour la communication n’a pas été révisé ni élargi lors de la MOP4, son contenu étant encore largement valable, et il a été conservé par le Secrétariat afin de servir de guide pour les activités de communication au-delà de 2009.</w:t>
      </w:r>
    </w:p>
    <w:p w:rsidR="00FD1D89" w:rsidRPr="00722894" w:rsidRDefault="00FD1D89" w:rsidP="00FA6D32">
      <w:pPr>
        <w:jc w:val="both"/>
        <w:rPr>
          <w:sz w:val="22"/>
          <w:szCs w:val="22"/>
          <w:lang w:val="fr-FR"/>
        </w:rPr>
      </w:pPr>
    </w:p>
    <w:p w:rsidR="00FD1D89" w:rsidRPr="00722894" w:rsidRDefault="00FD1D89" w:rsidP="00FA6D32">
      <w:pPr>
        <w:jc w:val="both"/>
        <w:rPr>
          <w:sz w:val="22"/>
          <w:szCs w:val="22"/>
          <w:lang w:val="fr-FR"/>
        </w:rPr>
      </w:pPr>
      <w:r w:rsidRPr="00722894">
        <w:rPr>
          <w:sz w:val="22"/>
          <w:szCs w:val="22"/>
          <w:lang w:val="fr-FR"/>
        </w:rPr>
        <w:t xml:space="preserve">4. </w:t>
      </w:r>
      <w:r w:rsidRPr="00722894">
        <w:rPr>
          <w:sz w:val="22"/>
          <w:szCs w:val="22"/>
          <w:lang w:val="fr-FR"/>
        </w:rPr>
        <w:tab/>
        <w:t>Une mise à jour de la mise en œuvre de la Stratégie de communication a également été préparée pour la 6</w:t>
      </w:r>
      <w:r w:rsidRPr="00722894">
        <w:rPr>
          <w:sz w:val="22"/>
          <w:szCs w:val="22"/>
          <w:vertAlign w:val="superscript"/>
          <w:lang w:val="fr-FR"/>
        </w:rPr>
        <w:t>ème</w:t>
      </w:r>
      <w:r w:rsidRPr="00722894">
        <w:rPr>
          <w:sz w:val="22"/>
          <w:szCs w:val="22"/>
          <w:lang w:val="fr-FR"/>
        </w:rPr>
        <w:t xml:space="preserve"> réunion du Comité permanent (Document AEWA/</w:t>
      </w:r>
      <w:proofErr w:type="spellStart"/>
      <w:r w:rsidRPr="00722894">
        <w:rPr>
          <w:sz w:val="22"/>
          <w:szCs w:val="22"/>
          <w:lang w:val="fr-FR"/>
        </w:rPr>
        <w:t>StC</w:t>
      </w:r>
      <w:proofErr w:type="spellEnd"/>
      <w:r w:rsidRPr="00722894">
        <w:rPr>
          <w:sz w:val="22"/>
          <w:szCs w:val="22"/>
          <w:lang w:val="fr-FR"/>
        </w:rPr>
        <w:t xml:space="preserve"> 6.7) qui a eu lieu les 16 et 17 juin 2010 à La Haye, Pays-Bas. Ces deux documents offrent une vue d’ensemble détaillée des progrès réalisés par le Secrétariat de l’Accord dans la mise en œuvre de la Stratégie de communication depuis son adoption par la MOP3 en octobre 2005.  </w:t>
      </w:r>
    </w:p>
    <w:p w:rsidR="00FD1D89" w:rsidRPr="00722894" w:rsidRDefault="00FD1D89" w:rsidP="00FA6D32">
      <w:pPr>
        <w:jc w:val="both"/>
        <w:rPr>
          <w:sz w:val="22"/>
          <w:szCs w:val="22"/>
          <w:lang w:val="fr-FR"/>
        </w:rPr>
      </w:pPr>
    </w:p>
    <w:p w:rsidR="00FD1D89" w:rsidRPr="00722894" w:rsidRDefault="00FD1D89" w:rsidP="00DE3DCA">
      <w:pPr>
        <w:jc w:val="both"/>
        <w:rPr>
          <w:sz w:val="22"/>
          <w:szCs w:val="22"/>
          <w:lang w:val="fr-FR"/>
        </w:rPr>
      </w:pPr>
      <w:r w:rsidRPr="00722894">
        <w:rPr>
          <w:sz w:val="22"/>
          <w:szCs w:val="22"/>
          <w:lang w:val="fr-FR"/>
        </w:rPr>
        <w:t xml:space="preserve">5. </w:t>
      </w:r>
      <w:r w:rsidRPr="00722894">
        <w:rPr>
          <w:sz w:val="22"/>
          <w:szCs w:val="22"/>
          <w:lang w:val="fr-FR"/>
        </w:rPr>
        <w:tab/>
        <w:t xml:space="preserve">Ce document fournit un bref résumé et une courte étude de l’efficacité de la Stratégie de communication et du Plan d'action pour la communication 2006–2009, de même qu’il présente des arguments </w:t>
      </w:r>
      <w:r>
        <w:rPr>
          <w:sz w:val="22"/>
          <w:szCs w:val="22"/>
          <w:lang w:val="fr-FR"/>
        </w:rPr>
        <w:t>en faveur du</w:t>
      </w:r>
      <w:r w:rsidRPr="00722894">
        <w:rPr>
          <w:sz w:val="22"/>
          <w:szCs w:val="22"/>
          <w:lang w:val="fr-FR"/>
        </w:rPr>
        <w:t xml:space="preserve"> démarrage d’un éventuel processus de révision de la Stratégie de communication à la MOP5.</w:t>
      </w:r>
    </w:p>
    <w:p w:rsidR="00FD1D89" w:rsidRPr="00722894" w:rsidRDefault="00FD1D89" w:rsidP="00FA6D32">
      <w:pPr>
        <w:jc w:val="both"/>
        <w:rPr>
          <w:sz w:val="22"/>
          <w:szCs w:val="22"/>
          <w:lang w:val="fr-FR"/>
        </w:rPr>
      </w:pPr>
    </w:p>
    <w:p w:rsidR="00FD1D89" w:rsidRDefault="00FD1D89" w:rsidP="00FA6D32">
      <w:pPr>
        <w:jc w:val="both"/>
        <w:rPr>
          <w:b/>
          <w:bCs/>
          <w:sz w:val="28"/>
          <w:szCs w:val="28"/>
          <w:lang w:val="fr-FR"/>
        </w:rPr>
      </w:pPr>
    </w:p>
    <w:p w:rsidR="00BB1FB6" w:rsidRPr="00722894" w:rsidRDefault="00BB1FB6" w:rsidP="00FA6D32">
      <w:pPr>
        <w:jc w:val="both"/>
        <w:rPr>
          <w:b/>
          <w:bCs/>
          <w:sz w:val="28"/>
          <w:szCs w:val="28"/>
          <w:lang w:val="fr-FR"/>
        </w:rPr>
      </w:pPr>
    </w:p>
    <w:p w:rsidR="00FD1D89" w:rsidRPr="00722894" w:rsidRDefault="001331B4" w:rsidP="00FA6D32">
      <w:pPr>
        <w:jc w:val="both"/>
        <w:rPr>
          <w:b/>
          <w:bCs/>
          <w:lang w:val="fr-FR"/>
        </w:rPr>
      </w:pPr>
      <w:r>
        <w:rPr>
          <w:b/>
          <w:bCs/>
          <w:lang w:val="fr-FR"/>
        </w:rPr>
        <w:lastRenderedPageBreak/>
        <w:t>II</w:t>
      </w:r>
      <w:r w:rsidR="00FD1D89" w:rsidRPr="00722894">
        <w:rPr>
          <w:b/>
          <w:bCs/>
          <w:lang w:val="fr-FR"/>
        </w:rPr>
        <w:t>. Étude de l’efficacité de la Stratégie de communication</w:t>
      </w:r>
    </w:p>
    <w:p w:rsidR="00FD1D89" w:rsidRPr="00722894" w:rsidRDefault="00FD1D89" w:rsidP="00FA6D32">
      <w:pPr>
        <w:jc w:val="both"/>
        <w:rPr>
          <w:b/>
          <w:bCs/>
          <w:lang w:val="fr-FR"/>
        </w:rPr>
      </w:pPr>
    </w:p>
    <w:p w:rsidR="00FD1D89" w:rsidRPr="00722894" w:rsidRDefault="00FD1D89" w:rsidP="00FA6D32">
      <w:pPr>
        <w:jc w:val="both"/>
        <w:rPr>
          <w:sz w:val="22"/>
          <w:szCs w:val="22"/>
          <w:lang w:val="fr-FR"/>
        </w:rPr>
      </w:pPr>
      <w:r w:rsidRPr="00722894">
        <w:rPr>
          <w:sz w:val="22"/>
          <w:szCs w:val="22"/>
          <w:lang w:val="fr-FR"/>
        </w:rPr>
        <w:t xml:space="preserve">6. </w:t>
      </w:r>
      <w:r w:rsidRPr="00722894">
        <w:rPr>
          <w:sz w:val="22"/>
          <w:szCs w:val="22"/>
          <w:lang w:val="fr-FR"/>
        </w:rPr>
        <w:tab/>
        <w:t xml:space="preserve">La Stratégie de communication de l’AEWA adoptée par la MOP3 en octobre </w:t>
      </w:r>
      <w:smartTag w:uri="urn:schemas-microsoft-com:office:smarttags" w:element="PersonName">
        <w:smartTagPr>
          <w:attr w:name="ProductID" w:val="la Journée Mondiale"/>
        </w:smartTagPr>
        <w:r w:rsidRPr="00722894">
          <w:rPr>
            <w:sz w:val="22"/>
            <w:szCs w:val="22"/>
            <w:lang w:val="fr-FR"/>
          </w:rPr>
          <w:t>2005 a</w:t>
        </w:r>
      </w:smartTag>
      <w:r w:rsidRPr="00722894">
        <w:rPr>
          <w:sz w:val="22"/>
          <w:szCs w:val="22"/>
          <w:lang w:val="fr-FR"/>
        </w:rPr>
        <w:t xml:space="preserve"> pour objectif de fournir un cadre destiné à aider les Parties à l’AEWA, les États de l'aire de répartition, les partenaires et le Secrétariat de l'AEWA dans leurs efforts pour sensibiliser et expliquer en général les questions relatives à la conservation des oiseaux d'eau migrateurs et plus spécifiquement, pour sensibiliser au dispositions et objectifs de l’Accord lui-même. Elle fournit en outre des méthodes pour améliorer la communication interne parmi les organismes officiels de l’AEWA, développer des mécanismes pour la communication externe et la coopération entre les parties prenantes de l’AEWA, renforcer la capacité régionale de communication et améliorer la sensibilisation à l’AEWA. </w:t>
      </w:r>
    </w:p>
    <w:p w:rsidR="00FD1D89" w:rsidRPr="00722894" w:rsidRDefault="00FD1D89" w:rsidP="00FA6D32">
      <w:pPr>
        <w:jc w:val="both"/>
        <w:rPr>
          <w:sz w:val="22"/>
          <w:szCs w:val="22"/>
          <w:lang w:val="fr-FR"/>
        </w:rPr>
      </w:pPr>
    </w:p>
    <w:p w:rsidR="00FD1D89" w:rsidRPr="00722894" w:rsidRDefault="00FD1D89" w:rsidP="00FA6D32">
      <w:pPr>
        <w:jc w:val="both"/>
        <w:rPr>
          <w:sz w:val="22"/>
          <w:szCs w:val="22"/>
          <w:lang w:val="fr-FR"/>
        </w:rPr>
      </w:pPr>
      <w:r w:rsidRPr="00722894">
        <w:rPr>
          <w:sz w:val="22"/>
          <w:szCs w:val="22"/>
          <w:lang w:val="fr-FR"/>
        </w:rPr>
        <w:t xml:space="preserve">7. </w:t>
      </w:r>
      <w:r w:rsidRPr="00722894">
        <w:rPr>
          <w:sz w:val="22"/>
          <w:szCs w:val="22"/>
          <w:lang w:val="fr-FR"/>
        </w:rPr>
        <w:tab/>
        <w:t xml:space="preserve">Du point de vue du Secrétariat, la stratégie a aidé à mettre en perspective les efforts de communication réalisés par le Secrétariat depuis la MOP3 et a fourni une structure utile pour les activités de communication qu’il a entreprises. Peut-être plus important encore, la Stratégie de communication telle qu’adoptée par la MOP3 a aidé le Secrétariat à trouver </w:t>
      </w:r>
      <w:r w:rsidRPr="00722894">
        <w:rPr>
          <w:sz w:val="22"/>
          <w:szCs w:val="22"/>
          <w:u w:val="single"/>
          <w:lang w:val="fr-FR"/>
        </w:rPr>
        <w:t>et à définir</w:t>
      </w:r>
      <w:r w:rsidRPr="00722894">
        <w:rPr>
          <w:sz w:val="22"/>
          <w:szCs w:val="22"/>
          <w:lang w:val="fr-FR"/>
        </w:rPr>
        <w:t xml:space="preserve"> son rôle de facilitateur de processus – « d’araignée dans la toile » de la conservation par la voie de migration pour la région d’Afrique-Eurasie, qui est l’un des concepts clés de la Stratégie de communication. </w:t>
      </w:r>
    </w:p>
    <w:p w:rsidR="00FD1D89" w:rsidRPr="00722894" w:rsidRDefault="00FD1D89" w:rsidP="00FA6D32">
      <w:pPr>
        <w:jc w:val="both"/>
        <w:rPr>
          <w:sz w:val="22"/>
          <w:szCs w:val="22"/>
          <w:lang w:val="fr-FR"/>
        </w:rPr>
      </w:pPr>
    </w:p>
    <w:p w:rsidR="00FD1D89" w:rsidRPr="00722894" w:rsidRDefault="00FD1D89" w:rsidP="0046215D">
      <w:pPr>
        <w:jc w:val="both"/>
        <w:rPr>
          <w:sz w:val="22"/>
          <w:szCs w:val="22"/>
          <w:lang w:val="fr-FR"/>
        </w:rPr>
      </w:pPr>
      <w:r w:rsidRPr="00722894">
        <w:rPr>
          <w:sz w:val="22"/>
          <w:szCs w:val="22"/>
          <w:lang w:val="fr-FR"/>
        </w:rPr>
        <w:t xml:space="preserve">8. </w:t>
      </w:r>
      <w:r w:rsidRPr="00722894">
        <w:rPr>
          <w:sz w:val="22"/>
          <w:szCs w:val="22"/>
          <w:lang w:val="fr-FR"/>
        </w:rPr>
        <w:tab/>
        <w:t>L’utilité de la stratégie en tant qu’outil pour les Parties contractantes  et les partenaires de l’AEWA est plus difficile à évaluer, le Secrétariat ayant reçu très peu d’informations des Parties contractantes ou des organisations partenaires sur les activités entreprises pour mettre en œuvre la Stratégie de communication au fil des ans. Comme la section suivante du Plan d'action pour la communication 2006-2009 le montrera également, très peu de fonds ont été versés pour aider directement à la mise en œuvre de la Stratégie de communication à ce jour.</w:t>
      </w:r>
    </w:p>
    <w:p w:rsidR="00FD1D89" w:rsidRDefault="00FD1D89" w:rsidP="0046215D">
      <w:pPr>
        <w:jc w:val="both"/>
        <w:rPr>
          <w:sz w:val="22"/>
          <w:szCs w:val="22"/>
          <w:lang w:val="fr-FR"/>
        </w:rPr>
      </w:pPr>
    </w:p>
    <w:p w:rsidR="00BB1FB6" w:rsidRPr="00722894" w:rsidRDefault="00BB1FB6" w:rsidP="0046215D">
      <w:pPr>
        <w:jc w:val="both"/>
        <w:rPr>
          <w:sz w:val="22"/>
          <w:szCs w:val="22"/>
          <w:lang w:val="fr-FR"/>
        </w:rPr>
      </w:pPr>
    </w:p>
    <w:p w:rsidR="00FD1D89" w:rsidRPr="00722894" w:rsidRDefault="001331B4" w:rsidP="007F29A1">
      <w:pPr>
        <w:jc w:val="both"/>
        <w:rPr>
          <w:sz w:val="22"/>
          <w:szCs w:val="22"/>
          <w:lang w:val="fr-FR"/>
        </w:rPr>
      </w:pPr>
      <w:r>
        <w:rPr>
          <w:b/>
          <w:bCs/>
          <w:lang w:val="fr-FR"/>
        </w:rPr>
        <w:t>III</w:t>
      </w:r>
      <w:r w:rsidR="00BB1FB6">
        <w:rPr>
          <w:b/>
          <w:bCs/>
          <w:lang w:val="fr-FR"/>
        </w:rPr>
        <w:t xml:space="preserve">. </w:t>
      </w:r>
      <w:r w:rsidR="00FD1D89" w:rsidRPr="00722894">
        <w:rPr>
          <w:b/>
          <w:bCs/>
          <w:lang w:val="fr-FR"/>
        </w:rPr>
        <w:t xml:space="preserve">Capacité de communication </w:t>
      </w:r>
    </w:p>
    <w:p w:rsidR="00FD1D89" w:rsidRPr="00722894" w:rsidRDefault="00FD1D89" w:rsidP="007F29A1">
      <w:pPr>
        <w:jc w:val="both"/>
        <w:rPr>
          <w:b/>
          <w:bCs/>
          <w:sz w:val="22"/>
          <w:szCs w:val="22"/>
          <w:lang w:val="fr-FR"/>
        </w:rPr>
      </w:pPr>
    </w:p>
    <w:p w:rsidR="00FD1D89" w:rsidRPr="00722894" w:rsidRDefault="00FD1D89" w:rsidP="007F29A1">
      <w:pPr>
        <w:jc w:val="both"/>
        <w:rPr>
          <w:sz w:val="22"/>
          <w:szCs w:val="22"/>
          <w:lang w:val="fr-FR"/>
        </w:rPr>
      </w:pPr>
      <w:r w:rsidRPr="00722894">
        <w:rPr>
          <w:sz w:val="22"/>
          <w:szCs w:val="22"/>
          <w:lang w:val="fr-FR"/>
        </w:rPr>
        <w:t xml:space="preserve">9. </w:t>
      </w:r>
      <w:r w:rsidRPr="00722894">
        <w:rPr>
          <w:sz w:val="22"/>
          <w:szCs w:val="22"/>
          <w:lang w:val="fr-FR"/>
        </w:rPr>
        <w:tab/>
        <w:t xml:space="preserve">Avant de commencer à relater les progrès réalisés dans la mise en œuvre de la Stratégie de communication du point de vue du Secrétariat, il serait important de noter quelle est la capacité de communication disponible, qui est déterminante pour la mesure dans laquelle la Stratégie de communication peut être mise en œuvre. Cette capacité de communication peut être évaluée en termes de ressources humaines, d’expertise technique et de ressources financières. </w:t>
      </w:r>
    </w:p>
    <w:p w:rsidR="00FD1D89" w:rsidRPr="00722894" w:rsidRDefault="00FD1D89" w:rsidP="007F29A1">
      <w:pPr>
        <w:jc w:val="both"/>
        <w:rPr>
          <w:sz w:val="22"/>
          <w:szCs w:val="22"/>
          <w:lang w:val="fr-FR"/>
        </w:rPr>
      </w:pPr>
    </w:p>
    <w:p w:rsidR="00FD1D89" w:rsidRPr="00722894" w:rsidRDefault="00FD1D89" w:rsidP="007F29A1">
      <w:pPr>
        <w:jc w:val="both"/>
        <w:rPr>
          <w:sz w:val="22"/>
          <w:szCs w:val="22"/>
          <w:lang w:val="fr-FR"/>
        </w:rPr>
      </w:pPr>
      <w:r w:rsidRPr="00722894">
        <w:rPr>
          <w:sz w:val="22"/>
          <w:szCs w:val="22"/>
          <w:lang w:val="fr-FR"/>
        </w:rPr>
        <w:t xml:space="preserve">10. </w:t>
      </w:r>
      <w:r w:rsidRPr="00722894">
        <w:rPr>
          <w:sz w:val="22"/>
          <w:szCs w:val="22"/>
          <w:lang w:val="fr-FR"/>
        </w:rPr>
        <w:tab/>
        <w:t xml:space="preserve">Comme déjà mentionné ci-dessus, depuis l’adoption de la Stratégie de communication à la MOP3, les ressources financières requises pour sa mise en œuvre ont été entièrement dépendantes de contributions volontaires des Parties contractantes ou d’organisations et jusqu’à ce jour, très peu de fonds ont été versés à cet effet. </w:t>
      </w:r>
    </w:p>
    <w:p w:rsidR="00FD1D89" w:rsidRPr="00722894" w:rsidRDefault="00FD1D89" w:rsidP="007F29A1">
      <w:pPr>
        <w:jc w:val="both"/>
        <w:rPr>
          <w:sz w:val="22"/>
          <w:szCs w:val="22"/>
          <w:lang w:val="fr-FR"/>
        </w:rPr>
      </w:pPr>
    </w:p>
    <w:p w:rsidR="00FD1D89" w:rsidRPr="00722894" w:rsidRDefault="00FD1D89" w:rsidP="007F29A1">
      <w:pPr>
        <w:jc w:val="both"/>
        <w:rPr>
          <w:sz w:val="22"/>
          <w:szCs w:val="22"/>
          <w:lang w:val="fr-FR"/>
        </w:rPr>
      </w:pPr>
      <w:r w:rsidRPr="00722894">
        <w:rPr>
          <w:sz w:val="22"/>
          <w:szCs w:val="22"/>
          <w:lang w:val="fr-FR"/>
        </w:rPr>
        <w:t xml:space="preserve">11. </w:t>
      </w:r>
      <w:r w:rsidRPr="00722894">
        <w:rPr>
          <w:sz w:val="22"/>
          <w:szCs w:val="22"/>
          <w:lang w:val="fr-FR"/>
        </w:rPr>
        <w:tab/>
        <w:t xml:space="preserve">En termes de ressources humaines, la capacité de communication du Secrétariat a augmenté après la MOP3, </w:t>
      </w:r>
      <w:r>
        <w:rPr>
          <w:sz w:val="22"/>
          <w:szCs w:val="22"/>
          <w:lang w:val="fr-FR"/>
        </w:rPr>
        <w:t>en raison</w:t>
      </w:r>
      <w:r w:rsidRPr="00722894">
        <w:rPr>
          <w:sz w:val="22"/>
          <w:szCs w:val="22"/>
          <w:lang w:val="fr-FR"/>
        </w:rPr>
        <w:t xml:space="preserve"> notamment </w:t>
      </w:r>
      <w:r>
        <w:rPr>
          <w:sz w:val="22"/>
          <w:szCs w:val="22"/>
          <w:lang w:val="fr-FR"/>
        </w:rPr>
        <w:t>de</w:t>
      </w:r>
      <w:r w:rsidRPr="00722894">
        <w:rPr>
          <w:sz w:val="22"/>
          <w:szCs w:val="22"/>
          <w:lang w:val="fr-FR"/>
        </w:rPr>
        <w:t xml:space="preserve"> la mise à disposition par le gouvernement allemand de septembre 2005 à octobre 2008 d’un administrateur chargé de l'information (JPO) qui s’est consacré à la communication et à la gestion de l’information et à la création du poste d’administrateur associé chargé de l'information comme convenu par la MOP4, poste qui a été pourvu en février 2009 (remplaçant celui de JPO). En outre, à la fin 2006, le poste d’assistant à l'information (à temps partiel) convenu par la MOP3 a également été pourvu. Accroissant considérablement la capacité de communication du Secrétariat, ce poste à temps partiel s’est tout de même avéré insuffisant pour répondre aux besoins, et le Secrétariat a essayé d’augmenter le temps de travail réel de l’assistant à l'information lorsque les finances le permettaient</w:t>
      </w:r>
      <w:r w:rsidRPr="00722894">
        <w:rPr>
          <w:lang w:val="fr-FR"/>
        </w:rPr>
        <w:t>.</w:t>
      </w:r>
      <w:r w:rsidRPr="00722894">
        <w:rPr>
          <w:sz w:val="22"/>
          <w:szCs w:val="22"/>
          <w:lang w:val="fr-FR"/>
        </w:rPr>
        <w:t xml:space="preserve"> </w:t>
      </w:r>
    </w:p>
    <w:p w:rsidR="00FD1D89" w:rsidRPr="00722894" w:rsidRDefault="00FD1D89" w:rsidP="007F29A1">
      <w:pPr>
        <w:jc w:val="both"/>
        <w:rPr>
          <w:sz w:val="22"/>
          <w:szCs w:val="22"/>
          <w:lang w:val="fr-FR"/>
        </w:rPr>
      </w:pPr>
    </w:p>
    <w:p w:rsidR="00FD1D89" w:rsidRPr="00722894" w:rsidRDefault="00FD1D89" w:rsidP="007F29A1">
      <w:pPr>
        <w:jc w:val="both"/>
        <w:rPr>
          <w:sz w:val="22"/>
          <w:szCs w:val="22"/>
          <w:lang w:val="fr-FR"/>
        </w:rPr>
      </w:pPr>
      <w:r w:rsidRPr="00722894">
        <w:rPr>
          <w:sz w:val="22"/>
          <w:szCs w:val="22"/>
          <w:lang w:val="fr-FR"/>
        </w:rPr>
        <w:t xml:space="preserve">12. </w:t>
      </w:r>
      <w:r w:rsidRPr="00722894">
        <w:rPr>
          <w:sz w:val="22"/>
          <w:szCs w:val="22"/>
          <w:lang w:val="fr-FR"/>
        </w:rPr>
        <w:tab/>
        <w:t xml:space="preserve">Bien que la mise en œuvre de la Stratégie soit placée sous la responsabilité de l’administrateur chargé de l'information associé avec l’aide de l’assistante à l'information à temps partiel, il faut souligner que tous les autres membres de l’équipe de l’AEWA sont impliqués et qu’ils contribuent à la mise en œuvre de la Stratégie de communication, bien que très probablement seulement quelques heures par semaine. Bien que l’expertise technique générale et la capacité liée à la communication au sein du Secrétariat ont augmenté depuis la MOP3, il faut espérer que durant les prochaines années, le niveau d’expertise technique et de temps réellement disponible pour mettre en œuvre la Stratégie de communication continuera d’augmenter.  De plus, l’expertise des membres du Secrétariat en matière de communication, de renforcement de la capacité, de </w:t>
      </w:r>
      <w:r w:rsidRPr="00722894">
        <w:rPr>
          <w:sz w:val="22"/>
          <w:szCs w:val="22"/>
          <w:lang w:val="fr-FR"/>
        </w:rPr>
        <w:lastRenderedPageBreak/>
        <w:t>réunion de fonds et d</w:t>
      </w:r>
      <w:r>
        <w:rPr>
          <w:sz w:val="22"/>
          <w:szCs w:val="22"/>
          <w:lang w:val="fr-FR"/>
        </w:rPr>
        <w:t>’organisation</w:t>
      </w:r>
      <w:r w:rsidRPr="00722894">
        <w:rPr>
          <w:sz w:val="22"/>
          <w:szCs w:val="22"/>
          <w:lang w:val="fr-FR"/>
        </w:rPr>
        <w:t xml:space="preserve"> de formation</w:t>
      </w:r>
      <w:r>
        <w:rPr>
          <w:sz w:val="22"/>
          <w:szCs w:val="22"/>
          <w:lang w:val="fr-FR"/>
        </w:rPr>
        <w:t>s</w:t>
      </w:r>
      <w:r w:rsidRPr="00722894">
        <w:rPr>
          <w:sz w:val="22"/>
          <w:szCs w:val="22"/>
          <w:lang w:val="fr-FR"/>
        </w:rPr>
        <w:t xml:space="preserve"> a besoin d’être davantage mobilisée et concentrée sur l’aide à la mise en œuvre de la Stratégie de communication. </w:t>
      </w:r>
    </w:p>
    <w:p w:rsidR="00FD1D89" w:rsidRDefault="00FD1D89">
      <w:pPr>
        <w:rPr>
          <w:sz w:val="22"/>
          <w:szCs w:val="22"/>
          <w:lang w:val="fr-FR"/>
        </w:rPr>
      </w:pPr>
    </w:p>
    <w:p w:rsidR="00BB1FB6" w:rsidRPr="00722894" w:rsidRDefault="00BB1FB6">
      <w:pPr>
        <w:rPr>
          <w:sz w:val="22"/>
          <w:szCs w:val="22"/>
          <w:lang w:val="fr-FR"/>
        </w:rPr>
      </w:pPr>
    </w:p>
    <w:p w:rsidR="00FD1D89" w:rsidRPr="00722894" w:rsidRDefault="001331B4" w:rsidP="00FA6D32">
      <w:pPr>
        <w:jc w:val="both"/>
        <w:rPr>
          <w:b/>
          <w:bCs/>
          <w:lang w:val="fr-FR"/>
        </w:rPr>
      </w:pPr>
      <w:r>
        <w:rPr>
          <w:b/>
          <w:bCs/>
          <w:lang w:val="fr-FR"/>
        </w:rPr>
        <w:t>IV</w:t>
      </w:r>
      <w:r w:rsidR="00FD1D89" w:rsidRPr="00722894">
        <w:rPr>
          <w:b/>
          <w:bCs/>
          <w:lang w:val="fr-FR"/>
        </w:rPr>
        <w:t>. Plan d'action pour la communication 2006 - 2009</w:t>
      </w:r>
    </w:p>
    <w:p w:rsidR="00FD1D89" w:rsidRPr="00722894" w:rsidRDefault="00FD1D89" w:rsidP="00FA6D32">
      <w:pPr>
        <w:jc w:val="both"/>
        <w:rPr>
          <w:sz w:val="22"/>
          <w:szCs w:val="22"/>
          <w:lang w:val="fr-FR"/>
        </w:rPr>
      </w:pPr>
    </w:p>
    <w:p w:rsidR="00FD1D89" w:rsidRPr="00722894" w:rsidRDefault="00FD1D89" w:rsidP="00FA6D32">
      <w:pPr>
        <w:jc w:val="both"/>
        <w:rPr>
          <w:sz w:val="22"/>
          <w:szCs w:val="22"/>
          <w:lang w:val="fr-FR"/>
        </w:rPr>
      </w:pPr>
      <w:r w:rsidRPr="00722894">
        <w:rPr>
          <w:sz w:val="22"/>
          <w:szCs w:val="22"/>
          <w:lang w:val="fr-FR"/>
        </w:rPr>
        <w:t xml:space="preserve">13. </w:t>
      </w:r>
      <w:r w:rsidRPr="00722894">
        <w:rPr>
          <w:sz w:val="22"/>
          <w:szCs w:val="22"/>
          <w:lang w:val="fr-FR"/>
        </w:rPr>
        <w:tab/>
        <w:t xml:space="preserve">La Stratégie de communication d’origine adoptée par la MOP3 comprenait plusieurs activités spécifiques relatives à la communication et au renforcement de la capacité sur lesquelles le Secrétariat devait se concentrer de 2006 à 2009. Ces activités étaient jointes en annexe II à la stratégie et énumérées dans le Plan d’action pour la communication de l’AEWA 2006–2009. Avec la Résolution 3.10, les Parties enjoignaient le Secrétariat de mettre en œuvre la Stratégie de communication (y compris le Plan d’action pour la communication) dans la mesure des ressources disponibles. </w:t>
      </w:r>
    </w:p>
    <w:p w:rsidR="00FD1D89" w:rsidRPr="00722894" w:rsidRDefault="00FD1D89" w:rsidP="00FA6D32">
      <w:pPr>
        <w:jc w:val="both"/>
        <w:rPr>
          <w:sz w:val="22"/>
          <w:szCs w:val="22"/>
          <w:lang w:val="fr-FR"/>
        </w:rPr>
      </w:pPr>
    </w:p>
    <w:p w:rsidR="00FD1D89" w:rsidRPr="00722894" w:rsidRDefault="00FD1D89" w:rsidP="00FA6D32">
      <w:pPr>
        <w:jc w:val="both"/>
        <w:rPr>
          <w:sz w:val="22"/>
          <w:szCs w:val="22"/>
          <w:lang w:val="fr-FR"/>
        </w:rPr>
      </w:pPr>
      <w:r w:rsidRPr="00722894">
        <w:rPr>
          <w:sz w:val="22"/>
          <w:szCs w:val="22"/>
          <w:lang w:val="fr-FR"/>
        </w:rPr>
        <w:t xml:space="preserve">14. </w:t>
      </w:r>
      <w:r w:rsidRPr="00722894">
        <w:rPr>
          <w:sz w:val="22"/>
          <w:szCs w:val="22"/>
          <w:lang w:val="fr-FR"/>
        </w:rPr>
        <w:tab/>
        <w:t xml:space="preserve">Le budget total pour toutes les activités figurant dans le Plan d'action pour la communication pour la période allant de 2006 à 2009 était estimé à </w:t>
      </w:r>
      <w:r w:rsidRPr="00722894">
        <w:rPr>
          <w:b/>
          <w:sz w:val="22"/>
          <w:szCs w:val="22"/>
          <w:lang w:val="fr-FR"/>
        </w:rPr>
        <w:t>502 250</w:t>
      </w:r>
      <w:r w:rsidRPr="00722894">
        <w:rPr>
          <w:sz w:val="22"/>
          <w:szCs w:val="22"/>
          <w:lang w:val="fr-FR"/>
        </w:rPr>
        <w:t xml:space="preserve"> </w:t>
      </w:r>
      <w:r w:rsidRPr="00722894">
        <w:rPr>
          <w:b/>
          <w:bCs/>
          <w:sz w:val="22"/>
          <w:szCs w:val="22"/>
          <w:lang w:val="fr-FR"/>
        </w:rPr>
        <w:t>€.</w:t>
      </w:r>
      <w:r w:rsidRPr="00722894">
        <w:rPr>
          <w:sz w:val="22"/>
          <w:szCs w:val="22"/>
          <w:lang w:val="fr-FR"/>
        </w:rPr>
        <w:t xml:space="preserve"> Toutefois, à partir du moment où la stratégie a été adoptée par la MOP3, la mise en œuvre de ces activités a été entièrement dépendante de contributions volontaires des Parties contractantes et autres donateurs potentiels, et jusqu’à ce jour, peu de fonds ont été versés pour aider à ces activités. Durant la période allant de 2006 à 2010, les activités de réunion de fonds du Secrétariat se sont en premier lieu concentré</w:t>
      </w:r>
      <w:r>
        <w:rPr>
          <w:sz w:val="22"/>
          <w:szCs w:val="22"/>
          <w:lang w:val="fr-FR"/>
        </w:rPr>
        <w:t>es</w:t>
      </w:r>
      <w:r w:rsidRPr="00722894">
        <w:rPr>
          <w:sz w:val="22"/>
          <w:szCs w:val="22"/>
          <w:lang w:val="fr-FR"/>
        </w:rPr>
        <w:t xml:space="preserve"> sur le Projet </w:t>
      </w:r>
      <w:proofErr w:type="spellStart"/>
      <w:r w:rsidRPr="00722894">
        <w:rPr>
          <w:sz w:val="22"/>
          <w:szCs w:val="22"/>
          <w:lang w:val="fr-FR"/>
        </w:rPr>
        <w:t>Wings</w:t>
      </w:r>
      <w:proofErr w:type="spellEnd"/>
      <w:r w:rsidRPr="00722894">
        <w:rPr>
          <w:sz w:val="22"/>
          <w:szCs w:val="22"/>
          <w:lang w:val="fr-FR"/>
        </w:rPr>
        <w:t xml:space="preserve"> Over </w:t>
      </w:r>
      <w:proofErr w:type="spellStart"/>
      <w:r w:rsidRPr="00722894">
        <w:rPr>
          <w:sz w:val="22"/>
          <w:szCs w:val="22"/>
          <w:lang w:val="fr-FR"/>
        </w:rPr>
        <w:t>Wetlands</w:t>
      </w:r>
      <w:proofErr w:type="spellEnd"/>
      <w:r w:rsidRPr="00722894">
        <w:rPr>
          <w:sz w:val="22"/>
          <w:szCs w:val="22"/>
          <w:lang w:val="fr-FR"/>
        </w:rPr>
        <w:t xml:space="preserve"> (WOW) du PNUE-FEM sur les voies de migration d'Afrique-Eurasie.</w:t>
      </w:r>
    </w:p>
    <w:p w:rsidR="00FD1D89" w:rsidRPr="00722894" w:rsidRDefault="00FD1D89" w:rsidP="00FA6D32">
      <w:pPr>
        <w:jc w:val="both"/>
        <w:rPr>
          <w:sz w:val="22"/>
          <w:szCs w:val="22"/>
          <w:lang w:val="fr-FR"/>
        </w:rPr>
      </w:pPr>
    </w:p>
    <w:p w:rsidR="00FD1D89" w:rsidRPr="00722894" w:rsidRDefault="00FD1D89" w:rsidP="00BF02B0">
      <w:pPr>
        <w:jc w:val="both"/>
        <w:rPr>
          <w:sz w:val="22"/>
          <w:szCs w:val="22"/>
          <w:lang w:val="fr-FR"/>
        </w:rPr>
      </w:pPr>
      <w:r w:rsidRPr="00722894">
        <w:rPr>
          <w:sz w:val="22"/>
          <w:szCs w:val="22"/>
          <w:lang w:val="fr-FR"/>
        </w:rPr>
        <w:t xml:space="preserve">15. </w:t>
      </w:r>
      <w:r w:rsidRPr="00722894">
        <w:rPr>
          <w:sz w:val="22"/>
          <w:szCs w:val="22"/>
          <w:lang w:val="fr-FR"/>
        </w:rPr>
        <w:tab/>
        <w:t xml:space="preserve">De plus, beaucoup d’activités exposées dans le Plan d'action pour la communication et pour lesquelles il n’y avait pas de budget, ont été assignées à l’administrateur chargé de l'information (JPO) parrainé par le gouvernement allemand – en supposant qu’il pourrait allouer la totalité de son temps de travail à la mise en œuvre de la Stratégie de communication. Il faut toutefois noter que depuis 2005, tant le poste de JPO et en conséquence celui d’administrateur chargé de l'information ont été divisés – 50 % du temps de l’administrateur étant alloué à des activités d’aide à la communication du Projet </w:t>
      </w:r>
      <w:proofErr w:type="spellStart"/>
      <w:r w:rsidRPr="00722894">
        <w:rPr>
          <w:sz w:val="22"/>
          <w:szCs w:val="22"/>
          <w:lang w:val="fr-FR"/>
        </w:rPr>
        <w:t>Wings</w:t>
      </w:r>
      <w:proofErr w:type="spellEnd"/>
      <w:r w:rsidRPr="00722894">
        <w:rPr>
          <w:sz w:val="22"/>
          <w:szCs w:val="22"/>
          <w:lang w:val="fr-FR"/>
        </w:rPr>
        <w:t xml:space="preserve"> Over </w:t>
      </w:r>
      <w:proofErr w:type="spellStart"/>
      <w:r w:rsidRPr="00722894">
        <w:rPr>
          <w:sz w:val="22"/>
          <w:szCs w:val="22"/>
          <w:lang w:val="fr-FR"/>
        </w:rPr>
        <w:t>Wetlands</w:t>
      </w:r>
      <w:proofErr w:type="spellEnd"/>
      <w:r w:rsidRPr="00722894">
        <w:rPr>
          <w:sz w:val="22"/>
          <w:szCs w:val="22"/>
          <w:lang w:val="fr-FR"/>
        </w:rPr>
        <w:t xml:space="preserve"> (WOW) du PNUE-FEM sur les voies de migration d'Afrique-Eurasie. Il est important de tenir compte de ces facteurs lorsque l’on examinera le stade de mise en œuvre, notamment en ce qui concerne les activités assignées au Secrétariat.</w:t>
      </w:r>
    </w:p>
    <w:p w:rsidR="00FD1D89" w:rsidRPr="00722894" w:rsidRDefault="00FD1D89" w:rsidP="00BF02B0">
      <w:pPr>
        <w:jc w:val="both"/>
        <w:rPr>
          <w:sz w:val="22"/>
          <w:szCs w:val="22"/>
          <w:lang w:val="fr-FR"/>
        </w:rPr>
      </w:pPr>
    </w:p>
    <w:p w:rsidR="00FD1D89" w:rsidRPr="00722894" w:rsidRDefault="00FD1D89" w:rsidP="00FA6D32">
      <w:pPr>
        <w:jc w:val="both"/>
        <w:rPr>
          <w:sz w:val="22"/>
          <w:szCs w:val="22"/>
          <w:lang w:val="fr-FR"/>
        </w:rPr>
      </w:pPr>
    </w:p>
    <w:p w:rsidR="00FD1D89" w:rsidRPr="00722894" w:rsidRDefault="001331B4" w:rsidP="00933BC3">
      <w:pPr>
        <w:jc w:val="both"/>
        <w:rPr>
          <w:b/>
          <w:bCs/>
          <w:lang w:val="fr-FR"/>
        </w:rPr>
      </w:pPr>
      <w:r>
        <w:rPr>
          <w:b/>
          <w:bCs/>
          <w:lang w:val="fr-FR"/>
        </w:rPr>
        <w:t>V</w:t>
      </w:r>
      <w:r w:rsidR="00BB1FB6">
        <w:rPr>
          <w:b/>
          <w:bCs/>
          <w:lang w:val="fr-FR"/>
        </w:rPr>
        <w:t xml:space="preserve">. </w:t>
      </w:r>
      <w:r w:rsidR="00FD1D89" w:rsidRPr="00722894">
        <w:rPr>
          <w:b/>
          <w:bCs/>
          <w:lang w:val="fr-FR"/>
        </w:rPr>
        <w:t xml:space="preserve">Stade de mise en œuvre  </w:t>
      </w:r>
    </w:p>
    <w:p w:rsidR="00FD1D89" w:rsidRPr="00722894" w:rsidRDefault="00FD1D89" w:rsidP="00933BC3">
      <w:pPr>
        <w:jc w:val="both"/>
        <w:rPr>
          <w:sz w:val="22"/>
          <w:szCs w:val="22"/>
          <w:lang w:val="fr-FR"/>
        </w:rPr>
      </w:pPr>
    </w:p>
    <w:p w:rsidR="00FD1D89" w:rsidRPr="00722894" w:rsidRDefault="00FD1D89" w:rsidP="00933BC3">
      <w:pPr>
        <w:jc w:val="both"/>
        <w:rPr>
          <w:sz w:val="22"/>
          <w:szCs w:val="22"/>
          <w:lang w:val="fr-FR"/>
        </w:rPr>
      </w:pPr>
      <w:r w:rsidRPr="00722894">
        <w:rPr>
          <w:sz w:val="22"/>
          <w:szCs w:val="22"/>
          <w:lang w:val="fr-FR"/>
        </w:rPr>
        <w:t xml:space="preserve">16. </w:t>
      </w:r>
      <w:r w:rsidRPr="00722894">
        <w:rPr>
          <w:sz w:val="22"/>
          <w:szCs w:val="22"/>
          <w:lang w:val="fr-FR"/>
        </w:rPr>
        <w:tab/>
        <w:t xml:space="preserve">Vous trouverez ci-dessous une vue d'ensemble du stade de mise en œuvre des différentes activités du Plan d’action pour la communication 2006–2009 </w:t>
      </w:r>
      <w:r>
        <w:rPr>
          <w:sz w:val="22"/>
          <w:szCs w:val="22"/>
          <w:lang w:val="fr-FR"/>
        </w:rPr>
        <w:t>en date du</w:t>
      </w:r>
      <w:r w:rsidRPr="00722894">
        <w:rPr>
          <w:sz w:val="22"/>
          <w:szCs w:val="22"/>
          <w:lang w:val="fr-FR"/>
        </w:rPr>
        <w:t xml:space="preserve"> mois de </w:t>
      </w:r>
      <w:r>
        <w:rPr>
          <w:sz w:val="22"/>
          <w:szCs w:val="22"/>
          <w:lang w:val="fr-FR"/>
        </w:rPr>
        <w:t xml:space="preserve"> mars 2012</w:t>
      </w:r>
      <w:r w:rsidRPr="00722894">
        <w:rPr>
          <w:sz w:val="22"/>
          <w:szCs w:val="22"/>
          <w:lang w:val="fr-FR"/>
        </w:rPr>
        <w:t>. Le tableau récapitule toutes les activités, le budget total alloué estimé pour chaque activité pour la période 2006-2009 tel qu’adopté par la Résolution 3.10 à la MOP3, une évaluation initiale des fonds réellement reçus réservés pour une activité spécifique, ainsi qu’un résumé du stade de mise en œuvre de chaque activité de la perspective du Secrétariat. En outre, le tableau inclut une colonne indiquant si une activité spécifique a oui o</w:t>
      </w:r>
      <w:r w:rsidR="008F3F56">
        <w:rPr>
          <w:sz w:val="22"/>
          <w:szCs w:val="22"/>
          <w:lang w:val="fr-FR"/>
        </w:rPr>
        <w:t>u non été incluse dans le Plan s</w:t>
      </w:r>
      <w:r w:rsidRPr="00722894">
        <w:rPr>
          <w:sz w:val="22"/>
          <w:szCs w:val="22"/>
          <w:lang w:val="fr-FR"/>
        </w:rPr>
        <w:t xml:space="preserve">tratégique 2009-2017 et si l’inclusion de cette activité dans les Tâches internationales de mise en œuvre 2012-2015 a été oui ou non envisagée. </w:t>
      </w:r>
    </w:p>
    <w:p w:rsidR="00FD1D89" w:rsidRPr="00722894" w:rsidRDefault="00FD1D89" w:rsidP="00933BC3">
      <w:pPr>
        <w:jc w:val="both"/>
        <w:rPr>
          <w:sz w:val="22"/>
          <w:szCs w:val="22"/>
          <w:lang w:val="fr-FR"/>
        </w:rPr>
      </w:pPr>
    </w:p>
    <w:p w:rsidR="00FD1D89" w:rsidRPr="00722894" w:rsidRDefault="00FD1D89" w:rsidP="00933BC3">
      <w:pPr>
        <w:jc w:val="both"/>
        <w:rPr>
          <w:sz w:val="22"/>
          <w:szCs w:val="22"/>
          <w:lang w:val="fr-FR"/>
        </w:rPr>
      </w:pPr>
    </w:p>
    <w:p w:rsidR="00FD1D89" w:rsidRPr="00722894" w:rsidRDefault="00FD1D89" w:rsidP="00933BC3">
      <w:pPr>
        <w:jc w:val="both"/>
        <w:rPr>
          <w:sz w:val="22"/>
          <w:szCs w:val="22"/>
          <w:lang w:val="fr-FR"/>
        </w:rPr>
      </w:pPr>
    </w:p>
    <w:p w:rsidR="00FD1D89" w:rsidRPr="00722894" w:rsidRDefault="00FD1D89" w:rsidP="00933BC3">
      <w:pPr>
        <w:jc w:val="both"/>
        <w:rPr>
          <w:sz w:val="22"/>
          <w:szCs w:val="22"/>
          <w:lang w:val="fr-FR"/>
        </w:rPr>
      </w:pPr>
    </w:p>
    <w:p w:rsidR="00FD1D89" w:rsidRPr="00722894" w:rsidRDefault="00FD1D89" w:rsidP="00933BC3">
      <w:pPr>
        <w:jc w:val="both"/>
        <w:rPr>
          <w:sz w:val="22"/>
          <w:szCs w:val="22"/>
          <w:lang w:val="fr-FR"/>
        </w:rPr>
      </w:pPr>
    </w:p>
    <w:p w:rsidR="00FD1D89" w:rsidRPr="00722894" w:rsidRDefault="00FD1D89" w:rsidP="00933BC3">
      <w:pPr>
        <w:jc w:val="both"/>
        <w:rPr>
          <w:sz w:val="22"/>
          <w:szCs w:val="22"/>
          <w:lang w:val="fr-FR"/>
        </w:rPr>
      </w:pPr>
    </w:p>
    <w:p w:rsidR="00FD1D89" w:rsidRPr="00722894" w:rsidRDefault="00FD1D89" w:rsidP="00933BC3">
      <w:pPr>
        <w:jc w:val="both"/>
        <w:rPr>
          <w:sz w:val="22"/>
          <w:szCs w:val="22"/>
          <w:lang w:val="fr-FR"/>
        </w:rPr>
        <w:sectPr w:rsidR="00FD1D89" w:rsidRPr="00722894" w:rsidSect="00F65449">
          <w:headerReference w:type="first" r:id="rId11"/>
          <w:footerReference w:type="first" r:id="rId12"/>
          <w:pgSz w:w="11907" w:h="16840" w:code="9"/>
          <w:pgMar w:top="1021" w:right="1134" w:bottom="851" w:left="1134" w:header="709" w:footer="709" w:gutter="0"/>
          <w:pgNumType w:start="2"/>
          <w:cols w:space="708"/>
          <w:titlePg/>
          <w:docGrid w:linePitch="360"/>
        </w:sectPr>
      </w:pPr>
    </w:p>
    <w:p w:rsidR="00FD1D89" w:rsidRPr="00722894" w:rsidRDefault="00FD1D89" w:rsidP="00205D96">
      <w:pPr>
        <w:pStyle w:val="BodyText2"/>
        <w:jc w:val="center"/>
        <w:rPr>
          <w:b/>
          <w:bCs/>
          <w:lang w:val="fr-FR"/>
        </w:rPr>
      </w:pPr>
      <w:r w:rsidRPr="00722894">
        <w:rPr>
          <w:b/>
          <w:bCs/>
          <w:lang w:val="fr-FR"/>
        </w:rPr>
        <w:lastRenderedPageBreak/>
        <w:t>PLAN D'ACTION POUR LA COMMUNICATION 2006 - 2009</w:t>
      </w:r>
    </w:p>
    <w:p w:rsidR="00FD1D89" w:rsidRPr="00722894" w:rsidRDefault="00FD1D89" w:rsidP="00205D96">
      <w:pPr>
        <w:pStyle w:val="BodyText2"/>
        <w:jc w:val="center"/>
        <w:rPr>
          <w:b/>
          <w:bCs/>
          <w:lang w:val="fr-FR"/>
        </w:rPr>
      </w:pPr>
      <w:r w:rsidRPr="00722894">
        <w:rPr>
          <w:b/>
          <w:bCs/>
          <w:lang w:val="fr-FR"/>
        </w:rPr>
        <w:t xml:space="preserve">STADE DE MISE EN ŒUVRE </w:t>
      </w:r>
    </w:p>
    <w:p w:rsidR="00FD1D89" w:rsidRPr="00722894" w:rsidRDefault="00FD1D89" w:rsidP="00205D96">
      <w:pPr>
        <w:pStyle w:val="BodyText2"/>
        <w:jc w:val="center"/>
        <w:rPr>
          <w:b/>
          <w:bCs/>
          <w:lang w:val="fr-FR"/>
        </w:rPr>
      </w:pPr>
    </w:p>
    <w:p w:rsidR="00FD1D89" w:rsidRPr="00722894" w:rsidRDefault="00FD1D89" w:rsidP="00DD61ED">
      <w:pPr>
        <w:pStyle w:val="BodyText2"/>
        <w:rPr>
          <w:lang w:val="fr-FR"/>
        </w:rPr>
      </w:pPr>
    </w:p>
    <w:p w:rsidR="00FD1D89" w:rsidRPr="00722894" w:rsidRDefault="00FD1D89" w:rsidP="00DD61ED">
      <w:pPr>
        <w:pStyle w:val="BodyText2"/>
        <w:rPr>
          <w:lang w:val="fr-FR"/>
        </w:rPr>
      </w:pPr>
    </w:p>
    <w:tbl>
      <w:tblPr>
        <w:tblW w:w="14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2"/>
        <w:gridCol w:w="38"/>
        <w:gridCol w:w="12"/>
        <w:gridCol w:w="13"/>
        <w:gridCol w:w="1496"/>
        <w:gridCol w:w="39"/>
        <w:gridCol w:w="13"/>
        <w:gridCol w:w="1393"/>
        <w:gridCol w:w="125"/>
        <w:gridCol w:w="10"/>
        <w:gridCol w:w="4093"/>
        <w:gridCol w:w="128"/>
        <w:gridCol w:w="11"/>
        <w:gridCol w:w="1115"/>
        <w:gridCol w:w="127"/>
        <w:gridCol w:w="33"/>
        <w:gridCol w:w="1071"/>
        <w:gridCol w:w="28"/>
        <w:gridCol w:w="19"/>
      </w:tblGrid>
      <w:tr w:rsidR="00BB1FB6" w:rsidRPr="004B7125" w:rsidTr="00BB1FB6">
        <w:trPr>
          <w:trHeight w:val="255"/>
          <w:jc w:val="center"/>
        </w:trPr>
        <w:tc>
          <w:tcPr>
            <w:tcW w:w="4765" w:type="dxa"/>
            <w:gridSpan w:val="4"/>
            <w:tcBorders>
              <w:top w:val="nil"/>
              <w:left w:val="nil"/>
              <w:right w:val="nil"/>
            </w:tcBorders>
            <w:noWrap/>
          </w:tcPr>
          <w:p w:rsidR="00BB1FB6" w:rsidRPr="00722894" w:rsidRDefault="00BB1FB6" w:rsidP="00BB1FB6">
            <w:pPr>
              <w:rPr>
                <w:b/>
                <w:bCs/>
                <w:lang w:val="fr-FR"/>
              </w:rPr>
            </w:pPr>
          </w:p>
        </w:tc>
        <w:tc>
          <w:tcPr>
            <w:tcW w:w="1548" w:type="dxa"/>
            <w:gridSpan w:val="3"/>
            <w:tcBorders>
              <w:top w:val="nil"/>
              <w:left w:val="nil"/>
              <w:right w:val="nil"/>
            </w:tcBorders>
            <w:noWrap/>
          </w:tcPr>
          <w:p w:rsidR="00BB1FB6" w:rsidRPr="00722894" w:rsidRDefault="00BB1FB6" w:rsidP="00DD61ED">
            <w:pPr>
              <w:rPr>
                <w:sz w:val="20"/>
                <w:szCs w:val="20"/>
                <w:lang w:val="fr-FR"/>
              </w:rPr>
            </w:pPr>
          </w:p>
        </w:tc>
        <w:tc>
          <w:tcPr>
            <w:tcW w:w="1518" w:type="dxa"/>
            <w:gridSpan w:val="2"/>
            <w:tcBorders>
              <w:top w:val="nil"/>
              <w:left w:val="nil"/>
              <w:right w:val="nil"/>
            </w:tcBorders>
            <w:noWrap/>
          </w:tcPr>
          <w:p w:rsidR="00BB1FB6" w:rsidRPr="00722894" w:rsidRDefault="00BB1FB6" w:rsidP="00DD61ED">
            <w:pPr>
              <w:rPr>
                <w:sz w:val="20"/>
                <w:szCs w:val="20"/>
                <w:lang w:val="fr-FR"/>
              </w:rPr>
            </w:pPr>
          </w:p>
        </w:tc>
        <w:tc>
          <w:tcPr>
            <w:tcW w:w="4103" w:type="dxa"/>
            <w:gridSpan w:val="2"/>
            <w:tcBorders>
              <w:top w:val="nil"/>
              <w:left w:val="nil"/>
              <w:right w:val="nil"/>
            </w:tcBorders>
            <w:noWrap/>
          </w:tcPr>
          <w:p w:rsidR="00BB1FB6" w:rsidRPr="00722894" w:rsidRDefault="00BB1FB6" w:rsidP="00DD61ED">
            <w:pPr>
              <w:rPr>
                <w:sz w:val="20"/>
                <w:szCs w:val="20"/>
                <w:lang w:val="fr-FR"/>
              </w:rPr>
            </w:pPr>
          </w:p>
        </w:tc>
        <w:tc>
          <w:tcPr>
            <w:tcW w:w="1254" w:type="dxa"/>
            <w:gridSpan w:val="3"/>
            <w:tcBorders>
              <w:top w:val="nil"/>
              <w:left w:val="nil"/>
              <w:right w:val="nil"/>
            </w:tcBorders>
            <w:noWrap/>
          </w:tcPr>
          <w:p w:rsidR="00BB1FB6" w:rsidRPr="00722894" w:rsidRDefault="00BB1FB6" w:rsidP="00DD61ED">
            <w:pPr>
              <w:rPr>
                <w:sz w:val="20"/>
                <w:szCs w:val="20"/>
                <w:lang w:val="fr-FR"/>
              </w:rPr>
            </w:pPr>
          </w:p>
        </w:tc>
        <w:tc>
          <w:tcPr>
            <w:tcW w:w="1278" w:type="dxa"/>
            <w:gridSpan w:val="5"/>
            <w:tcBorders>
              <w:top w:val="nil"/>
              <w:left w:val="nil"/>
              <w:right w:val="nil"/>
            </w:tcBorders>
          </w:tcPr>
          <w:p w:rsidR="00BB1FB6" w:rsidRPr="00722894" w:rsidRDefault="00BB1FB6" w:rsidP="00DD61ED">
            <w:pPr>
              <w:rPr>
                <w:sz w:val="20"/>
                <w:szCs w:val="20"/>
                <w:lang w:val="fr-FR"/>
              </w:rPr>
            </w:pPr>
          </w:p>
        </w:tc>
      </w:tr>
      <w:tr w:rsidR="00BB1FB6" w:rsidRPr="001331B4" w:rsidTr="00BB1FB6">
        <w:trPr>
          <w:trHeight w:val="255"/>
          <w:jc w:val="center"/>
        </w:trPr>
        <w:tc>
          <w:tcPr>
            <w:tcW w:w="4765" w:type="dxa"/>
            <w:gridSpan w:val="4"/>
            <w:tcBorders>
              <w:bottom w:val="single" w:sz="4" w:space="0" w:color="auto"/>
              <w:right w:val="nil"/>
            </w:tcBorders>
            <w:shd w:val="clear" w:color="auto" w:fill="D9D9D9"/>
            <w:noWrap/>
          </w:tcPr>
          <w:p w:rsidR="00BB1FB6" w:rsidRPr="00722894" w:rsidRDefault="00BB1FB6" w:rsidP="00BB1FB6">
            <w:pPr>
              <w:rPr>
                <w:b/>
                <w:bCs/>
                <w:lang w:val="fr-FR"/>
              </w:rPr>
            </w:pPr>
            <w:r w:rsidRPr="00722894">
              <w:rPr>
                <w:b/>
                <w:bCs/>
                <w:sz w:val="22"/>
                <w:szCs w:val="22"/>
                <w:lang w:val="fr-FR"/>
              </w:rPr>
              <w:t xml:space="preserve">Plan d'action pour la communication de l’AEWA 2006-2009 (Stade de mise en œuvre au mois de </w:t>
            </w:r>
            <w:r>
              <w:rPr>
                <w:b/>
                <w:bCs/>
                <w:sz w:val="22"/>
                <w:szCs w:val="22"/>
                <w:lang w:val="fr-FR"/>
              </w:rPr>
              <w:t>mars 2012</w:t>
            </w:r>
            <w:r w:rsidRPr="00722894">
              <w:rPr>
                <w:b/>
                <w:bCs/>
                <w:sz w:val="22"/>
                <w:szCs w:val="22"/>
                <w:lang w:val="fr-FR"/>
              </w:rPr>
              <w:t>)</w:t>
            </w:r>
          </w:p>
          <w:p w:rsidR="00BB1FB6" w:rsidRPr="00722894" w:rsidRDefault="00BB1FB6" w:rsidP="00DD61ED">
            <w:pPr>
              <w:rPr>
                <w:b/>
                <w:bCs/>
                <w:sz w:val="20"/>
                <w:szCs w:val="20"/>
                <w:lang w:val="fr-FR"/>
              </w:rPr>
            </w:pPr>
          </w:p>
        </w:tc>
        <w:tc>
          <w:tcPr>
            <w:tcW w:w="1548" w:type="dxa"/>
            <w:gridSpan w:val="3"/>
            <w:tcBorders>
              <w:bottom w:val="single" w:sz="4" w:space="0" w:color="auto"/>
            </w:tcBorders>
            <w:shd w:val="clear" w:color="auto" w:fill="D9D9D9"/>
            <w:noWrap/>
          </w:tcPr>
          <w:p w:rsidR="00BB1FB6" w:rsidRPr="00722894" w:rsidRDefault="00BB1FB6" w:rsidP="00DD61ED">
            <w:pPr>
              <w:rPr>
                <w:b/>
                <w:bCs/>
                <w:sz w:val="20"/>
                <w:szCs w:val="20"/>
                <w:lang w:val="fr-FR"/>
              </w:rPr>
            </w:pPr>
          </w:p>
        </w:tc>
        <w:tc>
          <w:tcPr>
            <w:tcW w:w="1518" w:type="dxa"/>
            <w:gridSpan w:val="2"/>
            <w:tcBorders>
              <w:bottom w:val="single" w:sz="4" w:space="0" w:color="auto"/>
            </w:tcBorders>
            <w:shd w:val="clear" w:color="auto" w:fill="D9D9D9"/>
            <w:noWrap/>
          </w:tcPr>
          <w:p w:rsidR="00BB1FB6" w:rsidRPr="00722894" w:rsidRDefault="00BB1FB6" w:rsidP="00DD61ED">
            <w:pPr>
              <w:rPr>
                <w:b/>
                <w:bCs/>
                <w:sz w:val="20"/>
                <w:szCs w:val="20"/>
                <w:lang w:val="fr-FR"/>
              </w:rPr>
            </w:pPr>
          </w:p>
        </w:tc>
        <w:tc>
          <w:tcPr>
            <w:tcW w:w="4103" w:type="dxa"/>
            <w:gridSpan w:val="2"/>
            <w:tcBorders>
              <w:bottom w:val="single" w:sz="4" w:space="0" w:color="auto"/>
            </w:tcBorders>
            <w:shd w:val="clear" w:color="auto" w:fill="D9D9D9"/>
            <w:noWrap/>
          </w:tcPr>
          <w:p w:rsidR="00BB1FB6" w:rsidRPr="00722894" w:rsidRDefault="00BB1FB6" w:rsidP="00DD61ED">
            <w:pPr>
              <w:rPr>
                <w:b/>
                <w:bCs/>
                <w:sz w:val="20"/>
                <w:szCs w:val="20"/>
                <w:lang w:val="fr-FR"/>
              </w:rPr>
            </w:pPr>
          </w:p>
        </w:tc>
        <w:tc>
          <w:tcPr>
            <w:tcW w:w="1254" w:type="dxa"/>
            <w:gridSpan w:val="3"/>
            <w:tcBorders>
              <w:bottom w:val="single" w:sz="4" w:space="0" w:color="auto"/>
            </w:tcBorders>
            <w:shd w:val="clear" w:color="auto" w:fill="D9D9D9"/>
            <w:noWrap/>
          </w:tcPr>
          <w:p w:rsidR="00BB1FB6" w:rsidRPr="00722894" w:rsidRDefault="00BB1FB6" w:rsidP="00DD61ED">
            <w:pPr>
              <w:rPr>
                <w:b/>
                <w:bCs/>
                <w:sz w:val="20"/>
                <w:szCs w:val="20"/>
                <w:lang w:val="fr-FR"/>
              </w:rPr>
            </w:pPr>
          </w:p>
        </w:tc>
        <w:tc>
          <w:tcPr>
            <w:tcW w:w="1278" w:type="dxa"/>
            <w:gridSpan w:val="5"/>
            <w:tcBorders>
              <w:bottom w:val="single" w:sz="4" w:space="0" w:color="auto"/>
            </w:tcBorders>
            <w:shd w:val="clear" w:color="auto" w:fill="D9D9D9"/>
          </w:tcPr>
          <w:p w:rsidR="00BB1FB6" w:rsidRPr="00722894" w:rsidRDefault="00BB1FB6" w:rsidP="00DD61ED">
            <w:pPr>
              <w:rPr>
                <w:b/>
                <w:bCs/>
                <w:sz w:val="20"/>
                <w:szCs w:val="20"/>
                <w:lang w:val="fr-FR"/>
              </w:rPr>
            </w:pPr>
          </w:p>
        </w:tc>
      </w:tr>
      <w:tr w:rsidR="00BB1FB6" w:rsidRPr="001331B4" w:rsidTr="00BB1FB6">
        <w:trPr>
          <w:trHeight w:val="255"/>
          <w:jc w:val="center"/>
        </w:trPr>
        <w:tc>
          <w:tcPr>
            <w:tcW w:w="4765" w:type="dxa"/>
            <w:gridSpan w:val="4"/>
            <w:vMerge w:val="restart"/>
            <w:tcBorders>
              <w:right w:val="nil"/>
            </w:tcBorders>
            <w:shd w:val="clear" w:color="auto" w:fill="auto"/>
            <w:noWrap/>
          </w:tcPr>
          <w:p w:rsidR="00BB1FB6" w:rsidRPr="00722894" w:rsidRDefault="00BB1FB6" w:rsidP="00DD61ED">
            <w:pPr>
              <w:rPr>
                <w:b/>
                <w:bCs/>
                <w:sz w:val="20"/>
                <w:szCs w:val="20"/>
                <w:lang w:val="fr-FR"/>
              </w:rPr>
            </w:pPr>
          </w:p>
          <w:p w:rsidR="00BB1FB6" w:rsidRPr="00722894" w:rsidRDefault="00BB1FB6" w:rsidP="00DD61ED">
            <w:pPr>
              <w:rPr>
                <w:b/>
                <w:bCs/>
                <w:sz w:val="20"/>
                <w:szCs w:val="20"/>
                <w:lang w:val="fr-FR"/>
              </w:rPr>
            </w:pPr>
            <w:r w:rsidRPr="00722894">
              <w:rPr>
                <w:b/>
                <w:bCs/>
                <w:sz w:val="20"/>
                <w:szCs w:val="20"/>
                <w:lang w:val="fr-FR"/>
              </w:rPr>
              <w:t xml:space="preserve">ACTIVITÉ </w:t>
            </w:r>
          </w:p>
          <w:p w:rsidR="00BB1FB6" w:rsidRPr="00722894" w:rsidRDefault="00BB1FB6" w:rsidP="00DD61ED">
            <w:pPr>
              <w:rPr>
                <w:b/>
                <w:bCs/>
                <w:sz w:val="20"/>
                <w:szCs w:val="20"/>
                <w:lang w:val="fr-FR"/>
              </w:rPr>
            </w:pPr>
            <w:r w:rsidRPr="00722894">
              <w:rPr>
                <w:b/>
                <w:bCs/>
                <w:sz w:val="20"/>
                <w:szCs w:val="20"/>
                <w:lang w:val="fr-FR"/>
              </w:rPr>
              <w:t>(Telle que figurant dans le Plan d'action pour la communication 2006-2009)</w:t>
            </w:r>
          </w:p>
        </w:tc>
        <w:tc>
          <w:tcPr>
            <w:tcW w:w="1548" w:type="dxa"/>
            <w:gridSpan w:val="3"/>
            <w:tcBorders>
              <w:bottom w:val="single" w:sz="4" w:space="0" w:color="auto"/>
            </w:tcBorders>
            <w:shd w:val="clear" w:color="auto" w:fill="auto"/>
            <w:noWrap/>
          </w:tcPr>
          <w:p w:rsidR="00BB1FB6" w:rsidRPr="00722894" w:rsidRDefault="00BB1FB6" w:rsidP="00DD61ED">
            <w:pPr>
              <w:rPr>
                <w:b/>
                <w:bCs/>
                <w:sz w:val="20"/>
                <w:szCs w:val="20"/>
                <w:lang w:val="fr-FR"/>
              </w:rPr>
            </w:pPr>
            <w:r w:rsidRPr="00722894">
              <w:rPr>
                <w:b/>
                <w:bCs/>
                <w:sz w:val="20"/>
                <w:szCs w:val="20"/>
                <w:lang w:val="fr-FR"/>
              </w:rPr>
              <w:t>Estimation totale Fonds requis</w:t>
            </w:r>
          </w:p>
        </w:tc>
        <w:tc>
          <w:tcPr>
            <w:tcW w:w="1518" w:type="dxa"/>
            <w:gridSpan w:val="2"/>
            <w:tcBorders>
              <w:bottom w:val="single" w:sz="4" w:space="0" w:color="auto"/>
            </w:tcBorders>
            <w:shd w:val="clear" w:color="auto" w:fill="auto"/>
            <w:noWrap/>
          </w:tcPr>
          <w:p w:rsidR="00BB1FB6" w:rsidRPr="00722894" w:rsidRDefault="00BB1FB6" w:rsidP="00DD61ED">
            <w:pPr>
              <w:rPr>
                <w:b/>
                <w:bCs/>
                <w:sz w:val="20"/>
                <w:szCs w:val="20"/>
                <w:lang w:val="fr-FR"/>
              </w:rPr>
            </w:pPr>
            <w:r w:rsidRPr="00722894">
              <w:rPr>
                <w:b/>
                <w:bCs/>
                <w:sz w:val="20"/>
                <w:szCs w:val="20"/>
                <w:lang w:val="fr-FR"/>
              </w:rPr>
              <w:t>Fonds reçus et donateur</w:t>
            </w:r>
          </w:p>
        </w:tc>
        <w:tc>
          <w:tcPr>
            <w:tcW w:w="4103" w:type="dxa"/>
            <w:gridSpan w:val="2"/>
            <w:tcBorders>
              <w:bottom w:val="single" w:sz="4" w:space="0" w:color="auto"/>
            </w:tcBorders>
            <w:shd w:val="clear" w:color="auto" w:fill="auto"/>
            <w:noWrap/>
          </w:tcPr>
          <w:p w:rsidR="00BB1FB6" w:rsidRPr="00722894" w:rsidRDefault="00BB1FB6" w:rsidP="00DD61ED">
            <w:pPr>
              <w:rPr>
                <w:b/>
                <w:bCs/>
                <w:sz w:val="20"/>
                <w:szCs w:val="20"/>
                <w:lang w:val="fr-FR"/>
              </w:rPr>
            </w:pPr>
            <w:r w:rsidRPr="00722894">
              <w:rPr>
                <w:b/>
                <w:bCs/>
                <w:sz w:val="20"/>
                <w:szCs w:val="20"/>
                <w:lang w:val="fr-FR"/>
              </w:rPr>
              <w:t>Stade de mise en œuvre / Commentaires du Secrétariat</w:t>
            </w:r>
          </w:p>
        </w:tc>
        <w:tc>
          <w:tcPr>
            <w:tcW w:w="1254" w:type="dxa"/>
            <w:gridSpan w:val="3"/>
            <w:tcBorders>
              <w:bottom w:val="single" w:sz="4" w:space="0" w:color="auto"/>
            </w:tcBorders>
            <w:shd w:val="clear" w:color="auto" w:fill="auto"/>
            <w:noWrap/>
          </w:tcPr>
          <w:p w:rsidR="00BB1FB6" w:rsidRPr="00722894" w:rsidRDefault="008F3F56" w:rsidP="00DD61ED">
            <w:pPr>
              <w:rPr>
                <w:b/>
                <w:bCs/>
                <w:sz w:val="20"/>
                <w:szCs w:val="20"/>
                <w:lang w:val="fr-FR"/>
              </w:rPr>
            </w:pPr>
            <w:r>
              <w:rPr>
                <w:b/>
                <w:bCs/>
                <w:sz w:val="20"/>
                <w:szCs w:val="20"/>
                <w:lang w:val="fr-FR"/>
              </w:rPr>
              <w:t>Incluse dans le Plan s</w:t>
            </w:r>
            <w:r w:rsidR="00BB1FB6" w:rsidRPr="00722894">
              <w:rPr>
                <w:b/>
                <w:bCs/>
                <w:sz w:val="20"/>
                <w:szCs w:val="20"/>
                <w:lang w:val="fr-FR"/>
              </w:rPr>
              <w:t>tratégique 2009 - 2017</w:t>
            </w:r>
          </w:p>
        </w:tc>
        <w:tc>
          <w:tcPr>
            <w:tcW w:w="1278" w:type="dxa"/>
            <w:gridSpan w:val="5"/>
            <w:tcBorders>
              <w:bottom w:val="single" w:sz="4" w:space="0" w:color="auto"/>
            </w:tcBorders>
            <w:shd w:val="clear" w:color="auto" w:fill="auto"/>
          </w:tcPr>
          <w:p w:rsidR="00BB1FB6" w:rsidRPr="00722894" w:rsidRDefault="00BB1FB6" w:rsidP="00DD61ED">
            <w:pPr>
              <w:rPr>
                <w:b/>
                <w:bCs/>
                <w:sz w:val="20"/>
                <w:szCs w:val="20"/>
                <w:lang w:val="fr-FR"/>
              </w:rPr>
            </w:pPr>
            <w:r w:rsidRPr="00722894">
              <w:rPr>
                <w:b/>
                <w:bCs/>
                <w:sz w:val="20"/>
                <w:szCs w:val="20"/>
                <w:lang w:val="fr-FR"/>
              </w:rPr>
              <w:t>Incluse dans l’avant-projet d’IIT  2012-2015</w:t>
            </w:r>
          </w:p>
        </w:tc>
      </w:tr>
      <w:tr w:rsidR="00BB1FB6" w:rsidRPr="00722894" w:rsidTr="00BB1FB6">
        <w:trPr>
          <w:trHeight w:val="255"/>
          <w:jc w:val="center"/>
        </w:trPr>
        <w:tc>
          <w:tcPr>
            <w:tcW w:w="4765" w:type="dxa"/>
            <w:gridSpan w:val="4"/>
            <w:vMerge/>
            <w:tcBorders>
              <w:right w:val="nil"/>
            </w:tcBorders>
            <w:shd w:val="clear" w:color="auto" w:fill="C0C0C0"/>
            <w:noWrap/>
          </w:tcPr>
          <w:p w:rsidR="00BB1FB6" w:rsidRPr="00722894" w:rsidRDefault="00BB1FB6" w:rsidP="00DD61ED">
            <w:pPr>
              <w:rPr>
                <w:sz w:val="20"/>
                <w:szCs w:val="20"/>
                <w:lang w:val="fr-FR"/>
              </w:rPr>
            </w:pPr>
          </w:p>
        </w:tc>
        <w:tc>
          <w:tcPr>
            <w:tcW w:w="1548" w:type="dxa"/>
            <w:gridSpan w:val="3"/>
            <w:shd w:val="clear" w:color="auto" w:fill="auto"/>
            <w:noWrap/>
            <w:vAlign w:val="center"/>
          </w:tcPr>
          <w:p w:rsidR="00BB1FB6" w:rsidRPr="00722894" w:rsidRDefault="00BB1FB6" w:rsidP="00DD61ED">
            <w:pPr>
              <w:rPr>
                <w:b/>
                <w:bCs/>
                <w:sz w:val="20"/>
                <w:szCs w:val="20"/>
                <w:lang w:val="fr-FR"/>
              </w:rPr>
            </w:pPr>
            <w:r w:rsidRPr="00722894">
              <w:rPr>
                <w:b/>
                <w:bCs/>
                <w:sz w:val="20"/>
                <w:szCs w:val="20"/>
                <w:lang w:val="fr-FR"/>
              </w:rPr>
              <w:t>2006 - 2009</w:t>
            </w:r>
          </w:p>
        </w:tc>
        <w:tc>
          <w:tcPr>
            <w:tcW w:w="1518" w:type="dxa"/>
            <w:gridSpan w:val="2"/>
            <w:shd w:val="clear" w:color="auto" w:fill="auto"/>
            <w:noWrap/>
            <w:vAlign w:val="center"/>
          </w:tcPr>
          <w:p w:rsidR="00BB1FB6" w:rsidRPr="00722894" w:rsidRDefault="00BB1FB6" w:rsidP="00DD61ED">
            <w:pPr>
              <w:rPr>
                <w:b/>
                <w:bCs/>
                <w:sz w:val="20"/>
                <w:szCs w:val="20"/>
                <w:lang w:val="fr-FR"/>
              </w:rPr>
            </w:pPr>
            <w:r w:rsidRPr="00722894">
              <w:rPr>
                <w:b/>
                <w:bCs/>
                <w:sz w:val="20"/>
                <w:szCs w:val="20"/>
                <w:lang w:val="fr-FR"/>
              </w:rPr>
              <w:t>2006-2009</w:t>
            </w:r>
          </w:p>
        </w:tc>
        <w:tc>
          <w:tcPr>
            <w:tcW w:w="4103" w:type="dxa"/>
            <w:gridSpan w:val="2"/>
            <w:shd w:val="clear" w:color="auto" w:fill="auto"/>
            <w:noWrap/>
            <w:vAlign w:val="center"/>
          </w:tcPr>
          <w:p w:rsidR="00BB1FB6" w:rsidRPr="00722894" w:rsidRDefault="00BB1FB6" w:rsidP="00DD61ED">
            <w:pPr>
              <w:rPr>
                <w:b/>
                <w:bCs/>
                <w:sz w:val="20"/>
                <w:szCs w:val="20"/>
                <w:lang w:val="fr-FR"/>
              </w:rPr>
            </w:pPr>
          </w:p>
        </w:tc>
        <w:tc>
          <w:tcPr>
            <w:tcW w:w="1254" w:type="dxa"/>
            <w:gridSpan w:val="3"/>
            <w:shd w:val="clear" w:color="auto" w:fill="auto"/>
            <w:noWrap/>
            <w:vAlign w:val="center"/>
          </w:tcPr>
          <w:p w:rsidR="00BB1FB6" w:rsidRPr="00722894" w:rsidRDefault="00BB1FB6" w:rsidP="00DD61ED">
            <w:pPr>
              <w:rPr>
                <w:b/>
                <w:bCs/>
                <w:sz w:val="20"/>
                <w:szCs w:val="20"/>
                <w:lang w:val="fr-FR"/>
              </w:rPr>
            </w:pPr>
          </w:p>
        </w:tc>
        <w:tc>
          <w:tcPr>
            <w:tcW w:w="1278" w:type="dxa"/>
            <w:gridSpan w:val="5"/>
            <w:shd w:val="clear" w:color="auto" w:fill="auto"/>
          </w:tcPr>
          <w:p w:rsidR="00BB1FB6" w:rsidRPr="00722894" w:rsidRDefault="00BB1FB6" w:rsidP="00DD61ED">
            <w:pPr>
              <w:rPr>
                <w:sz w:val="20"/>
                <w:szCs w:val="20"/>
                <w:lang w:val="fr-FR"/>
              </w:rPr>
            </w:pPr>
            <w:r w:rsidRPr="00722894">
              <w:rPr>
                <w:sz w:val="20"/>
                <w:szCs w:val="20"/>
                <w:lang w:val="fr-FR"/>
              </w:rPr>
              <w:t> </w:t>
            </w:r>
          </w:p>
        </w:tc>
      </w:tr>
      <w:tr w:rsidR="00BB1FB6" w:rsidRPr="001331B4" w:rsidTr="00BB1FB6">
        <w:trPr>
          <w:trHeight w:val="1020"/>
          <w:jc w:val="center"/>
        </w:trPr>
        <w:tc>
          <w:tcPr>
            <w:tcW w:w="14466" w:type="dxa"/>
            <w:gridSpan w:val="19"/>
            <w:shd w:val="clear" w:color="auto" w:fill="F2F2F2" w:themeFill="background1" w:themeFillShade="F2"/>
            <w:noWrap/>
          </w:tcPr>
          <w:p w:rsidR="00BB1FB6" w:rsidRPr="00722894" w:rsidRDefault="00BB1FB6" w:rsidP="00BB1FB6">
            <w:pPr>
              <w:rPr>
                <w:b/>
                <w:bCs/>
                <w:lang w:val="fr-FR"/>
              </w:rPr>
            </w:pPr>
            <w:r w:rsidRPr="00722894">
              <w:rPr>
                <w:b/>
                <w:bCs/>
                <w:lang w:val="fr-FR"/>
              </w:rPr>
              <w:t>1. Communication interne</w:t>
            </w:r>
          </w:p>
          <w:p w:rsidR="00BB1FB6" w:rsidRPr="00722894" w:rsidRDefault="00BB1FB6" w:rsidP="00BB1FB6">
            <w:pPr>
              <w:rPr>
                <w:lang w:val="fr-FR"/>
              </w:rPr>
            </w:pPr>
          </w:p>
          <w:p w:rsidR="00BB1FB6" w:rsidRPr="00722894" w:rsidRDefault="00BB1FB6" w:rsidP="00BB1FB6">
            <w:pPr>
              <w:rPr>
                <w:lang w:val="fr-FR"/>
              </w:rPr>
            </w:pPr>
            <w:r w:rsidRPr="00722894">
              <w:rPr>
                <w:sz w:val="22"/>
                <w:szCs w:val="22"/>
                <w:u w:val="single"/>
                <w:lang w:val="fr-FR"/>
              </w:rPr>
              <w:t>Objectif 1 :</w:t>
            </w:r>
            <w:r w:rsidRPr="00722894">
              <w:rPr>
                <w:sz w:val="22"/>
                <w:szCs w:val="22"/>
                <w:lang w:val="fr-FR"/>
              </w:rPr>
              <w:t xml:space="preserve"> Stimuler et accroître une communication interne efficace et les échanges entre les organes officiels de l’AEWA</w:t>
            </w:r>
          </w:p>
          <w:p w:rsidR="00BB1FB6" w:rsidRPr="00722894" w:rsidRDefault="00BB1FB6" w:rsidP="00DD61ED">
            <w:pPr>
              <w:rPr>
                <w:b/>
                <w:bCs/>
                <w:sz w:val="20"/>
                <w:szCs w:val="20"/>
                <w:lang w:val="fr-FR"/>
              </w:rPr>
            </w:pPr>
          </w:p>
        </w:tc>
      </w:tr>
      <w:tr w:rsidR="00BB1FB6" w:rsidRPr="00722894" w:rsidTr="00BB1FB6">
        <w:trPr>
          <w:trHeight w:val="1020"/>
          <w:jc w:val="center"/>
        </w:trPr>
        <w:tc>
          <w:tcPr>
            <w:tcW w:w="4765" w:type="dxa"/>
            <w:gridSpan w:val="4"/>
            <w:noWrap/>
          </w:tcPr>
          <w:p w:rsidR="00BB1FB6" w:rsidRPr="00722894" w:rsidRDefault="00BB1FB6" w:rsidP="00DD61ED">
            <w:pPr>
              <w:rPr>
                <w:b/>
                <w:bCs/>
                <w:sz w:val="20"/>
                <w:szCs w:val="20"/>
                <w:lang w:val="fr-FR"/>
              </w:rPr>
            </w:pPr>
            <w:r w:rsidRPr="00722894">
              <w:rPr>
                <w:b/>
                <w:bCs/>
                <w:sz w:val="20"/>
                <w:szCs w:val="20"/>
                <w:lang w:val="fr-FR"/>
              </w:rPr>
              <w:t>Activité 1.1. Accroître l’interactivité durant les réunion</w:t>
            </w:r>
          </w:p>
        </w:tc>
        <w:tc>
          <w:tcPr>
            <w:tcW w:w="1548" w:type="dxa"/>
            <w:gridSpan w:val="3"/>
            <w:noWrap/>
          </w:tcPr>
          <w:p w:rsidR="00BB1FB6" w:rsidRPr="00722894" w:rsidRDefault="00BB1FB6" w:rsidP="00DD61ED">
            <w:pPr>
              <w:rPr>
                <w:b/>
                <w:bCs/>
                <w:sz w:val="20"/>
                <w:szCs w:val="20"/>
                <w:lang w:val="fr-FR"/>
              </w:rPr>
            </w:pPr>
            <w:r w:rsidRPr="00722894">
              <w:rPr>
                <w:b/>
                <w:bCs/>
                <w:sz w:val="20"/>
                <w:szCs w:val="20"/>
                <w:lang w:val="fr-FR"/>
              </w:rPr>
              <w:t>18 450 €</w:t>
            </w:r>
          </w:p>
        </w:tc>
        <w:tc>
          <w:tcPr>
            <w:tcW w:w="1518" w:type="dxa"/>
            <w:gridSpan w:val="2"/>
          </w:tcPr>
          <w:p w:rsidR="00BB1FB6" w:rsidRPr="00722894" w:rsidRDefault="00BB1FB6" w:rsidP="00DD61ED">
            <w:pPr>
              <w:rPr>
                <w:b/>
                <w:bCs/>
                <w:sz w:val="20"/>
                <w:szCs w:val="20"/>
                <w:lang w:val="fr-FR"/>
              </w:rPr>
            </w:pPr>
            <w:r w:rsidRPr="00722894">
              <w:rPr>
                <w:b/>
                <w:bCs/>
                <w:sz w:val="20"/>
                <w:szCs w:val="20"/>
                <w:lang w:val="fr-FR"/>
              </w:rPr>
              <w:t xml:space="preserve"> 0 €</w:t>
            </w:r>
          </w:p>
        </w:tc>
        <w:tc>
          <w:tcPr>
            <w:tcW w:w="4103" w:type="dxa"/>
            <w:gridSpan w:val="2"/>
          </w:tcPr>
          <w:p w:rsidR="00BB1FB6" w:rsidRPr="00722894" w:rsidRDefault="00BB1FB6" w:rsidP="00DD61ED">
            <w:pPr>
              <w:rPr>
                <w:sz w:val="20"/>
                <w:szCs w:val="20"/>
                <w:lang w:val="fr-FR"/>
              </w:rPr>
            </w:pPr>
            <w:r w:rsidRPr="00722894">
              <w:rPr>
                <w:sz w:val="20"/>
                <w:szCs w:val="20"/>
                <w:lang w:val="fr-FR"/>
              </w:rPr>
              <w:t>En raison d’un manque de ressources, tant financières qu’humaines, la mise en œuvre de cette activité a été limitée.</w:t>
            </w:r>
          </w:p>
        </w:tc>
        <w:tc>
          <w:tcPr>
            <w:tcW w:w="1254" w:type="dxa"/>
            <w:gridSpan w:val="3"/>
          </w:tcPr>
          <w:p w:rsidR="00BB1FB6" w:rsidRPr="00722894" w:rsidRDefault="00BB1FB6" w:rsidP="00DD61ED">
            <w:pPr>
              <w:rPr>
                <w:b/>
                <w:bCs/>
                <w:sz w:val="20"/>
                <w:szCs w:val="20"/>
                <w:lang w:val="fr-FR"/>
              </w:rPr>
            </w:pPr>
            <w:r w:rsidRPr="00722894">
              <w:rPr>
                <w:b/>
                <w:bCs/>
                <w:sz w:val="20"/>
                <w:szCs w:val="20"/>
                <w:lang w:val="fr-FR"/>
              </w:rPr>
              <w:t xml:space="preserve"> NON</w:t>
            </w:r>
          </w:p>
        </w:tc>
        <w:tc>
          <w:tcPr>
            <w:tcW w:w="1278" w:type="dxa"/>
            <w:gridSpan w:val="5"/>
          </w:tcPr>
          <w:p w:rsidR="00BB1FB6" w:rsidRPr="00722894" w:rsidRDefault="00BB1FB6" w:rsidP="00DD61ED">
            <w:pPr>
              <w:rPr>
                <w:b/>
                <w:bCs/>
                <w:sz w:val="20"/>
                <w:szCs w:val="20"/>
                <w:lang w:val="fr-FR"/>
              </w:rPr>
            </w:pPr>
            <w:r w:rsidRPr="00722894">
              <w:rPr>
                <w:b/>
                <w:bCs/>
                <w:sz w:val="20"/>
                <w:szCs w:val="20"/>
                <w:lang w:val="fr-FR"/>
              </w:rPr>
              <w:t>NON</w:t>
            </w:r>
          </w:p>
        </w:tc>
      </w:tr>
      <w:tr w:rsidR="00BB1FB6" w:rsidRPr="00722894" w:rsidTr="00BB1FB6">
        <w:trPr>
          <w:trHeight w:val="699"/>
          <w:jc w:val="center"/>
        </w:trPr>
        <w:tc>
          <w:tcPr>
            <w:tcW w:w="4765" w:type="dxa"/>
            <w:gridSpan w:val="4"/>
            <w:noWrap/>
          </w:tcPr>
          <w:p w:rsidR="00BB1FB6" w:rsidRPr="00722894" w:rsidRDefault="00BB1FB6" w:rsidP="00DD61ED">
            <w:pPr>
              <w:rPr>
                <w:b/>
                <w:bCs/>
                <w:sz w:val="20"/>
                <w:szCs w:val="20"/>
                <w:lang w:val="fr-FR"/>
              </w:rPr>
            </w:pPr>
            <w:r w:rsidRPr="00722894">
              <w:rPr>
                <w:b/>
                <w:bCs/>
                <w:sz w:val="20"/>
                <w:szCs w:val="20"/>
                <w:lang w:val="fr-FR"/>
              </w:rPr>
              <w:t>Activité 1.2. Accroître l’interactivité entre les réunion</w:t>
            </w:r>
            <w:r>
              <w:rPr>
                <w:b/>
                <w:bCs/>
                <w:sz w:val="20"/>
                <w:szCs w:val="20"/>
                <w:lang w:val="fr-FR"/>
              </w:rPr>
              <w:t>s</w:t>
            </w:r>
          </w:p>
        </w:tc>
        <w:tc>
          <w:tcPr>
            <w:tcW w:w="1548" w:type="dxa"/>
            <w:gridSpan w:val="3"/>
            <w:noWrap/>
          </w:tcPr>
          <w:p w:rsidR="00BB1FB6" w:rsidRPr="00722894" w:rsidRDefault="00BB1FB6" w:rsidP="00DD61ED">
            <w:pPr>
              <w:rPr>
                <w:b/>
                <w:bCs/>
                <w:sz w:val="20"/>
                <w:szCs w:val="20"/>
                <w:lang w:val="fr-FR"/>
              </w:rPr>
            </w:pPr>
            <w:r w:rsidRPr="00722894">
              <w:rPr>
                <w:b/>
                <w:sz w:val="20"/>
                <w:szCs w:val="20"/>
                <w:lang w:val="fr-FR"/>
              </w:rPr>
              <w:t>5 760 €</w:t>
            </w:r>
          </w:p>
        </w:tc>
        <w:tc>
          <w:tcPr>
            <w:tcW w:w="1518" w:type="dxa"/>
            <w:gridSpan w:val="2"/>
          </w:tcPr>
          <w:p w:rsidR="00BB1FB6" w:rsidRPr="00722894" w:rsidRDefault="00BB1FB6" w:rsidP="00DD61ED">
            <w:pPr>
              <w:rPr>
                <w:b/>
                <w:bCs/>
                <w:sz w:val="20"/>
                <w:szCs w:val="20"/>
                <w:lang w:val="fr-FR"/>
              </w:rPr>
            </w:pPr>
            <w:r w:rsidRPr="00722894">
              <w:rPr>
                <w:b/>
                <w:sz w:val="20"/>
                <w:szCs w:val="20"/>
                <w:lang w:val="fr-FR"/>
              </w:rPr>
              <w:t>2 000 €</w:t>
            </w:r>
          </w:p>
          <w:p w:rsidR="00BB1FB6" w:rsidRPr="00722894" w:rsidRDefault="00BB1FB6" w:rsidP="00DD61ED">
            <w:pPr>
              <w:rPr>
                <w:b/>
                <w:bCs/>
                <w:sz w:val="20"/>
                <w:szCs w:val="20"/>
                <w:lang w:val="fr-FR"/>
              </w:rPr>
            </w:pPr>
          </w:p>
          <w:p w:rsidR="00BB1FB6" w:rsidRPr="00722894" w:rsidRDefault="00BB1FB6" w:rsidP="00DD61ED">
            <w:pPr>
              <w:rPr>
                <w:b/>
                <w:bCs/>
                <w:sz w:val="20"/>
                <w:szCs w:val="20"/>
                <w:lang w:val="fr-FR"/>
              </w:rPr>
            </w:pPr>
            <w:r w:rsidRPr="00722894">
              <w:rPr>
                <w:b/>
                <w:bCs/>
                <w:sz w:val="20"/>
                <w:szCs w:val="20"/>
                <w:lang w:val="fr-FR"/>
              </w:rPr>
              <w:t>(Allemagne)</w:t>
            </w:r>
          </w:p>
        </w:tc>
        <w:tc>
          <w:tcPr>
            <w:tcW w:w="4103" w:type="dxa"/>
            <w:gridSpan w:val="2"/>
          </w:tcPr>
          <w:p w:rsidR="00BB1FB6" w:rsidRPr="00722894" w:rsidRDefault="00BB1FB6" w:rsidP="00DD61ED">
            <w:pPr>
              <w:rPr>
                <w:sz w:val="20"/>
                <w:szCs w:val="20"/>
                <w:lang w:val="fr-FR"/>
              </w:rPr>
            </w:pPr>
            <w:r w:rsidRPr="00722894">
              <w:rPr>
                <w:sz w:val="20"/>
                <w:szCs w:val="20"/>
                <w:lang w:val="fr-FR"/>
              </w:rPr>
              <w:t>Le Secrétariat a établi des pages dédiées aux Comités technique (TC)  et permanent (</w:t>
            </w:r>
            <w:proofErr w:type="spellStart"/>
            <w:r w:rsidRPr="00722894">
              <w:rPr>
                <w:sz w:val="20"/>
                <w:szCs w:val="20"/>
                <w:lang w:val="fr-FR"/>
              </w:rPr>
              <w:t>StC</w:t>
            </w:r>
            <w:proofErr w:type="spellEnd"/>
            <w:r w:rsidRPr="00722894">
              <w:rPr>
                <w:sz w:val="20"/>
                <w:szCs w:val="20"/>
                <w:lang w:val="fr-FR"/>
              </w:rPr>
              <w:t xml:space="preserve">) sur son site Web public. Le Secrétariat a également régulièrement </w:t>
            </w:r>
            <w:r>
              <w:rPr>
                <w:sz w:val="20"/>
                <w:szCs w:val="20"/>
                <w:lang w:val="fr-FR"/>
              </w:rPr>
              <w:t>rendu compte de ces réunions sur</w:t>
            </w:r>
            <w:r w:rsidRPr="00722894">
              <w:rPr>
                <w:sz w:val="20"/>
                <w:szCs w:val="20"/>
                <w:lang w:val="fr-FR"/>
              </w:rPr>
              <w:t xml:space="preserve"> son site Web public, y compris les décisions prises et les futures réunions. </w:t>
            </w:r>
          </w:p>
          <w:p w:rsidR="00BB1FB6" w:rsidRPr="00722894" w:rsidRDefault="00BB1FB6" w:rsidP="00DD61ED">
            <w:pPr>
              <w:rPr>
                <w:sz w:val="20"/>
                <w:szCs w:val="20"/>
                <w:lang w:val="fr-FR"/>
              </w:rPr>
            </w:pPr>
          </w:p>
          <w:p w:rsidR="00BB1FB6" w:rsidRPr="00722894" w:rsidRDefault="00BB1FB6" w:rsidP="00DD61ED">
            <w:pPr>
              <w:rPr>
                <w:b/>
                <w:bCs/>
                <w:sz w:val="20"/>
                <w:szCs w:val="20"/>
                <w:lang w:val="fr-FR"/>
              </w:rPr>
            </w:pPr>
            <w:r w:rsidRPr="00722894">
              <w:rPr>
                <w:b/>
                <w:bCs/>
                <w:sz w:val="20"/>
                <w:szCs w:val="20"/>
                <w:lang w:val="fr-FR"/>
              </w:rPr>
              <w:t xml:space="preserve">Espace de travail du Comité technique  </w:t>
            </w:r>
          </w:p>
          <w:p w:rsidR="00BB1FB6" w:rsidRPr="00722894" w:rsidRDefault="00BB1FB6" w:rsidP="00DD61ED">
            <w:pPr>
              <w:rPr>
                <w:sz w:val="20"/>
                <w:szCs w:val="20"/>
                <w:lang w:val="fr-FR"/>
              </w:rPr>
            </w:pPr>
          </w:p>
          <w:p w:rsidR="00BB1FB6" w:rsidRPr="00722894" w:rsidRDefault="00BB1FB6" w:rsidP="00DD61ED">
            <w:pPr>
              <w:rPr>
                <w:b/>
                <w:bCs/>
                <w:sz w:val="20"/>
                <w:szCs w:val="20"/>
                <w:lang w:val="fr-FR"/>
              </w:rPr>
            </w:pPr>
            <w:r w:rsidRPr="00722894">
              <w:rPr>
                <w:sz w:val="20"/>
                <w:szCs w:val="20"/>
                <w:lang w:val="fr-FR"/>
              </w:rPr>
              <w:t xml:space="preserve">Un nouvel espace de travail interactif basé sur le Web a été développé par le Secrétariat pour le TC, permettant les discussions en ligne et un meilleur archivage du travail lié au TC. Il offre une plateforme centrale pour la collaboration en ligne et aide au travail et à la communication du </w:t>
            </w:r>
            <w:r w:rsidRPr="00722894">
              <w:rPr>
                <w:sz w:val="20"/>
                <w:szCs w:val="20"/>
                <w:lang w:val="fr-FR"/>
              </w:rPr>
              <w:lastRenderedPageBreak/>
              <w:t>TC entre les réunions. Il est opérationnel depuis janvier 2009.</w:t>
            </w:r>
          </w:p>
        </w:tc>
        <w:tc>
          <w:tcPr>
            <w:tcW w:w="1254" w:type="dxa"/>
            <w:gridSpan w:val="3"/>
          </w:tcPr>
          <w:p w:rsidR="00BB1FB6" w:rsidRPr="00722894" w:rsidRDefault="00BB1FB6" w:rsidP="00DD61ED">
            <w:pPr>
              <w:rPr>
                <w:b/>
                <w:bCs/>
                <w:sz w:val="20"/>
                <w:szCs w:val="20"/>
                <w:lang w:val="fr-FR"/>
              </w:rPr>
            </w:pPr>
            <w:r w:rsidRPr="00722894">
              <w:rPr>
                <w:b/>
                <w:bCs/>
                <w:sz w:val="20"/>
                <w:szCs w:val="20"/>
                <w:lang w:val="fr-FR"/>
              </w:rPr>
              <w:lastRenderedPageBreak/>
              <w:t>NON</w:t>
            </w:r>
          </w:p>
        </w:tc>
        <w:tc>
          <w:tcPr>
            <w:tcW w:w="1278" w:type="dxa"/>
            <w:gridSpan w:val="5"/>
          </w:tcPr>
          <w:p w:rsidR="00BB1FB6" w:rsidRPr="00722894" w:rsidRDefault="00BB1FB6" w:rsidP="00DD61ED">
            <w:pPr>
              <w:rPr>
                <w:b/>
                <w:bCs/>
                <w:sz w:val="20"/>
                <w:szCs w:val="20"/>
                <w:lang w:val="fr-FR"/>
              </w:rPr>
            </w:pPr>
            <w:r w:rsidRPr="00722894">
              <w:rPr>
                <w:b/>
                <w:bCs/>
                <w:sz w:val="20"/>
                <w:szCs w:val="20"/>
                <w:lang w:val="fr-FR"/>
              </w:rPr>
              <w:t>NON</w:t>
            </w:r>
          </w:p>
        </w:tc>
      </w:tr>
      <w:tr w:rsidR="00BB1FB6" w:rsidRPr="00722894" w:rsidTr="00BB1FB6">
        <w:trPr>
          <w:trHeight w:val="510"/>
          <w:jc w:val="center"/>
        </w:trPr>
        <w:tc>
          <w:tcPr>
            <w:tcW w:w="4765" w:type="dxa"/>
            <w:gridSpan w:val="4"/>
            <w:noWrap/>
          </w:tcPr>
          <w:p w:rsidR="00BB1FB6" w:rsidRPr="00722894" w:rsidRDefault="00BB1FB6" w:rsidP="00DD61ED">
            <w:pPr>
              <w:rPr>
                <w:b/>
                <w:bCs/>
                <w:sz w:val="20"/>
                <w:szCs w:val="20"/>
                <w:lang w:val="fr-FR"/>
              </w:rPr>
            </w:pPr>
            <w:r w:rsidRPr="00722894">
              <w:rPr>
                <w:b/>
                <w:bCs/>
                <w:sz w:val="20"/>
                <w:szCs w:val="20"/>
                <w:lang w:val="fr-FR"/>
              </w:rPr>
              <w:lastRenderedPageBreak/>
              <w:t>Activité 1.3. Évaluation de la représentation régionale</w:t>
            </w:r>
          </w:p>
        </w:tc>
        <w:tc>
          <w:tcPr>
            <w:tcW w:w="1548" w:type="dxa"/>
            <w:gridSpan w:val="3"/>
            <w:noWrap/>
          </w:tcPr>
          <w:p w:rsidR="00BB1FB6" w:rsidRPr="00722894" w:rsidRDefault="00BB1FB6" w:rsidP="00DD61ED">
            <w:pPr>
              <w:rPr>
                <w:b/>
                <w:bCs/>
                <w:sz w:val="20"/>
                <w:szCs w:val="20"/>
                <w:lang w:val="fr-FR"/>
              </w:rPr>
            </w:pPr>
            <w:r w:rsidRPr="00722894">
              <w:rPr>
                <w:b/>
                <w:sz w:val="20"/>
                <w:szCs w:val="20"/>
                <w:lang w:val="fr-FR"/>
              </w:rPr>
              <w:t xml:space="preserve"> 0 €</w:t>
            </w:r>
          </w:p>
        </w:tc>
        <w:tc>
          <w:tcPr>
            <w:tcW w:w="1518" w:type="dxa"/>
            <w:gridSpan w:val="2"/>
          </w:tcPr>
          <w:p w:rsidR="00BB1FB6" w:rsidRPr="00722894" w:rsidRDefault="00BB1FB6" w:rsidP="00DD61ED">
            <w:pPr>
              <w:rPr>
                <w:b/>
                <w:bCs/>
                <w:sz w:val="20"/>
                <w:szCs w:val="20"/>
                <w:lang w:val="fr-FR"/>
              </w:rPr>
            </w:pPr>
            <w:r w:rsidRPr="00722894">
              <w:rPr>
                <w:b/>
                <w:bCs/>
                <w:sz w:val="20"/>
                <w:szCs w:val="20"/>
                <w:lang w:val="fr-FR"/>
              </w:rPr>
              <w:t xml:space="preserve"> 0 €</w:t>
            </w:r>
          </w:p>
        </w:tc>
        <w:tc>
          <w:tcPr>
            <w:tcW w:w="4103" w:type="dxa"/>
            <w:gridSpan w:val="2"/>
          </w:tcPr>
          <w:p w:rsidR="00BB1FB6" w:rsidRPr="00722894" w:rsidRDefault="00BB1FB6" w:rsidP="00DD61ED">
            <w:pPr>
              <w:jc w:val="both"/>
              <w:rPr>
                <w:sz w:val="20"/>
                <w:szCs w:val="20"/>
                <w:lang w:val="fr-FR"/>
              </w:rPr>
            </w:pPr>
            <w:r w:rsidRPr="00722894">
              <w:rPr>
                <w:sz w:val="20"/>
                <w:szCs w:val="20"/>
                <w:lang w:val="fr-FR"/>
              </w:rPr>
              <w:t xml:space="preserve">Les progrès réalisés </w:t>
            </w:r>
            <w:r>
              <w:rPr>
                <w:sz w:val="20"/>
                <w:szCs w:val="20"/>
                <w:lang w:val="fr-FR"/>
              </w:rPr>
              <w:t>dans</w:t>
            </w:r>
            <w:r w:rsidRPr="00722894">
              <w:rPr>
                <w:sz w:val="20"/>
                <w:szCs w:val="20"/>
                <w:lang w:val="fr-FR"/>
              </w:rPr>
              <w:t xml:space="preserve"> la mise en œuvre de cette activité ont été limités. </w:t>
            </w:r>
          </w:p>
        </w:tc>
        <w:tc>
          <w:tcPr>
            <w:tcW w:w="1254" w:type="dxa"/>
            <w:gridSpan w:val="3"/>
          </w:tcPr>
          <w:p w:rsidR="00BB1FB6" w:rsidRPr="00722894" w:rsidRDefault="00BB1FB6" w:rsidP="00DD61ED">
            <w:pPr>
              <w:rPr>
                <w:b/>
                <w:bCs/>
                <w:sz w:val="20"/>
                <w:szCs w:val="20"/>
                <w:lang w:val="fr-FR"/>
              </w:rPr>
            </w:pPr>
            <w:r w:rsidRPr="00722894">
              <w:rPr>
                <w:b/>
                <w:bCs/>
                <w:sz w:val="20"/>
                <w:szCs w:val="20"/>
                <w:lang w:val="fr-FR"/>
              </w:rPr>
              <w:t>NON</w:t>
            </w:r>
          </w:p>
        </w:tc>
        <w:tc>
          <w:tcPr>
            <w:tcW w:w="1278" w:type="dxa"/>
            <w:gridSpan w:val="5"/>
          </w:tcPr>
          <w:p w:rsidR="00BB1FB6" w:rsidRPr="00722894" w:rsidRDefault="00BB1FB6" w:rsidP="00DD61ED">
            <w:pPr>
              <w:rPr>
                <w:b/>
                <w:bCs/>
                <w:sz w:val="20"/>
                <w:szCs w:val="20"/>
                <w:lang w:val="fr-FR"/>
              </w:rPr>
            </w:pPr>
            <w:r w:rsidRPr="00722894">
              <w:rPr>
                <w:b/>
                <w:bCs/>
                <w:sz w:val="20"/>
                <w:szCs w:val="20"/>
                <w:lang w:val="fr-FR"/>
              </w:rPr>
              <w:t>NON</w:t>
            </w:r>
          </w:p>
        </w:tc>
      </w:tr>
      <w:tr w:rsidR="00BB1FB6" w:rsidRPr="00722894" w:rsidTr="00BB1FB6">
        <w:trPr>
          <w:trHeight w:val="510"/>
          <w:jc w:val="center"/>
        </w:trPr>
        <w:tc>
          <w:tcPr>
            <w:tcW w:w="4765" w:type="dxa"/>
            <w:gridSpan w:val="4"/>
            <w:tcBorders>
              <w:bottom w:val="single" w:sz="4" w:space="0" w:color="auto"/>
            </w:tcBorders>
            <w:noWrap/>
          </w:tcPr>
          <w:p w:rsidR="00BB1FB6" w:rsidRPr="00722894" w:rsidRDefault="00BB1FB6" w:rsidP="00BB1FB6">
            <w:pPr>
              <w:rPr>
                <w:lang w:val="fr-FR"/>
              </w:rPr>
            </w:pPr>
            <w:r w:rsidRPr="00722894">
              <w:rPr>
                <w:sz w:val="22"/>
                <w:szCs w:val="22"/>
                <w:lang w:val="fr-FR"/>
              </w:rPr>
              <w:t> </w:t>
            </w:r>
          </w:p>
          <w:p w:rsidR="00BB1FB6" w:rsidRPr="00722894" w:rsidRDefault="00BB1FB6" w:rsidP="00BB1FB6">
            <w:pPr>
              <w:rPr>
                <w:b/>
                <w:bCs/>
                <w:lang w:val="fr-FR"/>
              </w:rPr>
            </w:pPr>
            <w:r w:rsidRPr="00722894">
              <w:rPr>
                <w:b/>
                <w:bCs/>
                <w:sz w:val="22"/>
                <w:szCs w:val="22"/>
                <w:lang w:val="fr-FR"/>
              </w:rPr>
              <w:t>TOTAL : Communication interne</w:t>
            </w:r>
          </w:p>
        </w:tc>
        <w:tc>
          <w:tcPr>
            <w:tcW w:w="1548" w:type="dxa"/>
            <w:gridSpan w:val="3"/>
            <w:tcBorders>
              <w:bottom w:val="single" w:sz="4" w:space="0" w:color="auto"/>
            </w:tcBorders>
            <w:noWrap/>
          </w:tcPr>
          <w:p w:rsidR="00BB1FB6" w:rsidRPr="00BB1FB6" w:rsidRDefault="00BB1FB6" w:rsidP="00BB1FB6">
            <w:pPr>
              <w:ind w:right="491"/>
              <w:jc w:val="both"/>
              <w:rPr>
                <w:b/>
                <w:sz w:val="20"/>
                <w:szCs w:val="20"/>
                <w:lang w:val="fr-FR"/>
              </w:rPr>
            </w:pPr>
            <w:r>
              <w:rPr>
                <w:b/>
                <w:sz w:val="20"/>
                <w:szCs w:val="20"/>
                <w:lang w:val="fr-FR"/>
              </w:rPr>
              <w:t>24 210 €</w:t>
            </w:r>
          </w:p>
        </w:tc>
        <w:tc>
          <w:tcPr>
            <w:tcW w:w="1518" w:type="dxa"/>
            <w:gridSpan w:val="2"/>
            <w:tcBorders>
              <w:bottom w:val="single" w:sz="4" w:space="0" w:color="auto"/>
            </w:tcBorders>
          </w:tcPr>
          <w:p w:rsidR="00BB1FB6" w:rsidRPr="00BB1FB6" w:rsidRDefault="00BB1FB6" w:rsidP="00BB1FB6">
            <w:pPr>
              <w:ind w:right="491"/>
              <w:jc w:val="both"/>
              <w:rPr>
                <w:b/>
                <w:sz w:val="20"/>
                <w:szCs w:val="20"/>
                <w:lang w:val="fr-FR"/>
              </w:rPr>
            </w:pPr>
            <w:r>
              <w:rPr>
                <w:b/>
                <w:sz w:val="20"/>
                <w:szCs w:val="20"/>
                <w:lang w:val="fr-FR"/>
              </w:rPr>
              <w:t>2 000 €</w:t>
            </w:r>
          </w:p>
        </w:tc>
        <w:tc>
          <w:tcPr>
            <w:tcW w:w="4103" w:type="dxa"/>
            <w:gridSpan w:val="2"/>
            <w:tcBorders>
              <w:bottom w:val="single" w:sz="4" w:space="0" w:color="auto"/>
            </w:tcBorders>
          </w:tcPr>
          <w:p w:rsidR="00BB1FB6" w:rsidRPr="00722894" w:rsidRDefault="00BB1FB6" w:rsidP="00DD61ED">
            <w:pPr>
              <w:jc w:val="both"/>
              <w:rPr>
                <w:sz w:val="20"/>
                <w:szCs w:val="20"/>
                <w:lang w:val="fr-FR"/>
              </w:rPr>
            </w:pPr>
          </w:p>
        </w:tc>
        <w:tc>
          <w:tcPr>
            <w:tcW w:w="1254" w:type="dxa"/>
            <w:gridSpan w:val="3"/>
            <w:tcBorders>
              <w:bottom w:val="single" w:sz="4" w:space="0" w:color="auto"/>
            </w:tcBorders>
          </w:tcPr>
          <w:p w:rsidR="00BB1FB6" w:rsidRPr="00722894" w:rsidRDefault="00BB1FB6" w:rsidP="00DD61ED">
            <w:pPr>
              <w:rPr>
                <w:b/>
                <w:bCs/>
                <w:sz w:val="20"/>
                <w:szCs w:val="20"/>
                <w:lang w:val="fr-FR"/>
              </w:rPr>
            </w:pPr>
          </w:p>
        </w:tc>
        <w:tc>
          <w:tcPr>
            <w:tcW w:w="1278" w:type="dxa"/>
            <w:gridSpan w:val="5"/>
            <w:tcBorders>
              <w:bottom w:val="single" w:sz="4" w:space="0" w:color="auto"/>
            </w:tcBorders>
          </w:tcPr>
          <w:p w:rsidR="00BB1FB6" w:rsidRPr="00722894" w:rsidRDefault="00BB1FB6" w:rsidP="00DD61ED">
            <w:pPr>
              <w:rPr>
                <w:b/>
                <w:bCs/>
                <w:sz w:val="20"/>
                <w:szCs w:val="20"/>
                <w:lang w:val="fr-FR"/>
              </w:rPr>
            </w:pPr>
          </w:p>
        </w:tc>
      </w:tr>
      <w:tr w:rsidR="00BB1FB6" w:rsidRPr="001331B4" w:rsidTr="00BB1FB6">
        <w:trPr>
          <w:trHeight w:val="510"/>
          <w:jc w:val="center"/>
        </w:trPr>
        <w:tc>
          <w:tcPr>
            <w:tcW w:w="14466" w:type="dxa"/>
            <w:gridSpan w:val="19"/>
            <w:shd w:val="clear" w:color="auto" w:fill="F2F2F2" w:themeFill="background1" w:themeFillShade="F2"/>
            <w:noWrap/>
          </w:tcPr>
          <w:p w:rsidR="00BB1FB6" w:rsidRDefault="00BB1FB6" w:rsidP="00BB1FB6">
            <w:pPr>
              <w:rPr>
                <w:b/>
                <w:bCs/>
                <w:lang w:val="fr-FR"/>
              </w:rPr>
            </w:pPr>
          </w:p>
          <w:p w:rsidR="00BB1FB6" w:rsidRPr="00722894" w:rsidRDefault="00BB1FB6" w:rsidP="00BB1FB6">
            <w:pPr>
              <w:rPr>
                <w:b/>
                <w:bCs/>
                <w:lang w:val="fr-FR"/>
              </w:rPr>
            </w:pPr>
            <w:r w:rsidRPr="00722894">
              <w:rPr>
                <w:b/>
                <w:bCs/>
                <w:lang w:val="fr-FR"/>
              </w:rPr>
              <w:t>2. Communication externe</w:t>
            </w:r>
          </w:p>
          <w:p w:rsidR="00BB1FB6" w:rsidRPr="00722894" w:rsidRDefault="00BB1FB6" w:rsidP="00BB1FB6">
            <w:pPr>
              <w:rPr>
                <w:b/>
                <w:bCs/>
                <w:sz w:val="20"/>
                <w:szCs w:val="20"/>
                <w:lang w:val="fr-FR"/>
              </w:rPr>
            </w:pPr>
          </w:p>
          <w:p w:rsidR="00BB1FB6" w:rsidRPr="00722894" w:rsidRDefault="00BB1FB6" w:rsidP="00BB1FB6">
            <w:pPr>
              <w:rPr>
                <w:b/>
                <w:bCs/>
                <w:lang w:val="fr-FR"/>
              </w:rPr>
            </w:pPr>
            <w:r w:rsidRPr="00722894">
              <w:rPr>
                <w:sz w:val="22"/>
                <w:szCs w:val="22"/>
                <w:u w:val="single"/>
                <w:lang w:val="fr-FR"/>
              </w:rPr>
              <w:t>Objectif 2 :</w:t>
            </w:r>
            <w:r w:rsidRPr="00722894">
              <w:rPr>
                <w:sz w:val="22"/>
                <w:szCs w:val="22"/>
                <w:lang w:val="fr-FR"/>
              </w:rPr>
              <w:t xml:space="preserve"> Renforcer et/ou développer les mécanismes existants en vue d</w:t>
            </w:r>
            <w:r>
              <w:rPr>
                <w:sz w:val="22"/>
                <w:szCs w:val="22"/>
                <w:lang w:val="fr-FR"/>
              </w:rPr>
              <w:t>’une</w:t>
            </w:r>
            <w:r w:rsidRPr="00722894">
              <w:rPr>
                <w:sz w:val="22"/>
                <w:szCs w:val="22"/>
                <w:lang w:val="fr-FR"/>
              </w:rPr>
              <w:t xml:space="preserve"> communication et </w:t>
            </w:r>
            <w:r>
              <w:rPr>
                <w:sz w:val="22"/>
                <w:szCs w:val="22"/>
                <w:lang w:val="fr-FR"/>
              </w:rPr>
              <w:t xml:space="preserve">d’une </w:t>
            </w:r>
            <w:r w:rsidRPr="00722894">
              <w:rPr>
                <w:sz w:val="22"/>
                <w:szCs w:val="22"/>
                <w:lang w:val="fr-FR"/>
              </w:rPr>
              <w:t xml:space="preserve">coopération </w:t>
            </w:r>
            <w:r>
              <w:rPr>
                <w:sz w:val="22"/>
                <w:szCs w:val="22"/>
                <w:lang w:val="fr-FR"/>
              </w:rPr>
              <w:t xml:space="preserve">externes efficaces </w:t>
            </w:r>
            <w:r w:rsidRPr="00722894">
              <w:rPr>
                <w:sz w:val="22"/>
                <w:szCs w:val="22"/>
                <w:lang w:val="fr-FR"/>
              </w:rPr>
              <w:t>au sein des parties prenantes et entre ces dernières et le Secrétariat de l’AEWA</w:t>
            </w:r>
            <w:r w:rsidRPr="00722894">
              <w:rPr>
                <w:b/>
                <w:bCs/>
                <w:sz w:val="22"/>
                <w:szCs w:val="22"/>
                <w:lang w:val="fr-FR"/>
              </w:rPr>
              <w:t xml:space="preserve">   </w:t>
            </w:r>
          </w:p>
          <w:p w:rsidR="00BB1FB6" w:rsidRPr="00722894" w:rsidRDefault="00BB1FB6" w:rsidP="00DD61ED">
            <w:pPr>
              <w:rPr>
                <w:b/>
                <w:bCs/>
                <w:sz w:val="20"/>
                <w:szCs w:val="20"/>
                <w:lang w:val="fr-FR"/>
              </w:rPr>
            </w:pPr>
          </w:p>
        </w:tc>
      </w:tr>
      <w:tr w:rsidR="00BB1FB6" w:rsidRPr="009862C9" w:rsidTr="00BB1F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7" w:type="dxa"/>
          <w:trHeight w:val="1035"/>
          <w:jc w:val="center"/>
        </w:trPr>
        <w:tc>
          <w:tcPr>
            <w:tcW w:w="4765" w:type="dxa"/>
            <w:gridSpan w:val="4"/>
            <w:tcBorders>
              <w:top w:val="single" w:sz="4" w:space="0" w:color="auto"/>
              <w:left w:val="single" w:sz="4" w:space="0" w:color="auto"/>
              <w:bottom w:val="single" w:sz="4" w:space="0" w:color="auto"/>
              <w:right w:val="single" w:sz="4" w:space="0" w:color="auto"/>
            </w:tcBorders>
            <w:noWrap/>
          </w:tcPr>
          <w:p w:rsidR="00BB1FB6" w:rsidRPr="00722894" w:rsidRDefault="00BB1FB6" w:rsidP="00DD61ED">
            <w:pPr>
              <w:rPr>
                <w:b/>
                <w:bCs/>
                <w:sz w:val="20"/>
                <w:szCs w:val="20"/>
                <w:lang w:val="fr-FR"/>
              </w:rPr>
            </w:pPr>
            <w:r w:rsidRPr="00722894">
              <w:rPr>
                <w:b/>
                <w:bCs/>
                <w:sz w:val="20"/>
                <w:szCs w:val="20"/>
                <w:lang w:val="fr-FR"/>
              </w:rPr>
              <w:t>Activité 2.1. Réunion régionale des Parties (dans 5 régions)</w:t>
            </w:r>
          </w:p>
        </w:tc>
        <w:tc>
          <w:tcPr>
            <w:tcW w:w="1548" w:type="dxa"/>
            <w:gridSpan w:val="3"/>
            <w:tcBorders>
              <w:top w:val="single" w:sz="4" w:space="0" w:color="auto"/>
              <w:left w:val="single" w:sz="4" w:space="0" w:color="auto"/>
              <w:bottom w:val="single" w:sz="4" w:space="0" w:color="auto"/>
              <w:right w:val="single" w:sz="4" w:space="0" w:color="auto"/>
            </w:tcBorders>
            <w:noWrap/>
          </w:tcPr>
          <w:p w:rsidR="00BB1FB6" w:rsidRPr="00722894" w:rsidRDefault="00BB1FB6" w:rsidP="00DD61ED">
            <w:pPr>
              <w:rPr>
                <w:b/>
                <w:bCs/>
                <w:sz w:val="20"/>
                <w:szCs w:val="20"/>
                <w:lang w:val="fr-FR"/>
              </w:rPr>
            </w:pPr>
            <w:r w:rsidRPr="00722894">
              <w:rPr>
                <w:b/>
                <w:bCs/>
                <w:sz w:val="20"/>
                <w:szCs w:val="20"/>
                <w:lang w:val="fr-FR"/>
              </w:rPr>
              <w:t>135 750 €</w:t>
            </w:r>
          </w:p>
        </w:tc>
        <w:tc>
          <w:tcPr>
            <w:tcW w:w="1393" w:type="dxa"/>
            <w:tcBorders>
              <w:top w:val="single" w:sz="4" w:space="0" w:color="auto"/>
              <w:left w:val="single" w:sz="4" w:space="0" w:color="auto"/>
              <w:bottom w:val="single" w:sz="4" w:space="0" w:color="auto"/>
              <w:right w:val="single" w:sz="4" w:space="0" w:color="auto"/>
            </w:tcBorders>
          </w:tcPr>
          <w:p w:rsidR="00BB1FB6" w:rsidRPr="00722894" w:rsidRDefault="00BB1FB6" w:rsidP="00DD61ED">
            <w:pPr>
              <w:ind w:right="-237"/>
              <w:rPr>
                <w:b/>
                <w:bCs/>
                <w:sz w:val="20"/>
                <w:szCs w:val="20"/>
                <w:lang w:val="fr-FR"/>
              </w:rPr>
            </w:pPr>
            <w:r w:rsidRPr="00722894">
              <w:rPr>
                <w:b/>
                <w:bCs/>
                <w:sz w:val="20"/>
                <w:szCs w:val="20"/>
                <w:lang w:val="fr-FR"/>
              </w:rPr>
              <w:t xml:space="preserve"> 50 000 €</w:t>
            </w:r>
          </w:p>
          <w:p w:rsidR="00BB1FB6" w:rsidRPr="00722894" w:rsidRDefault="00BB1FB6" w:rsidP="00DD61ED">
            <w:pPr>
              <w:rPr>
                <w:b/>
                <w:bCs/>
                <w:sz w:val="20"/>
                <w:szCs w:val="20"/>
                <w:lang w:val="fr-FR"/>
              </w:rPr>
            </w:pPr>
          </w:p>
          <w:p w:rsidR="00BB1FB6" w:rsidRPr="00722894" w:rsidRDefault="00BB1FB6" w:rsidP="00DD61ED">
            <w:pPr>
              <w:rPr>
                <w:b/>
                <w:bCs/>
                <w:sz w:val="20"/>
                <w:szCs w:val="20"/>
                <w:lang w:val="fr-FR"/>
              </w:rPr>
            </w:pPr>
            <w:r w:rsidRPr="00722894">
              <w:rPr>
                <w:b/>
                <w:bCs/>
                <w:sz w:val="20"/>
                <w:szCs w:val="20"/>
                <w:lang w:val="fr-FR"/>
              </w:rPr>
              <w:t xml:space="preserve"> </w:t>
            </w:r>
            <w:r>
              <w:rPr>
                <w:b/>
                <w:bCs/>
                <w:sz w:val="20"/>
                <w:szCs w:val="20"/>
                <w:lang w:val="fr-FR"/>
              </w:rPr>
              <w:t>(</w:t>
            </w:r>
            <w:r w:rsidRPr="00722894">
              <w:rPr>
                <w:b/>
                <w:bCs/>
                <w:sz w:val="20"/>
                <w:szCs w:val="20"/>
                <w:lang w:val="fr-FR"/>
              </w:rPr>
              <w:t>30 000 €</w:t>
            </w:r>
            <w:r>
              <w:rPr>
                <w:b/>
                <w:bCs/>
                <w:sz w:val="20"/>
                <w:szCs w:val="20"/>
                <w:lang w:val="fr-FR"/>
              </w:rPr>
              <w:t xml:space="preserve"> +</w:t>
            </w:r>
            <w:r w:rsidRPr="00722894">
              <w:rPr>
                <w:b/>
                <w:bCs/>
                <w:sz w:val="20"/>
                <w:szCs w:val="20"/>
                <w:lang w:val="fr-FR"/>
              </w:rPr>
              <w:t xml:space="preserve"> </w:t>
            </w:r>
          </w:p>
          <w:p w:rsidR="00BB1FB6" w:rsidRPr="00722894" w:rsidRDefault="00BB1FB6" w:rsidP="00DD61ED">
            <w:pPr>
              <w:rPr>
                <w:b/>
                <w:bCs/>
                <w:sz w:val="20"/>
                <w:szCs w:val="20"/>
                <w:lang w:val="fr-FR"/>
              </w:rPr>
            </w:pPr>
            <w:r w:rsidRPr="00722894">
              <w:rPr>
                <w:b/>
                <w:bCs/>
                <w:sz w:val="20"/>
                <w:szCs w:val="20"/>
                <w:lang w:val="fr-FR"/>
              </w:rPr>
              <w:t xml:space="preserve"> 20 000 €</w:t>
            </w:r>
            <w:r>
              <w:rPr>
                <w:b/>
                <w:bCs/>
                <w:sz w:val="20"/>
                <w:szCs w:val="20"/>
                <w:lang w:val="fr-FR"/>
              </w:rPr>
              <w:t>)</w:t>
            </w:r>
          </w:p>
          <w:p w:rsidR="00BB1FB6" w:rsidRPr="00722894" w:rsidRDefault="00BB1FB6" w:rsidP="00DD61ED">
            <w:pPr>
              <w:rPr>
                <w:b/>
                <w:bCs/>
                <w:sz w:val="20"/>
                <w:szCs w:val="20"/>
                <w:lang w:val="fr-FR"/>
              </w:rPr>
            </w:pPr>
          </w:p>
          <w:p w:rsidR="00BB1FB6" w:rsidRPr="00722894" w:rsidRDefault="00BB1FB6" w:rsidP="00DD61ED">
            <w:pPr>
              <w:rPr>
                <w:b/>
                <w:bCs/>
                <w:sz w:val="20"/>
                <w:szCs w:val="20"/>
                <w:lang w:val="fr-FR"/>
              </w:rPr>
            </w:pPr>
          </w:p>
          <w:p w:rsidR="00BB1FB6" w:rsidRPr="00722894" w:rsidRDefault="00BB1FB6" w:rsidP="00DD61ED">
            <w:pPr>
              <w:rPr>
                <w:sz w:val="20"/>
                <w:szCs w:val="20"/>
                <w:lang w:val="fr-FR"/>
              </w:rPr>
            </w:pPr>
            <w:r w:rsidRPr="00722894">
              <w:rPr>
                <w:b/>
                <w:bCs/>
                <w:sz w:val="20"/>
                <w:szCs w:val="20"/>
                <w:lang w:val="fr-FR"/>
              </w:rPr>
              <w:t>(France, Allemagne, Suisse, Norvège, PNUE)</w:t>
            </w:r>
          </w:p>
        </w:tc>
        <w:tc>
          <w:tcPr>
            <w:tcW w:w="4356" w:type="dxa"/>
            <w:gridSpan w:val="4"/>
            <w:tcBorders>
              <w:top w:val="single" w:sz="4" w:space="0" w:color="auto"/>
              <w:left w:val="single" w:sz="4" w:space="0" w:color="auto"/>
              <w:bottom w:val="single" w:sz="4" w:space="0" w:color="auto"/>
              <w:right w:val="single" w:sz="4" w:space="0" w:color="auto"/>
            </w:tcBorders>
          </w:tcPr>
          <w:p w:rsidR="00BB1FB6" w:rsidRPr="00722894" w:rsidRDefault="00BB1FB6" w:rsidP="00DD61ED">
            <w:pPr>
              <w:rPr>
                <w:sz w:val="20"/>
                <w:szCs w:val="20"/>
                <w:lang w:val="fr-FR"/>
              </w:rPr>
            </w:pPr>
            <w:r w:rsidRPr="00722894">
              <w:rPr>
                <w:sz w:val="20"/>
                <w:szCs w:val="20"/>
                <w:lang w:val="fr-FR"/>
              </w:rPr>
              <w:t xml:space="preserve">Bien que les fonds pour la mise en œuvre de cet objectif aient généralement </w:t>
            </w:r>
            <w:r>
              <w:rPr>
                <w:sz w:val="20"/>
                <w:szCs w:val="20"/>
                <w:lang w:val="fr-FR"/>
              </w:rPr>
              <w:t xml:space="preserve">été </w:t>
            </w:r>
            <w:r w:rsidRPr="00722894">
              <w:rPr>
                <w:sz w:val="20"/>
                <w:szCs w:val="20"/>
                <w:lang w:val="fr-FR"/>
              </w:rPr>
              <w:t>restreints, ceux reçus avant la MOP4 ont permis au Secrétariat d</w:t>
            </w:r>
            <w:r>
              <w:rPr>
                <w:sz w:val="20"/>
                <w:szCs w:val="20"/>
                <w:lang w:val="fr-FR"/>
              </w:rPr>
              <w:t>’organiser</w:t>
            </w:r>
            <w:r w:rsidRPr="00722894">
              <w:rPr>
                <w:sz w:val="20"/>
                <w:szCs w:val="20"/>
                <w:lang w:val="fr-FR"/>
              </w:rPr>
              <w:t xml:space="preserve"> le tout premier atelier/réunion de l’AEWA pour les correspondants nationaux des pays d’Afrique (Activité 2.1). La formation de deux jours à la négociation pour les pays anglophones d’Afrique a eu lieu tout de suite avant la 4</w:t>
            </w:r>
            <w:r w:rsidRPr="00722894">
              <w:rPr>
                <w:sz w:val="20"/>
                <w:szCs w:val="20"/>
                <w:vertAlign w:val="superscript"/>
                <w:lang w:val="fr-FR"/>
              </w:rPr>
              <w:t>ème</w:t>
            </w:r>
            <w:r w:rsidRPr="00722894">
              <w:rPr>
                <w:sz w:val="20"/>
                <w:szCs w:val="20"/>
                <w:lang w:val="fr-FR"/>
              </w:rPr>
              <w:t xml:space="preserve"> Réunion des Parties et a été organisée en étroite coopération avec la Division du Droit environnemental et des Conventions du PNUE (PNUE/DELC). </w:t>
            </w:r>
          </w:p>
          <w:p w:rsidR="00BB1FB6" w:rsidRPr="00722894" w:rsidRDefault="00BB1FB6" w:rsidP="00DD61ED">
            <w:pPr>
              <w:rPr>
                <w:sz w:val="20"/>
                <w:szCs w:val="20"/>
                <w:lang w:val="fr-FR"/>
              </w:rPr>
            </w:pPr>
          </w:p>
          <w:p w:rsidR="00BB1FB6" w:rsidRDefault="00BB1FB6" w:rsidP="00DD61ED">
            <w:pPr>
              <w:rPr>
                <w:sz w:val="20"/>
                <w:szCs w:val="20"/>
                <w:lang w:val="fr-FR"/>
              </w:rPr>
            </w:pPr>
            <w:r w:rsidRPr="00722894">
              <w:rPr>
                <w:sz w:val="20"/>
                <w:szCs w:val="20"/>
                <w:lang w:val="fr-FR"/>
              </w:rPr>
              <w:t xml:space="preserve">Un atelier similaire de préparation à la négociation pour l’Afrique, d’une durée de trois jours, a été </w:t>
            </w:r>
            <w:proofErr w:type="gramStart"/>
            <w:r w:rsidRPr="00722894">
              <w:rPr>
                <w:sz w:val="20"/>
                <w:szCs w:val="20"/>
                <w:lang w:val="fr-FR"/>
              </w:rPr>
              <w:t>organisé ,</w:t>
            </w:r>
            <w:proofErr w:type="gramEnd"/>
            <w:r w:rsidRPr="00722894">
              <w:rPr>
                <w:sz w:val="20"/>
                <w:szCs w:val="20"/>
                <w:lang w:val="fr-FR"/>
              </w:rPr>
              <w:t xml:space="preserve"> du 26 au 28 octobre 2011, à Entebbe, Ouganda. L’atelier ciblait les correspondants nationaux tant de la CMS que de l’AEWA dans la région africaine, et était organisé conjointement par les Secrétariats du PNUE/CMS et du PNUE/AEWA, avec l’aide de la Division du Droit environnemental et des Conventions (DELC) du </w:t>
            </w:r>
            <w:r>
              <w:rPr>
                <w:sz w:val="20"/>
                <w:szCs w:val="20"/>
                <w:lang w:val="fr-FR"/>
              </w:rPr>
              <w:t>P</w:t>
            </w:r>
            <w:r w:rsidRPr="00722894">
              <w:rPr>
                <w:sz w:val="20"/>
                <w:szCs w:val="20"/>
                <w:lang w:val="fr-FR"/>
              </w:rPr>
              <w:t>rogramme des Nations Unies pour l’environnement (PNUE).</w:t>
            </w:r>
          </w:p>
          <w:p w:rsidR="00BB1FB6" w:rsidRDefault="00BB1FB6" w:rsidP="00DD61ED">
            <w:pPr>
              <w:rPr>
                <w:sz w:val="20"/>
                <w:szCs w:val="20"/>
                <w:lang w:val="fr-FR"/>
              </w:rPr>
            </w:pPr>
          </w:p>
          <w:p w:rsidR="00BB1FB6" w:rsidRDefault="00BB1FB6" w:rsidP="00DD61ED">
            <w:pPr>
              <w:rPr>
                <w:sz w:val="20"/>
                <w:szCs w:val="20"/>
                <w:lang w:val="fr-FR"/>
              </w:rPr>
            </w:pPr>
            <w:r>
              <w:rPr>
                <w:sz w:val="20"/>
                <w:szCs w:val="20"/>
                <w:lang w:val="fr-FR"/>
              </w:rPr>
              <w:t xml:space="preserve">Le Secrétariat de l’AEWA organise un atelier </w:t>
            </w:r>
            <w:r>
              <w:rPr>
                <w:sz w:val="20"/>
                <w:szCs w:val="20"/>
                <w:lang w:val="fr-FR"/>
              </w:rPr>
              <w:lastRenderedPageBreak/>
              <w:t>préparatoire  régional africain (pré-MOP) qui aura lieu des 12 et 13 mai à La Rochelle, France, juste avant la MOP5 de l’AEWA (14-18 mai 2012)</w:t>
            </w:r>
          </w:p>
          <w:p w:rsidR="00BB1FB6" w:rsidRDefault="00BB1FB6" w:rsidP="00DD61ED">
            <w:pPr>
              <w:rPr>
                <w:sz w:val="20"/>
                <w:szCs w:val="20"/>
                <w:lang w:val="fr-FR"/>
              </w:rPr>
            </w:pPr>
          </w:p>
          <w:p w:rsidR="00BB1FB6" w:rsidRPr="00722894" w:rsidRDefault="00BB1FB6" w:rsidP="00DD61ED">
            <w:pPr>
              <w:rPr>
                <w:sz w:val="20"/>
                <w:szCs w:val="20"/>
                <w:lang w:val="fr-FR"/>
              </w:rPr>
            </w:pPr>
            <w:r>
              <w:rPr>
                <w:sz w:val="20"/>
                <w:szCs w:val="20"/>
                <w:lang w:val="fr-FR"/>
              </w:rPr>
              <w:t xml:space="preserve">Cet atelier pré-MOP a été rendu possible grâce à une contribution volontaire provenant de  l’Accord de coopération stratégique (SCA) de l’ ENRTP conclu entre la Direction générale pour l’environnement et le PNUE. Il se concentrera sur la consolidation de la contribution de la région dans la révision et la validation du Plan d’action pour  la conservation des oiseaux d’eau migrateurs et de leurs habitats en Afrique.  </w:t>
            </w:r>
          </w:p>
        </w:tc>
        <w:tc>
          <w:tcPr>
            <w:tcW w:w="1253" w:type="dxa"/>
            <w:gridSpan w:val="3"/>
            <w:tcBorders>
              <w:top w:val="single" w:sz="4" w:space="0" w:color="auto"/>
              <w:left w:val="single" w:sz="4" w:space="0" w:color="auto"/>
              <w:bottom w:val="single" w:sz="4" w:space="0" w:color="auto"/>
              <w:right w:val="single" w:sz="4" w:space="0" w:color="auto"/>
            </w:tcBorders>
          </w:tcPr>
          <w:p w:rsidR="00BB1FB6" w:rsidRPr="00722894" w:rsidRDefault="00BB1FB6" w:rsidP="00DD61ED">
            <w:pPr>
              <w:rPr>
                <w:b/>
                <w:bCs/>
                <w:sz w:val="20"/>
                <w:szCs w:val="20"/>
                <w:lang w:val="fr-FR"/>
              </w:rPr>
            </w:pPr>
            <w:r w:rsidRPr="00722894">
              <w:rPr>
                <w:b/>
                <w:bCs/>
                <w:sz w:val="20"/>
                <w:szCs w:val="20"/>
                <w:lang w:val="fr-FR"/>
              </w:rPr>
              <w:lastRenderedPageBreak/>
              <w:t>NON</w:t>
            </w:r>
          </w:p>
        </w:tc>
        <w:tc>
          <w:tcPr>
            <w:tcW w:w="1104" w:type="dxa"/>
            <w:gridSpan w:val="2"/>
            <w:tcBorders>
              <w:top w:val="single" w:sz="4" w:space="0" w:color="auto"/>
              <w:left w:val="single" w:sz="4" w:space="0" w:color="auto"/>
              <w:bottom w:val="single" w:sz="4" w:space="0" w:color="auto"/>
              <w:right w:val="single" w:sz="4" w:space="0" w:color="auto"/>
            </w:tcBorders>
          </w:tcPr>
          <w:p w:rsidR="00BB1FB6" w:rsidRPr="00722894" w:rsidRDefault="00BB1FB6" w:rsidP="00DD61ED">
            <w:pPr>
              <w:rPr>
                <w:b/>
                <w:bCs/>
                <w:sz w:val="20"/>
                <w:szCs w:val="20"/>
                <w:lang w:val="fr-FR"/>
              </w:rPr>
            </w:pPr>
            <w:r w:rsidRPr="00722894">
              <w:rPr>
                <w:b/>
                <w:bCs/>
                <w:sz w:val="20"/>
                <w:szCs w:val="20"/>
                <w:lang w:val="fr-FR"/>
              </w:rPr>
              <w:t>NON</w:t>
            </w:r>
          </w:p>
        </w:tc>
      </w:tr>
      <w:tr w:rsidR="00BB1FB6" w:rsidRPr="00722894" w:rsidTr="00BB1F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7" w:type="dxa"/>
          <w:trHeight w:val="765"/>
          <w:jc w:val="center"/>
        </w:trPr>
        <w:tc>
          <w:tcPr>
            <w:tcW w:w="4765" w:type="dxa"/>
            <w:gridSpan w:val="4"/>
            <w:tcBorders>
              <w:top w:val="single" w:sz="4" w:space="0" w:color="auto"/>
              <w:left w:val="single" w:sz="4" w:space="0" w:color="auto"/>
              <w:bottom w:val="single" w:sz="4" w:space="0" w:color="auto"/>
              <w:right w:val="single" w:sz="4" w:space="0" w:color="auto"/>
            </w:tcBorders>
            <w:noWrap/>
          </w:tcPr>
          <w:p w:rsidR="00BB1FB6" w:rsidRPr="00722894" w:rsidRDefault="00BB1FB6" w:rsidP="00DD61ED">
            <w:pPr>
              <w:rPr>
                <w:b/>
                <w:bCs/>
                <w:sz w:val="20"/>
                <w:szCs w:val="20"/>
                <w:lang w:val="fr-FR"/>
              </w:rPr>
            </w:pPr>
            <w:r w:rsidRPr="00722894">
              <w:rPr>
                <w:b/>
                <w:bCs/>
                <w:sz w:val="20"/>
                <w:szCs w:val="20"/>
                <w:lang w:val="fr-FR"/>
              </w:rPr>
              <w:lastRenderedPageBreak/>
              <w:t>Activité 2.2. Centres d’échange d’informations sur l’AEWA</w:t>
            </w:r>
          </w:p>
        </w:tc>
        <w:tc>
          <w:tcPr>
            <w:tcW w:w="1548" w:type="dxa"/>
            <w:gridSpan w:val="3"/>
            <w:tcBorders>
              <w:top w:val="single" w:sz="4" w:space="0" w:color="auto"/>
              <w:left w:val="single" w:sz="4" w:space="0" w:color="auto"/>
              <w:bottom w:val="single" w:sz="4" w:space="0" w:color="auto"/>
              <w:right w:val="single" w:sz="4" w:space="0" w:color="auto"/>
            </w:tcBorders>
            <w:noWrap/>
          </w:tcPr>
          <w:p w:rsidR="00BB1FB6" w:rsidRPr="00722894" w:rsidRDefault="00BB1FB6" w:rsidP="00DD61ED">
            <w:pPr>
              <w:rPr>
                <w:b/>
                <w:bCs/>
                <w:sz w:val="20"/>
                <w:szCs w:val="20"/>
                <w:lang w:val="fr-FR"/>
              </w:rPr>
            </w:pPr>
            <w:r w:rsidRPr="00722894">
              <w:rPr>
                <w:b/>
                <w:bCs/>
                <w:sz w:val="20"/>
                <w:szCs w:val="20"/>
                <w:lang w:val="fr-FR"/>
              </w:rPr>
              <w:t>12 000 €</w:t>
            </w:r>
          </w:p>
        </w:tc>
        <w:tc>
          <w:tcPr>
            <w:tcW w:w="1393" w:type="dxa"/>
            <w:tcBorders>
              <w:top w:val="single" w:sz="4" w:space="0" w:color="auto"/>
              <w:left w:val="single" w:sz="4" w:space="0" w:color="auto"/>
              <w:bottom w:val="single" w:sz="4" w:space="0" w:color="auto"/>
              <w:right w:val="single" w:sz="4" w:space="0" w:color="auto"/>
            </w:tcBorders>
          </w:tcPr>
          <w:p w:rsidR="00BB1FB6" w:rsidRPr="00722894" w:rsidRDefault="00BB1FB6" w:rsidP="00DD61ED">
            <w:pPr>
              <w:rPr>
                <w:sz w:val="20"/>
                <w:szCs w:val="20"/>
                <w:lang w:val="fr-FR"/>
              </w:rPr>
            </w:pPr>
            <w:r w:rsidRPr="00722894">
              <w:rPr>
                <w:b/>
                <w:bCs/>
                <w:sz w:val="20"/>
                <w:szCs w:val="20"/>
                <w:lang w:val="fr-FR"/>
              </w:rPr>
              <w:t xml:space="preserve"> 0 €</w:t>
            </w:r>
          </w:p>
        </w:tc>
        <w:tc>
          <w:tcPr>
            <w:tcW w:w="4356" w:type="dxa"/>
            <w:gridSpan w:val="4"/>
            <w:tcBorders>
              <w:top w:val="single" w:sz="4" w:space="0" w:color="auto"/>
              <w:left w:val="single" w:sz="4" w:space="0" w:color="auto"/>
              <w:bottom w:val="single" w:sz="4" w:space="0" w:color="auto"/>
              <w:right w:val="single" w:sz="4" w:space="0" w:color="auto"/>
            </w:tcBorders>
          </w:tcPr>
          <w:p w:rsidR="00BB1FB6" w:rsidRPr="00722894" w:rsidRDefault="00BB1FB6" w:rsidP="00DD61ED">
            <w:pPr>
              <w:rPr>
                <w:sz w:val="20"/>
                <w:szCs w:val="20"/>
                <w:lang w:val="fr-FR"/>
              </w:rPr>
            </w:pPr>
            <w:r w:rsidRPr="00722894">
              <w:rPr>
                <w:sz w:val="20"/>
                <w:szCs w:val="20"/>
                <w:lang w:val="fr-FR"/>
              </w:rPr>
              <w:t xml:space="preserve">Concernant l’activité 2.2, il faut noter que les quatre centres régionaux établis dans le contexte du projet </w:t>
            </w:r>
            <w:proofErr w:type="spellStart"/>
            <w:r w:rsidRPr="00722894">
              <w:rPr>
                <w:sz w:val="20"/>
                <w:szCs w:val="20"/>
                <w:lang w:val="fr-FR"/>
              </w:rPr>
              <w:t>Wings</w:t>
            </w:r>
            <w:proofErr w:type="spellEnd"/>
            <w:r w:rsidRPr="00722894">
              <w:rPr>
                <w:sz w:val="20"/>
                <w:szCs w:val="20"/>
                <w:lang w:val="fr-FR"/>
              </w:rPr>
              <w:t xml:space="preserve"> Over </w:t>
            </w:r>
            <w:proofErr w:type="spellStart"/>
            <w:r w:rsidRPr="00722894">
              <w:rPr>
                <w:sz w:val="20"/>
                <w:szCs w:val="20"/>
                <w:lang w:val="fr-FR"/>
              </w:rPr>
              <w:t>Wetlands</w:t>
            </w:r>
            <w:proofErr w:type="spellEnd"/>
            <w:r w:rsidRPr="00722894">
              <w:rPr>
                <w:sz w:val="20"/>
                <w:szCs w:val="20"/>
                <w:lang w:val="fr-FR"/>
              </w:rPr>
              <w:t xml:space="preserve"> (WOW) du PNUE-FEM sur les voies de migration d'Afrique-Eurasie (à Dakar, Almaty et Mosco</w:t>
            </w:r>
            <w:r>
              <w:rPr>
                <w:sz w:val="20"/>
                <w:szCs w:val="20"/>
                <w:lang w:val="fr-FR"/>
              </w:rPr>
              <w:t>u</w:t>
            </w:r>
            <w:r w:rsidRPr="00722894">
              <w:rPr>
                <w:sz w:val="20"/>
                <w:szCs w:val="20"/>
                <w:lang w:val="fr-FR"/>
              </w:rPr>
              <w:t>, Nairobi et Amman) ont fonctionné à bien des égards comme plateformes régionales pour l’échange d’informations et le renforcement de la capacité de l’AEWA durant le cours du projet 2006-2010. Cependant, avec l’achèvement en 2010 de ce projet financé par le FEM, il sera urgent de disposer de davantage de fonds pour permettre à ces centres régionaux de continuer à opérer en tant que « centres d’échange AEWA » comme prévu par l’activité 2.2.</w:t>
            </w:r>
          </w:p>
        </w:tc>
        <w:tc>
          <w:tcPr>
            <w:tcW w:w="1253" w:type="dxa"/>
            <w:gridSpan w:val="3"/>
            <w:tcBorders>
              <w:top w:val="single" w:sz="4" w:space="0" w:color="auto"/>
              <w:left w:val="single" w:sz="4" w:space="0" w:color="auto"/>
              <w:bottom w:val="single" w:sz="4" w:space="0" w:color="auto"/>
              <w:right w:val="single" w:sz="4" w:space="0" w:color="auto"/>
            </w:tcBorders>
          </w:tcPr>
          <w:p w:rsidR="00BB1FB6" w:rsidRPr="00722894" w:rsidRDefault="00BB1FB6" w:rsidP="00DD61ED">
            <w:pPr>
              <w:rPr>
                <w:b/>
                <w:bCs/>
                <w:sz w:val="20"/>
                <w:szCs w:val="20"/>
                <w:lang w:val="fr-FR"/>
              </w:rPr>
            </w:pPr>
            <w:r w:rsidRPr="00722894">
              <w:rPr>
                <w:b/>
                <w:bCs/>
                <w:sz w:val="20"/>
                <w:szCs w:val="20"/>
                <w:lang w:val="fr-FR"/>
              </w:rPr>
              <w:t>OUI</w:t>
            </w:r>
          </w:p>
        </w:tc>
        <w:tc>
          <w:tcPr>
            <w:tcW w:w="1104" w:type="dxa"/>
            <w:gridSpan w:val="2"/>
            <w:tcBorders>
              <w:top w:val="single" w:sz="4" w:space="0" w:color="auto"/>
              <w:left w:val="single" w:sz="4" w:space="0" w:color="auto"/>
              <w:bottom w:val="single" w:sz="4" w:space="0" w:color="auto"/>
              <w:right w:val="single" w:sz="4" w:space="0" w:color="auto"/>
            </w:tcBorders>
          </w:tcPr>
          <w:p w:rsidR="00BB1FB6" w:rsidRPr="00722894" w:rsidRDefault="00BB1FB6" w:rsidP="00DD61ED">
            <w:pPr>
              <w:rPr>
                <w:b/>
                <w:bCs/>
                <w:sz w:val="20"/>
                <w:szCs w:val="20"/>
                <w:lang w:val="fr-FR"/>
              </w:rPr>
            </w:pPr>
            <w:r w:rsidRPr="00722894">
              <w:rPr>
                <w:b/>
                <w:bCs/>
                <w:sz w:val="20"/>
                <w:szCs w:val="20"/>
                <w:lang w:val="fr-FR"/>
              </w:rPr>
              <w:t>NON</w:t>
            </w:r>
          </w:p>
        </w:tc>
      </w:tr>
      <w:tr w:rsidR="00BB1FB6" w:rsidRPr="00722894" w:rsidTr="00BB1F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7" w:type="dxa"/>
          <w:trHeight w:val="1035"/>
          <w:jc w:val="center"/>
        </w:trPr>
        <w:tc>
          <w:tcPr>
            <w:tcW w:w="4765" w:type="dxa"/>
            <w:gridSpan w:val="4"/>
            <w:tcBorders>
              <w:top w:val="single" w:sz="4" w:space="0" w:color="auto"/>
              <w:left w:val="single" w:sz="4" w:space="0" w:color="auto"/>
              <w:bottom w:val="single" w:sz="4" w:space="0" w:color="auto"/>
              <w:right w:val="single" w:sz="4" w:space="0" w:color="auto"/>
            </w:tcBorders>
            <w:noWrap/>
          </w:tcPr>
          <w:p w:rsidR="00BB1FB6" w:rsidRPr="00722894" w:rsidRDefault="00BB1FB6" w:rsidP="00DD61ED">
            <w:pPr>
              <w:rPr>
                <w:b/>
                <w:bCs/>
                <w:sz w:val="20"/>
                <w:szCs w:val="20"/>
                <w:lang w:val="fr-FR"/>
              </w:rPr>
            </w:pPr>
            <w:r w:rsidRPr="00722894">
              <w:rPr>
                <w:b/>
                <w:bCs/>
                <w:sz w:val="20"/>
                <w:szCs w:val="20"/>
                <w:lang w:val="fr-FR"/>
              </w:rPr>
              <w:t>Activité 2.3. Engager des ambassadeurs de l’AEWA</w:t>
            </w:r>
          </w:p>
        </w:tc>
        <w:tc>
          <w:tcPr>
            <w:tcW w:w="1548" w:type="dxa"/>
            <w:gridSpan w:val="3"/>
            <w:tcBorders>
              <w:top w:val="single" w:sz="4" w:space="0" w:color="auto"/>
              <w:left w:val="single" w:sz="4" w:space="0" w:color="auto"/>
              <w:bottom w:val="single" w:sz="4" w:space="0" w:color="auto"/>
              <w:right w:val="single" w:sz="4" w:space="0" w:color="auto"/>
            </w:tcBorders>
            <w:noWrap/>
          </w:tcPr>
          <w:p w:rsidR="00BB1FB6" w:rsidRPr="00722894" w:rsidRDefault="00BB1FB6" w:rsidP="00DD61ED">
            <w:pPr>
              <w:rPr>
                <w:b/>
                <w:bCs/>
                <w:sz w:val="20"/>
                <w:szCs w:val="20"/>
                <w:lang w:val="fr-FR"/>
              </w:rPr>
            </w:pPr>
            <w:r w:rsidRPr="00722894">
              <w:rPr>
                <w:b/>
                <w:bCs/>
                <w:sz w:val="20"/>
                <w:szCs w:val="20"/>
                <w:lang w:val="fr-FR"/>
              </w:rPr>
              <w:t>14 000 €</w:t>
            </w:r>
          </w:p>
        </w:tc>
        <w:tc>
          <w:tcPr>
            <w:tcW w:w="1393" w:type="dxa"/>
            <w:tcBorders>
              <w:top w:val="single" w:sz="4" w:space="0" w:color="auto"/>
              <w:left w:val="single" w:sz="4" w:space="0" w:color="auto"/>
              <w:bottom w:val="single" w:sz="4" w:space="0" w:color="auto"/>
              <w:right w:val="single" w:sz="4" w:space="0" w:color="auto"/>
            </w:tcBorders>
          </w:tcPr>
          <w:p w:rsidR="00BB1FB6" w:rsidRPr="00722894" w:rsidRDefault="00BB1FB6" w:rsidP="00DD61ED">
            <w:pPr>
              <w:rPr>
                <w:sz w:val="20"/>
                <w:szCs w:val="20"/>
                <w:lang w:val="fr-FR"/>
              </w:rPr>
            </w:pPr>
            <w:r w:rsidRPr="00722894">
              <w:rPr>
                <w:b/>
                <w:bCs/>
                <w:sz w:val="20"/>
                <w:szCs w:val="20"/>
                <w:lang w:val="fr-FR"/>
              </w:rPr>
              <w:t xml:space="preserve"> 0 €</w:t>
            </w:r>
          </w:p>
        </w:tc>
        <w:tc>
          <w:tcPr>
            <w:tcW w:w="4356" w:type="dxa"/>
            <w:gridSpan w:val="4"/>
            <w:tcBorders>
              <w:top w:val="single" w:sz="4" w:space="0" w:color="auto"/>
              <w:left w:val="single" w:sz="4" w:space="0" w:color="auto"/>
              <w:bottom w:val="single" w:sz="4" w:space="0" w:color="auto"/>
              <w:right w:val="single" w:sz="4" w:space="0" w:color="auto"/>
            </w:tcBorders>
          </w:tcPr>
          <w:p w:rsidR="00BB1FB6" w:rsidRPr="00722894" w:rsidRDefault="00BB1FB6" w:rsidP="00DD61ED">
            <w:pPr>
              <w:rPr>
                <w:sz w:val="20"/>
                <w:szCs w:val="20"/>
                <w:lang w:val="fr-FR"/>
              </w:rPr>
            </w:pPr>
            <w:r w:rsidRPr="00722894">
              <w:rPr>
                <w:sz w:val="20"/>
                <w:szCs w:val="20"/>
                <w:lang w:val="fr-FR"/>
              </w:rPr>
              <w:t xml:space="preserve">L’OMPO continue à jouer un rôle d’ambassadeur de l’AEWA et à promouvoir l’Accord, notamment dans les États baltes, en Russie, à Malte et au Maroc. </w:t>
            </w:r>
            <w:proofErr w:type="spellStart"/>
            <w:r w:rsidRPr="00722894">
              <w:rPr>
                <w:sz w:val="20"/>
                <w:szCs w:val="20"/>
                <w:lang w:val="fr-FR"/>
              </w:rPr>
              <w:t>BirdLife</w:t>
            </w:r>
            <w:proofErr w:type="spellEnd"/>
            <w:r w:rsidRPr="00722894">
              <w:rPr>
                <w:sz w:val="20"/>
                <w:szCs w:val="20"/>
                <w:lang w:val="fr-FR"/>
              </w:rPr>
              <w:t xml:space="preserve"> International, le CIC et </w:t>
            </w:r>
            <w:proofErr w:type="spellStart"/>
            <w:r w:rsidRPr="00722894">
              <w:rPr>
                <w:sz w:val="20"/>
                <w:szCs w:val="20"/>
                <w:lang w:val="fr-FR"/>
              </w:rPr>
              <w:t>Wetlands</w:t>
            </w:r>
            <w:proofErr w:type="spellEnd"/>
            <w:r w:rsidRPr="00722894">
              <w:rPr>
                <w:sz w:val="20"/>
                <w:szCs w:val="20"/>
                <w:lang w:val="fr-FR"/>
              </w:rPr>
              <w:t xml:space="preserve"> International </w:t>
            </w:r>
            <w:r>
              <w:rPr>
                <w:sz w:val="20"/>
                <w:szCs w:val="20"/>
                <w:lang w:val="fr-FR"/>
              </w:rPr>
              <w:t xml:space="preserve">font également la </w:t>
            </w:r>
            <w:r w:rsidRPr="00722894">
              <w:rPr>
                <w:sz w:val="20"/>
                <w:szCs w:val="20"/>
                <w:lang w:val="fr-FR"/>
              </w:rPr>
              <w:t>prom</w:t>
            </w:r>
            <w:r>
              <w:rPr>
                <w:sz w:val="20"/>
                <w:szCs w:val="20"/>
                <w:lang w:val="fr-FR"/>
              </w:rPr>
              <w:t>otion</w:t>
            </w:r>
            <w:r w:rsidRPr="00722894">
              <w:rPr>
                <w:sz w:val="20"/>
                <w:szCs w:val="20"/>
                <w:lang w:val="fr-FR"/>
              </w:rPr>
              <w:t xml:space="preserve"> </w:t>
            </w:r>
            <w:r>
              <w:rPr>
                <w:sz w:val="20"/>
                <w:szCs w:val="20"/>
                <w:lang w:val="fr-FR"/>
              </w:rPr>
              <w:t>de</w:t>
            </w:r>
            <w:r w:rsidRPr="00722894">
              <w:rPr>
                <w:sz w:val="20"/>
                <w:szCs w:val="20"/>
                <w:lang w:val="fr-FR"/>
              </w:rPr>
              <w:t xml:space="preserve"> l’Accord le cas échéant. Le projet WOW et l’Accord de partenariat WOW afférent continueront eux aussi à renforcer le rôle joué par </w:t>
            </w:r>
            <w:proofErr w:type="spellStart"/>
            <w:r w:rsidRPr="00722894">
              <w:rPr>
                <w:sz w:val="20"/>
                <w:szCs w:val="20"/>
                <w:lang w:val="fr-FR"/>
              </w:rPr>
              <w:t>BirdLife</w:t>
            </w:r>
            <w:proofErr w:type="spellEnd"/>
            <w:r w:rsidRPr="00722894">
              <w:rPr>
                <w:sz w:val="20"/>
                <w:szCs w:val="20"/>
                <w:lang w:val="fr-FR"/>
              </w:rPr>
              <w:t xml:space="preserve"> International et </w:t>
            </w:r>
            <w:proofErr w:type="spellStart"/>
            <w:r w:rsidRPr="00722894">
              <w:rPr>
                <w:sz w:val="20"/>
                <w:szCs w:val="20"/>
                <w:lang w:val="fr-FR"/>
              </w:rPr>
              <w:t>Wetlands</w:t>
            </w:r>
            <w:proofErr w:type="spellEnd"/>
            <w:r w:rsidRPr="00722894">
              <w:rPr>
                <w:sz w:val="20"/>
                <w:szCs w:val="20"/>
                <w:lang w:val="fr-FR"/>
              </w:rPr>
              <w:t xml:space="preserve"> International à cet égard.</w:t>
            </w:r>
          </w:p>
        </w:tc>
        <w:tc>
          <w:tcPr>
            <w:tcW w:w="1253" w:type="dxa"/>
            <w:gridSpan w:val="3"/>
            <w:tcBorders>
              <w:top w:val="single" w:sz="4" w:space="0" w:color="auto"/>
              <w:left w:val="single" w:sz="4" w:space="0" w:color="auto"/>
              <w:bottom w:val="single" w:sz="4" w:space="0" w:color="auto"/>
              <w:right w:val="single" w:sz="4" w:space="0" w:color="auto"/>
            </w:tcBorders>
          </w:tcPr>
          <w:p w:rsidR="00BB1FB6" w:rsidRPr="00722894" w:rsidRDefault="00BB1FB6" w:rsidP="00DD61ED">
            <w:pPr>
              <w:rPr>
                <w:b/>
                <w:bCs/>
                <w:sz w:val="20"/>
                <w:szCs w:val="20"/>
                <w:lang w:val="fr-FR"/>
              </w:rPr>
            </w:pPr>
            <w:r w:rsidRPr="00722894">
              <w:rPr>
                <w:b/>
                <w:bCs/>
                <w:sz w:val="20"/>
                <w:szCs w:val="20"/>
                <w:lang w:val="fr-FR"/>
              </w:rPr>
              <w:t>NON</w:t>
            </w:r>
          </w:p>
        </w:tc>
        <w:tc>
          <w:tcPr>
            <w:tcW w:w="1104" w:type="dxa"/>
            <w:gridSpan w:val="2"/>
            <w:tcBorders>
              <w:top w:val="single" w:sz="4" w:space="0" w:color="auto"/>
              <w:left w:val="single" w:sz="4" w:space="0" w:color="auto"/>
              <w:bottom w:val="single" w:sz="4" w:space="0" w:color="auto"/>
              <w:right w:val="single" w:sz="4" w:space="0" w:color="auto"/>
            </w:tcBorders>
          </w:tcPr>
          <w:p w:rsidR="00BB1FB6" w:rsidRPr="00722894" w:rsidRDefault="00BB1FB6" w:rsidP="00DD61ED">
            <w:pPr>
              <w:rPr>
                <w:b/>
                <w:bCs/>
                <w:sz w:val="20"/>
                <w:szCs w:val="20"/>
                <w:lang w:val="fr-FR"/>
              </w:rPr>
            </w:pPr>
            <w:r w:rsidRPr="00722894">
              <w:rPr>
                <w:b/>
                <w:bCs/>
                <w:sz w:val="20"/>
                <w:szCs w:val="20"/>
                <w:lang w:val="fr-FR"/>
              </w:rPr>
              <w:t>NON</w:t>
            </w:r>
          </w:p>
        </w:tc>
      </w:tr>
      <w:tr w:rsidR="00BB1FB6" w:rsidRPr="00722894" w:rsidTr="00BB1F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7" w:type="dxa"/>
          <w:trHeight w:val="1035"/>
          <w:jc w:val="center"/>
        </w:trPr>
        <w:tc>
          <w:tcPr>
            <w:tcW w:w="4765" w:type="dxa"/>
            <w:gridSpan w:val="4"/>
            <w:tcBorders>
              <w:top w:val="single" w:sz="4" w:space="0" w:color="auto"/>
              <w:left w:val="single" w:sz="4" w:space="0" w:color="auto"/>
              <w:bottom w:val="single" w:sz="4" w:space="0" w:color="auto"/>
              <w:right w:val="single" w:sz="4" w:space="0" w:color="auto"/>
            </w:tcBorders>
            <w:noWrap/>
          </w:tcPr>
          <w:p w:rsidR="00BB1FB6" w:rsidRPr="00722894" w:rsidRDefault="00BB1FB6" w:rsidP="00BB1FB6">
            <w:pPr>
              <w:rPr>
                <w:b/>
                <w:bCs/>
                <w:lang w:val="fr-FR"/>
              </w:rPr>
            </w:pPr>
            <w:r w:rsidRPr="00722894">
              <w:rPr>
                <w:b/>
                <w:bCs/>
                <w:sz w:val="22"/>
                <w:szCs w:val="22"/>
                <w:lang w:val="fr-FR"/>
              </w:rPr>
              <w:lastRenderedPageBreak/>
              <w:t>TOTAL : Communication externe</w:t>
            </w:r>
          </w:p>
          <w:p w:rsidR="00BB1FB6" w:rsidRPr="00722894" w:rsidRDefault="00BB1FB6" w:rsidP="00DD61ED">
            <w:pPr>
              <w:rPr>
                <w:b/>
                <w:bCs/>
                <w:sz w:val="20"/>
                <w:szCs w:val="20"/>
                <w:lang w:val="fr-FR"/>
              </w:rPr>
            </w:pPr>
          </w:p>
        </w:tc>
        <w:tc>
          <w:tcPr>
            <w:tcW w:w="1548" w:type="dxa"/>
            <w:gridSpan w:val="3"/>
            <w:tcBorders>
              <w:top w:val="single" w:sz="4" w:space="0" w:color="auto"/>
              <w:left w:val="single" w:sz="4" w:space="0" w:color="auto"/>
              <w:bottom w:val="single" w:sz="4" w:space="0" w:color="auto"/>
              <w:right w:val="single" w:sz="4" w:space="0" w:color="auto"/>
            </w:tcBorders>
            <w:noWrap/>
          </w:tcPr>
          <w:p w:rsidR="00BB1FB6" w:rsidRPr="00722894" w:rsidRDefault="00BB1FB6" w:rsidP="00DD61ED">
            <w:pPr>
              <w:rPr>
                <w:b/>
                <w:bCs/>
                <w:sz w:val="20"/>
                <w:szCs w:val="20"/>
                <w:lang w:val="fr-FR"/>
              </w:rPr>
            </w:pPr>
            <w:r w:rsidRPr="00722894">
              <w:rPr>
                <w:b/>
                <w:bCs/>
                <w:sz w:val="22"/>
                <w:szCs w:val="22"/>
                <w:lang w:val="fr-FR"/>
              </w:rPr>
              <w:t>161 750 €</w:t>
            </w:r>
          </w:p>
        </w:tc>
        <w:tc>
          <w:tcPr>
            <w:tcW w:w="1393" w:type="dxa"/>
            <w:tcBorders>
              <w:top w:val="single" w:sz="4" w:space="0" w:color="auto"/>
              <w:left w:val="single" w:sz="4" w:space="0" w:color="auto"/>
              <w:bottom w:val="single" w:sz="4" w:space="0" w:color="auto"/>
              <w:right w:val="single" w:sz="4" w:space="0" w:color="auto"/>
            </w:tcBorders>
          </w:tcPr>
          <w:p w:rsidR="00BB1FB6" w:rsidRPr="00722894" w:rsidRDefault="00BB1FB6" w:rsidP="00BB1FB6">
            <w:pPr>
              <w:rPr>
                <w:b/>
                <w:bCs/>
                <w:lang w:val="fr-FR"/>
              </w:rPr>
            </w:pPr>
            <w:r w:rsidRPr="00722894">
              <w:rPr>
                <w:b/>
                <w:bCs/>
                <w:sz w:val="22"/>
                <w:szCs w:val="22"/>
                <w:lang w:val="fr-FR"/>
              </w:rPr>
              <w:t>50 000 €</w:t>
            </w:r>
          </w:p>
          <w:p w:rsidR="00BB1FB6" w:rsidRPr="00722894" w:rsidRDefault="00BB1FB6" w:rsidP="00DD61ED">
            <w:pPr>
              <w:rPr>
                <w:b/>
                <w:bCs/>
                <w:sz w:val="20"/>
                <w:szCs w:val="20"/>
                <w:lang w:val="fr-FR"/>
              </w:rPr>
            </w:pPr>
          </w:p>
        </w:tc>
        <w:tc>
          <w:tcPr>
            <w:tcW w:w="4356" w:type="dxa"/>
            <w:gridSpan w:val="4"/>
            <w:tcBorders>
              <w:top w:val="single" w:sz="4" w:space="0" w:color="auto"/>
              <w:left w:val="single" w:sz="4" w:space="0" w:color="auto"/>
              <w:bottom w:val="single" w:sz="4" w:space="0" w:color="auto"/>
              <w:right w:val="single" w:sz="4" w:space="0" w:color="auto"/>
            </w:tcBorders>
          </w:tcPr>
          <w:p w:rsidR="00BB1FB6" w:rsidRPr="00722894" w:rsidRDefault="00BB1FB6" w:rsidP="00DD61ED">
            <w:pPr>
              <w:rPr>
                <w:sz w:val="20"/>
                <w:szCs w:val="20"/>
                <w:lang w:val="fr-FR"/>
              </w:rPr>
            </w:pPr>
          </w:p>
        </w:tc>
        <w:tc>
          <w:tcPr>
            <w:tcW w:w="1253" w:type="dxa"/>
            <w:gridSpan w:val="3"/>
            <w:tcBorders>
              <w:top w:val="single" w:sz="4" w:space="0" w:color="auto"/>
              <w:left w:val="single" w:sz="4" w:space="0" w:color="auto"/>
              <w:bottom w:val="single" w:sz="4" w:space="0" w:color="auto"/>
              <w:right w:val="single" w:sz="4" w:space="0" w:color="auto"/>
            </w:tcBorders>
          </w:tcPr>
          <w:p w:rsidR="00BB1FB6" w:rsidRPr="00722894" w:rsidRDefault="00BB1FB6" w:rsidP="00DD61ED">
            <w:pPr>
              <w:rPr>
                <w:b/>
                <w:bCs/>
                <w:sz w:val="20"/>
                <w:szCs w:val="20"/>
                <w:lang w:val="fr-FR"/>
              </w:rPr>
            </w:pPr>
          </w:p>
        </w:tc>
        <w:tc>
          <w:tcPr>
            <w:tcW w:w="1104" w:type="dxa"/>
            <w:gridSpan w:val="2"/>
            <w:tcBorders>
              <w:top w:val="single" w:sz="4" w:space="0" w:color="auto"/>
              <w:left w:val="single" w:sz="4" w:space="0" w:color="auto"/>
              <w:bottom w:val="single" w:sz="4" w:space="0" w:color="auto"/>
              <w:right w:val="single" w:sz="4" w:space="0" w:color="auto"/>
            </w:tcBorders>
          </w:tcPr>
          <w:p w:rsidR="00BB1FB6" w:rsidRPr="00722894" w:rsidRDefault="00BB1FB6" w:rsidP="00DD61ED">
            <w:pPr>
              <w:rPr>
                <w:b/>
                <w:bCs/>
                <w:sz w:val="20"/>
                <w:szCs w:val="20"/>
                <w:lang w:val="fr-FR"/>
              </w:rPr>
            </w:pPr>
          </w:p>
        </w:tc>
      </w:tr>
      <w:tr w:rsidR="00BB1FB6" w:rsidRPr="001331B4" w:rsidTr="00BB1F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7" w:type="dxa"/>
          <w:trHeight w:val="1035"/>
          <w:jc w:val="center"/>
        </w:trPr>
        <w:tc>
          <w:tcPr>
            <w:tcW w:w="14419"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BB1FB6" w:rsidRDefault="00BB1FB6" w:rsidP="00BB1FB6">
            <w:pPr>
              <w:rPr>
                <w:b/>
                <w:bCs/>
                <w:lang w:val="fr-FR"/>
              </w:rPr>
            </w:pPr>
          </w:p>
          <w:p w:rsidR="00BB1FB6" w:rsidRPr="00722894" w:rsidRDefault="00BB1FB6" w:rsidP="00BB1FB6">
            <w:pPr>
              <w:rPr>
                <w:b/>
                <w:bCs/>
                <w:lang w:val="fr-FR"/>
              </w:rPr>
            </w:pPr>
            <w:r w:rsidRPr="00722894">
              <w:rPr>
                <w:b/>
                <w:bCs/>
                <w:lang w:val="fr-FR"/>
              </w:rPr>
              <w:t>3. Renforcement de la capacité opérationnelle</w:t>
            </w:r>
          </w:p>
          <w:p w:rsidR="00BB1FB6" w:rsidRPr="00722894" w:rsidRDefault="00BB1FB6" w:rsidP="00BB1FB6">
            <w:pPr>
              <w:rPr>
                <w:b/>
                <w:bCs/>
                <w:sz w:val="20"/>
                <w:szCs w:val="20"/>
                <w:lang w:val="fr-FR"/>
              </w:rPr>
            </w:pPr>
          </w:p>
          <w:p w:rsidR="00BB1FB6" w:rsidRPr="00722894" w:rsidRDefault="00BB1FB6" w:rsidP="00BB1FB6">
            <w:pPr>
              <w:rPr>
                <w:b/>
                <w:bCs/>
                <w:sz w:val="20"/>
                <w:szCs w:val="20"/>
                <w:lang w:val="fr-FR"/>
              </w:rPr>
            </w:pPr>
            <w:r w:rsidRPr="00722894">
              <w:rPr>
                <w:sz w:val="22"/>
                <w:szCs w:val="22"/>
                <w:u w:val="single"/>
                <w:lang w:val="fr-FR"/>
              </w:rPr>
              <w:t>Objectif 3 :</w:t>
            </w:r>
            <w:r w:rsidRPr="00722894">
              <w:rPr>
                <w:lang w:val="fr-FR"/>
              </w:rPr>
              <w:t xml:space="preserve"> élaborer une capacité régionale de</w:t>
            </w:r>
            <w:r w:rsidRPr="00722894">
              <w:rPr>
                <w:sz w:val="22"/>
                <w:szCs w:val="22"/>
                <w:lang w:val="fr-FR"/>
              </w:rPr>
              <w:t xml:space="preserve"> communication</w:t>
            </w:r>
          </w:p>
          <w:p w:rsidR="00BB1FB6" w:rsidRPr="00722894" w:rsidRDefault="00BB1FB6" w:rsidP="00DD61ED">
            <w:pPr>
              <w:rPr>
                <w:b/>
                <w:bCs/>
                <w:sz w:val="20"/>
                <w:szCs w:val="20"/>
                <w:lang w:val="fr-FR"/>
              </w:rPr>
            </w:pPr>
          </w:p>
        </w:tc>
      </w:tr>
      <w:tr w:rsidR="00BB1FB6" w:rsidRPr="001331B4" w:rsidTr="00BB1F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7" w:type="dxa"/>
          <w:trHeight w:val="1065"/>
          <w:jc w:val="center"/>
        </w:trPr>
        <w:tc>
          <w:tcPr>
            <w:tcW w:w="4752" w:type="dxa"/>
            <w:gridSpan w:val="3"/>
            <w:tcBorders>
              <w:top w:val="single" w:sz="4" w:space="0" w:color="auto"/>
              <w:left w:val="single" w:sz="4" w:space="0" w:color="auto"/>
              <w:bottom w:val="single" w:sz="4" w:space="0" w:color="auto"/>
              <w:right w:val="single" w:sz="4" w:space="0" w:color="auto"/>
            </w:tcBorders>
            <w:noWrap/>
          </w:tcPr>
          <w:p w:rsidR="00BB1FB6" w:rsidRPr="00722894" w:rsidRDefault="00BB1FB6" w:rsidP="00DD61ED">
            <w:pPr>
              <w:rPr>
                <w:b/>
                <w:bCs/>
                <w:sz w:val="20"/>
                <w:szCs w:val="20"/>
                <w:lang w:val="fr-FR"/>
              </w:rPr>
            </w:pPr>
            <w:r w:rsidRPr="00722894">
              <w:rPr>
                <w:b/>
                <w:bCs/>
                <w:sz w:val="20"/>
                <w:szCs w:val="20"/>
                <w:lang w:val="fr-FR"/>
              </w:rPr>
              <w:t>Activité 3.1. Formation des formateurs au niveau régional</w:t>
            </w:r>
          </w:p>
        </w:tc>
        <w:tc>
          <w:tcPr>
            <w:tcW w:w="1561" w:type="dxa"/>
            <w:gridSpan w:val="4"/>
            <w:tcBorders>
              <w:top w:val="single" w:sz="4" w:space="0" w:color="auto"/>
              <w:left w:val="single" w:sz="4" w:space="0" w:color="auto"/>
              <w:bottom w:val="single" w:sz="4" w:space="0" w:color="auto"/>
              <w:right w:val="single" w:sz="4" w:space="0" w:color="auto"/>
            </w:tcBorders>
            <w:noWrap/>
          </w:tcPr>
          <w:p w:rsidR="00BB1FB6" w:rsidRPr="00722894" w:rsidRDefault="00BB1FB6" w:rsidP="00DD61ED">
            <w:pPr>
              <w:rPr>
                <w:b/>
                <w:bCs/>
                <w:sz w:val="20"/>
                <w:szCs w:val="20"/>
                <w:lang w:val="fr-FR"/>
              </w:rPr>
            </w:pPr>
            <w:r w:rsidRPr="00722894">
              <w:rPr>
                <w:b/>
                <w:bCs/>
                <w:sz w:val="20"/>
                <w:szCs w:val="20"/>
                <w:lang w:val="fr-FR"/>
              </w:rPr>
              <w:t>156 900 €</w:t>
            </w:r>
          </w:p>
        </w:tc>
        <w:tc>
          <w:tcPr>
            <w:tcW w:w="1393" w:type="dxa"/>
            <w:tcBorders>
              <w:top w:val="single" w:sz="4" w:space="0" w:color="auto"/>
              <w:left w:val="single" w:sz="4" w:space="0" w:color="auto"/>
              <w:bottom w:val="single" w:sz="4" w:space="0" w:color="auto"/>
              <w:right w:val="single" w:sz="4" w:space="0" w:color="auto"/>
            </w:tcBorders>
          </w:tcPr>
          <w:p w:rsidR="00BB1FB6" w:rsidRPr="00722894" w:rsidRDefault="00BB1FB6" w:rsidP="00DD61ED">
            <w:pPr>
              <w:rPr>
                <w:sz w:val="20"/>
                <w:szCs w:val="20"/>
                <w:lang w:val="fr-FR"/>
              </w:rPr>
            </w:pPr>
            <w:r w:rsidRPr="00722894">
              <w:rPr>
                <w:b/>
                <w:bCs/>
                <w:sz w:val="20"/>
                <w:szCs w:val="20"/>
                <w:lang w:val="fr-FR"/>
              </w:rPr>
              <w:t xml:space="preserve"> 0 €</w:t>
            </w:r>
          </w:p>
        </w:tc>
        <w:tc>
          <w:tcPr>
            <w:tcW w:w="4356" w:type="dxa"/>
            <w:gridSpan w:val="4"/>
            <w:tcBorders>
              <w:top w:val="single" w:sz="4" w:space="0" w:color="auto"/>
              <w:left w:val="single" w:sz="4" w:space="0" w:color="auto"/>
              <w:bottom w:val="single" w:sz="4" w:space="0" w:color="auto"/>
              <w:right w:val="single" w:sz="4" w:space="0" w:color="auto"/>
            </w:tcBorders>
          </w:tcPr>
          <w:p w:rsidR="00BB1FB6" w:rsidRPr="00722894" w:rsidRDefault="00BB1FB6" w:rsidP="00DD61ED">
            <w:pPr>
              <w:rPr>
                <w:sz w:val="20"/>
                <w:szCs w:val="20"/>
                <w:lang w:val="fr-FR"/>
              </w:rPr>
            </w:pPr>
            <w:r w:rsidRPr="00722894">
              <w:rPr>
                <w:sz w:val="20"/>
                <w:szCs w:val="20"/>
                <w:lang w:val="fr-FR"/>
              </w:rPr>
              <w:t>Jusqu’ici, le  Secrétariat n’a rien entrepris directement pour mettre en œuvre les activités 3.1 et 3.2 en raison d’un manque de fonds. Il faut toutefois noter que le composant de renforcement de la capacité du Projet WOW inclu</w:t>
            </w:r>
            <w:r>
              <w:rPr>
                <w:sz w:val="20"/>
                <w:szCs w:val="20"/>
                <w:lang w:val="fr-FR"/>
              </w:rPr>
              <w:t>ai</w:t>
            </w:r>
            <w:r w:rsidRPr="00722894">
              <w:rPr>
                <w:sz w:val="20"/>
                <w:szCs w:val="20"/>
                <w:lang w:val="fr-FR"/>
              </w:rPr>
              <w:t xml:space="preserve">t plusieurs activités étroitement liées à l’Objectif 3.  </w:t>
            </w:r>
          </w:p>
          <w:p w:rsidR="00BB1FB6" w:rsidRPr="00722894" w:rsidRDefault="00BB1FB6" w:rsidP="00DD61ED">
            <w:pPr>
              <w:rPr>
                <w:sz w:val="20"/>
                <w:szCs w:val="20"/>
                <w:lang w:val="fr-FR"/>
              </w:rPr>
            </w:pPr>
          </w:p>
          <w:p w:rsidR="00BB1FB6" w:rsidRPr="00722894" w:rsidRDefault="00BB1FB6" w:rsidP="00DD61ED">
            <w:pPr>
              <w:rPr>
                <w:sz w:val="20"/>
                <w:szCs w:val="20"/>
                <w:lang w:val="fr-FR"/>
              </w:rPr>
            </w:pPr>
            <w:r w:rsidRPr="00722894">
              <w:rPr>
                <w:sz w:val="20"/>
                <w:szCs w:val="20"/>
                <w:lang w:val="fr-FR"/>
              </w:rPr>
              <w:t xml:space="preserve">Depuis la MOP4, par exemple, plusieurs cours de formation des formateurs WOW ont été organisés. En outre, le Kit de formation Voie de migration du WOW a maintenant été produit (imprimé en 2010), et il est une source de formation unique en son genre, spécifiquement conçue pour renforcer la capacité axée sur la planification, la mise en œuvre, la surveillance, et qui engage une conservation efficace, à l’échelle de la voie de migration, des oiseaux d’eau migrateurs et des zones humides dans la région de l’AEWA. L’outil inclut également un chapitre sur la communication et est disponible en anglais, français, arabe et russe. Il inclut trois modules comprenant un texte détaillé, des études de cas et des exercices étayés par des présentations prêtes à l’emploi, et assortis de CD (dont un contenant tous les principaux documents de l’AEWA) ainsi qu’une série de matériel supplémentaire. </w:t>
            </w:r>
          </w:p>
          <w:p w:rsidR="00BB1FB6" w:rsidRPr="00722894" w:rsidRDefault="00BB1FB6" w:rsidP="00DD61ED">
            <w:pPr>
              <w:rPr>
                <w:sz w:val="20"/>
                <w:szCs w:val="20"/>
                <w:lang w:val="fr-FR"/>
              </w:rPr>
            </w:pPr>
          </w:p>
          <w:p w:rsidR="00BB1FB6" w:rsidRPr="00722894" w:rsidRDefault="00BB1FB6" w:rsidP="00DD61ED">
            <w:pPr>
              <w:rPr>
                <w:sz w:val="20"/>
                <w:szCs w:val="20"/>
                <w:lang w:val="fr-FR"/>
              </w:rPr>
            </w:pPr>
            <w:r w:rsidRPr="00722894">
              <w:rPr>
                <w:sz w:val="20"/>
                <w:szCs w:val="20"/>
                <w:lang w:val="fr-FR"/>
              </w:rPr>
              <w:t xml:space="preserve">Bien que des fonds soient toujours nécessaires pour mettre sur pied des ateliers de formation des formateurs, notamment ceux axés sur « le </w:t>
            </w:r>
            <w:r w:rsidRPr="00722894">
              <w:rPr>
                <w:sz w:val="20"/>
                <w:szCs w:val="20"/>
                <w:lang w:val="fr-FR"/>
              </w:rPr>
              <w:lastRenderedPageBreak/>
              <w:t>renforcement de la capacité de communication parmi les Parties contractantes » demandé par l’Objectif 3, l’Outil de formation Voie de migration et le renforcement de la capacité et du réseau de formation établis par le Projet WOW peuvent former d’excellentes base</w:t>
            </w:r>
            <w:r>
              <w:rPr>
                <w:sz w:val="20"/>
                <w:szCs w:val="20"/>
                <w:lang w:val="fr-FR"/>
              </w:rPr>
              <w:t>s</w:t>
            </w:r>
            <w:r w:rsidRPr="00722894">
              <w:rPr>
                <w:sz w:val="20"/>
                <w:szCs w:val="20"/>
                <w:lang w:val="fr-FR"/>
              </w:rPr>
              <w:t xml:space="preserve"> et ressource</w:t>
            </w:r>
            <w:r>
              <w:rPr>
                <w:sz w:val="20"/>
                <w:szCs w:val="20"/>
                <w:lang w:val="fr-FR"/>
              </w:rPr>
              <w:t>s</w:t>
            </w:r>
            <w:r w:rsidRPr="00722894">
              <w:rPr>
                <w:sz w:val="20"/>
                <w:szCs w:val="20"/>
                <w:lang w:val="fr-FR"/>
              </w:rPr>
              <w:t xml:space="preserve"> pour l’avenir des activités de formation des formateurs entreprises pour atteindre l’Objectif 3 de la Stratégie de communication. </w:t>
            </w:r>
          </w:p>
          <w:p w:rsidR="00BB1FB6" w:rsidRPr="00722894" w:rsidRDefault="00BB1FB6" w:rsidP="00DD61ED">
            <w:pPr>
              <w:rPr>
                <w:sz w:val="20"/>
                <w:szCs w:val="20"/>
                <w:lang w:val="fr-FR"/>
              </w:rPr>
            </w:pPr>
          </w:p>
          <w:p w:rsidR="00BB1FB6" w:rsidRPr="00722894" w:rsidRDefault="00BB1FB6" w:rsidP="00DD61ED">
            <w:pPr>
              <w:rPr>
                <w:sz w:val="20"/>
                <w:szCs w:val="20"/>
                <w:lang w:val="fr-FR"/>
              </w:rPr>
            </w:pPr>
            <w:r w:rsidRPr="00722894">
              <w:rPr>
                <w:sz w:val="20"/>
                <w:szCs w:val="20"/>
                <w:lang w:val="fr-FR"/>
              </w:rPr>
              <w:t>En outre, les activités prévues sous l’Initiative africaine aideront à étayer la mise en œuvre de l’Objectif 3.</w:t>
            </w:r>
          </w:p>
          <w:p w:rsidR="00BB1FB6" w:rsidRPr="00722894" w:rsidRDefault="00BB1FB6" w:rsidP="00DD61ED">
            <w:pPr>
              <w:rPr>
                <w:sz w:val="20"/>
                <w:szCs w:val="20"/>
                <w:lang w:val="fr-FR"/>
              </w:rPr>
            </w:pPr>
          </w:p>
        </w:tc>
        <w:tc>
          <w:tcPr>
            <w:tcW w:w="1253" w:type="dxa"/>
            <w:gridSpan w:val="3"/>
            <w:tcBorders>
              <w:top w:val="single" w:sz="4" w:space="0" w:color="auto"/>
              <w:left w:val="single" w:sz="4" w:space="0" w:color="auto"/>
              <w:bottom w:val="single" w:sz="4" w:space="0" w:color="auto"/>
              <w:right w:val="single" w:sz="4" w:space="0" w:color="auto"/>
            </w:tcBorders>
          </w:tcPr>
          <w:p w:rsidR="00BB1FB6" w:rsidRPr="00722894" w:rsidRDefault="00BB1FB6" w:rsidP="00DD61ED">
            <w:pPr>
              <w:rPr>
                <w:b/>
                <w:bCs/>
                <w:sz w:val="20"/>
                <w:szCs w:val="20"/>
                <w:lang w:val="fr-FR"/>
              </w:rPr>
            </w:pPr>
            <w:r w:rsidRPr="00722894">
              <w:rPr>
                <w:b/>
                <w:bCs/>
                <w:sz w:val="20"/>
                <w:szCs w:val="20"/>
                <w:lang w:val="fr-FR"/>
              </w:rPr>
              <w:lastRenderedPageBreak/>
              <w:t>OUI</w:t>
            </w:r>
          </w:p>
        </w:tc>
        <w:tc>
          <w:tcPr>
            <w:tcW w:w="1104" w:type="dxa"/>
            <w:gridSpan w:val="2"/>
            <w:tcBorders>
              <w:top w:val="single" w:sz="4" w:space="0" w:color="auto"/>
              <w:left w:val="single" w:sz="4" w:space="0" w:color="auto"/>
              <w:bottom w:val="single" w:sz="4" w:space="0" w:color="auto"/>
              <w:right w:val="single" w:sz="4" w:space="0" w:color="auto"/>
            </w:tcBorders>
          </w:tcPr>
          <w:p w:rsidR="00BB1FB6" w:rsidRPr="00722894" w:rsidRDefault="00BB1FB6" w:rsidP="00DD61ED">
            <w:pPr>
              <w:rPr>
                <w:b/>
                <w:bCs/>
                <w:sz w:val="20"/>
                <w:szCs w:val="20"/>
                <w:lang w:val="fr-FR"/>
              </w:rPr>
            </w:pPr>
            <w:r w:rsidRPr="00722894">
              <w:rPr>
                <w:b/>
                <w:bCs/>
                <w:sz w:val="20"/>
                <w:szCs w:val="20"/>
                <w:lang w:val="fr-FR"/>
              </w:rPr>
              <w:t xml:space="preserve">OUI, si adoptée pour inclure des éléments de la </w:t>
            </w:r>
            <w:proofErr w:type="spellStart"/>
            <w:r w:rsidRPr="00722894">
              <w:rPr>
                <w:b/>
                <w:bCs/>
                <w:sz w:val="20"/>
                <w:szCs w:val="20"/>
                <w:lang w:val="fr-FR"/>
              </w:rPr>
              <w:t>strat</w:t>
            </w:r>
            <w:proofErr w:type="spellEnd"/>
            <w:r w:rsidRPr="00722894">
              <w:rPr>
                <w:b/>
                <w:bCs/>
                <w:sz w:val="20"/>
                <w:szCs w:val="20"/>
                <w:lang w:val="fr-FR"/>
              </w:rPr>
              <w:t>. de com.</w:t>
            </w:r>
          </w:p>
        </w:tc>
      </w:tr>
      <w:tr w:rsidR="00BB1FB6" w:rsidRPr="00722894" w:rsidTr="00BB1F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7" w:type="dxa"/>
          <w:trHeight w:val="255"/>
          <w:jc w:val="center"/>
        </w:trPr>
        <w:tc>
          <w:tcPr>
            <w:tcW w:w="4752" w:type="dxa"/>
            <w:gridSpan w:val="3"/>
            <w:tcBorders>
              <w:top w:val="single" w:sz="4" w:space="0" w:color="auto"/>
              <w:left w:val="single" w:sz="4" w:space="0" w:color="auto"/>
              <w:bottom w:val="single" w:sz="4" w:space="0" w:color="auto"/>
              <w:right w:val="single" w:sz="4" w:space="0" w:color="auto"/>
            </w:tcBorders>
            <w:noWrap/>
          </w:tcPr>
          <w:p w:rsidR="00BB1FB6" w:rsidRPr="00722894" w:rsidRDefault="00BB1FB6" w:rsidP="00DD61ED">
            <w:pPr>
              <w:rPr>
                <w:b/>
                <w:bCs/>
                <w:sz w:val="20"/>
                <w:szCs w:val="20"/>
                <w:lang w:val="fr-FR"/>
              </w:rPr>
            </w:pPr>
            <w:r w:rsidRPr="00722894">
              <w:rPr>
                <w:b/>
                <w:bCs/>
                <w:sz w:val="20"/>
                <w:szCs w:val="20"/>
                <w:lang w:val="fr-FR"/>
              </w:rPr>
              <w:lastRenderedPageBreak/>
              <w:t xml:space="preserve">Activité 3.2. Faciliter le suivi national </w:t>
            </w:r>
          </w:p>
        </w:tc>
        <w:tc>
          <w:tcPr>
            <w:tcW w:w="1561" w:type="dxa"/>
            <w:gridSpan w:val="4"/>
            <w:tcBorders>
              <w:top w:val="single" w:sz="4" w:space="0" w:color="auto"/>
              <w:left w:val="single" w:sz="4" w:space="0" w:color="auto"/>
              <w:bottom w:val="single" w:sz="4" w:space="0" w:color="auto"/>
              <w:right w:val="single" w:sz="4" w:space="0" w:color="auto"/>
            </w:tcBorders>
            <w:noWrap/>
          </w:tcPr>
          <w:p w:rsidR="00BB1FB6" w:rsidRPr="00722894" w:rsidRDefault="00BB1FB6" w:rsidP="00DD61ED">
            <w:pPr>
              <w:rPr>
                <w:b/>
                <w:bCs/>
                <w:sz w:val="20"/>
                <w:szCs w:val="20"/>
                <w:lang w:val="fr-FR"/>
              </w:rPr>
            </w:pPr>
            <w:r w:rsidRPr="00722894">
              <w:rPr>
                <w:b/>
                <w:bCs/>
                <w:sz w:val="20"/>
                <w:szCs w:val="20"/>
                <w:lang w:val="fr-FR"/>
              </w:rPr>
              <w:t xml:space="preserve"> 6 750 €</w:t>
            </w:r>
          </w:p>
        </w:tc>
        <w:tc>
          <w:tcPr>
            <w:tcW w:w="1393" w:type="dxa"/>
            <w:tcBorders>
              <w:top w:val="single" w:sz="4" w:space="0" w:color="auto"/>
              <w:left w:val="single" w:sz="4" w:space="0" w:color="auto"/>
              <w:bottom w:val="single" w:sz="4" w:space="0" w:color="auto"/>
              <w:right w:val="single" w:sz="4" w:space="0" w:color="auto"/>
            </w:tcBorders>
            <w:noWrap/>
          </w:tcPr>
          <w:p w:rsidR="00BB1FB6" w:rsidRPr="00722894" w:rsidRDefault="00BB1FB6" w:rsidP="00DD61ED">
            <w:pPr>
              <w:rPr>
                <w:sz w:val="20"/>
                <w:szCs w:val="20"/>
                <w:lang w:val="fr-FR"/>
              </w:rPr>
            </w:pPr>
            <w:r w:rsidRPr="00722894">
              <w:rPr>
                <w:b/>
                <w:sz w:val="20"/>
                <w:szCs w:val="20"/>
                <w:lang w:val="fr-FR"/>
              </w:rPr>
              <w:t xml:space="preserve"> 0 €</w:t>
            </w:r>
          </w:p>
        </w:tc>
        <w:tc>
          <w:tcPr>
            <w:tcW w:w="4356" w:type="dxa"/>
            <w:gridSpan w:val="4"/>
            <w:tcBorders>
              <w:top w:val="single" w:sz="4" w:space="0" w:color="auto"/>
              <w:left w:val="single" w:sz="4" w:space="0" w:color="auto"/>
              <w:bottom w:val="single" w:sz="4" w:space="0" w:color="auto"/>
              <w:right w:val="single" w:sz="4" w:space="0" w:color="auto"/>
            </w:tcBorders>
            <w:noWrap/>
          </w:tcPr>
          <w:p w:rsidR="00BB1FB6" w:rsidRPr="00722894" w:rsidRDefault="00BB1FB6" w:rsidP="00DD61ED">
            <w:pPr>
              <w:rPr>
                <w:sz w:val="20"/>
                <w:szCs w:val="20"/>
                <w:lang w:val="fr-FR"/>
              </w:rPr>
            </w:pPr>
            <w:r w:rsidRPr="00722894">
              <w:rPr>
                <w:sz w:val="20"/>
                <w:szCs w:val="20"/>
                <w:lang w:val="fr-FR"/>
              </w:rPr>
              <w:t>Dépend de l’activité 3.1 ci-dessus. Il faut toutefois noter que les sommes allouées à cette activité ne sont pas réalistes. Pour faciliter au moins trois formations de suivi pour les CEPA au niveau national,  d’autres fonds seront nécessaires.</w:t>
            </w:r>
          </w:p>
        </w:tc>
        <w:tc>
          <w:tcPr>
            <w:tcW w:w="1253" w:type="dxa"/>
            <w:gridSpan w:val="3"/>
            <w:tcBorders>
              <w:top w:val="single" w:sz="4" w:space="0" w:color="auto"/>
              <w:left w:val="single" w:sz="4" w:space="0" w:color="auto"/>
              <w:bottom w:val="single" w:sz="4" w:space="0" w:color="auto"/>
              <w:right w:val="single" w:sz="4" w:space="0" w:color="auto"/>
            </w:tcBorders>
            <w:noWrap/>
          </w:tcPr>
          <w:p w:rsidR="00BB1FB6" w:rsidRPr="00722894" w:rsidRDefault="00BB1FB6" w:rsidP="00DD61ED">
            <w:pPr>
              <w:rPr>
                <w:b/>
                <w:bCs/>
                <w:sz w:val="20"/>
                <w:szCs w:val="20"/>
                <w:lang w:val="fr-FR"/>
              </w:rPr>
            </w:pPr>
            <w:r w:rsidRPr="00722894">
              <w:rPr>
                <w:b/>
                <w:bCs/>
                <w:sz w:val="20"/>
                <w:szCs w:val="20"/>
                <w:lang w:val="fr-FR"/>
              </w:rPr>
              <w:t>OUI</w:t>
            </w:r>
          </w:p>
        </w:tc>
        <w:tc>
          <w:tcPr>
            <w:tcW w:w="1104" w:type="dxa"/>
            <w:gridSpan w:val="2"/>
            <w:tcBorders>
              <w:top w:val="single" w:sz="4" w:space="0" w:color="auto"/>
              <w:left w:val="single" w:sz="4" w:space="0" w:color="auto"/>
              <w:bottom w:val="single" w:sz="4" w:space="0" w:color="auto"/>
              <w:right w:val="single" w:sz="4" w:space="0" w:color="auto"/>
            </w:tcBorders>
          </w:tcPr>
          <w:p w:rsidR="00BB1FB6" w:rsidRPr="00722894" w:rsidRDefault="00BB1FB6" w:rsidP="00DD61ED">
            <w:pPr>
              <w:rPr>
                <w:b/>
                <w:bCs/>
                <w:sz w:val="20"/>
                <w:szCs w:val="20"/>
                <w:lang w:val="fr-FR"/>
              </w:rPr>
            </w:pPr>
            <w:r w:rsidRPr="00722894">
              <w:rPr>
                <w:b/>
                <w:sz w:val="20"/>
                <w:szCs w:val="20"/>
                <w:lang w:val="fr-FR"/>
              </w:rPr>
              <w:t>NON</w:t>
            </w:r>
          </w:p>
        </w:tc>
      </w:tr>
      <w:tr w:rsidR="00BB1FB6" w:rsidRPr="00722894" w:rsidTr="00BB1F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7" w:type="dxa"/>
          <w:trHeight w:val="255"/>
          <w:jc w:val="center"/>
        </w:trPr>
        <w:tc>
          <w:tcPr>
            <w:tcW w:w="4752" w:type="dxa"/>
            <w:gridSpan w:val="3"/>
            <w:tcBorders>
              <w:top w:val="single" w:sz="4" w:space="0" w:color="auto"/>
              <w:left w:val="single" w:sz="4" w:space="0" w:color="auto"/>
              <w:bottom w:val="single" w:sz="4" w:space="0" w:color="auto"/>
              <w:right w:val="single" w:sz="4" w:space="0" w:color="auto"/>
            </w:tcBorders>
            <w:noWrap/>
          </w:tcPr>
          <w:p w:rsidR="00DC27FB" w:rsidRPr="00DC27FB" w:rsidRDefault="00DC27FB" w:rsidP="00DC27FB">
            <w:pPr>
              <w:rPr>
                <w:b/>
                <w:bCs/>
                <w:lang w:val="fr-FR"/>
              </w:rPr>
            </w:pPr>
            <w:r w:rsidRPr="00DC27FB">
              <w:rPr>
                <w:b/>
                <w:bCs/>
                <w:sz w:val="22"/>
                <w:szCs w:val="22"/>
                <w:lang w:val="fr-FR"/>
              </w:rPr>
              <w:t>TOTAL : Renforcement de la capacité opérationnelle</w:t>
            </w:r>
          </w:p>
          <w:p w:rsidR="00BB1FB6" w:rsidRPr="00DC27FB" w:rsidRDefault="00BB1FB6" w:rsidP="00DD61ED">
            <w:pPr>
              <w:rPr>
                <w:b/>
                <w:bCs/>
                <w:lang w:val="fr-FR"/>
              </w:rPr>
            </w:pPr>
          </w:p>
        </w:tc>
        <w:tc>
          <w:tcPr>
            <w:tcW w:w="1561" w:type="dxa"/>
            <w:gridSpan w:val="4"/>
            <w:tcBorders>
              <w:top w:val="single" w:sz="4" w:space="0" w:color="auto"/>
              <w:left w:val="single" w:sz="4" w:space="0" w:color="auto"/>
              <w:bottom w:val="single" w:sz="4" w:space="0" w:color="auto"/>
              <w:right w:val="single" w:sz="4" w:space="0" w:color="auto"/>
            </w:tcBorders>
            <w:noWrap/>
          </w:tcPr>
          <w:p w:rsidR="00BB1FB6" w:rsidRPr="00DC27FB" w:rsidRDefault="00DC27FB" w:rsidP="00DD61ED">
            <w:pPr>
              <w:rPr>
                <w:b/>
                <w:bCs/>
                <w:lang w:val="fr-FR"/>
              </w:rPr>
            </w:pPr>
            <w:r w:rsidRPr="00DC27FB">
              <w:rPr>
                <w:b/>
                <w:bCs/>
                <w:sz w:val="22"/>
                <w:szCs w:val="22"/>
                <w:lang w:val="fr-FR"/>
              </w:rPr>
              <w:t>163 650 €</w:t>
            </w:r>
          </w:p>
        </w:tc>
        <w:tc>
          <w:tcPr>
            <w:tcW w:w="1393" w:type="dxa"/>
            <w:tcBorders>
              <w:top w:val="single" w:sz="4" w:space="0" w:color="auto"/>
              <w:left w:val="single" w:sz="4" w:space="0" w:color="auto"/>
              <w:bottom w:val="single" w:sz="4" w:space="0" w:color="auto"/>
              <w:right w:val="single" w:sz="4" w:space="0" w:color="auto"/>
            </w:tcBorders>
            <w:noWrap/>
          </w:tcPr>
          <w:p w:rsidR="00BB1FB6" w:rsidRPr="00DC27FB" w:rsidRDefault="00DC27FB" w:rsidP="00DD61ED">
            <w:pPr>
              <w:rPr>
                <w:b/>
                <w:lang w:val="fr-FR"/>
              </w:rPr>
            </w:pPr>
            <w:r w:rsidRPr="00DC27FB">
              <w:rPr>
                <w:b/>
                <w:sz w:val="22"/>
                <w:szCs w:val="22"/>
                <w:lang w:val="fr-FR"/>
              </w:rPr>
              <w:t>0 €</w:t>
            </w:r>
          </w:p>
        </w:tc>
        <w:tc>
          <w:tcPr>
            <w:tcW w:w="4356" w:type="dxa"/>
            <w:gridSpan w:val="4"/>
            <w:tcBorders>
              <w:top w:val="single" w:sz="4" w:space="0" w:color="auto"/>
              <w:left w:val="single" w:sz="4" w:space="0" w:color="auto"/>
              <w:bottom w:val="single" w:sz="4" w:space="0" w:color="auto"/>
              <w:right w:val="single" w:sz="4" w:space="0" w:color="auto"/>
            </w:tcBorders>
            <w:noWrap/>
          </w:tcPr>
          <w:p w:rsidR="00BB1FB6" w:rsidRPr="00722894" w:rsidRDefault="00BB1FB6" w:rsidP="00DD61ED">
            <w:pPr>
              <w:rPr>
                <w:sz w:val="20"/>
                <w:szCs w:val="20"/>
                <w:lang w:val="fr-FR"/>
              </w:rPr>
            </w:pPr>
          </w:p>
        </w:tc>
        <w:tc>
          <w:tcPr>
            <w:tcW w:w="1253" w:type="dxa"/>
            <w:gridSpan w:val="3"/>
            <w:tcBorders>
              <w:top w:val="single" w:sz="4" w:space="0" w:color="auto"/>
              <w:left w:val="single" w:sz="4" w:space="0" w:color="auto"/>
              <w:bottom w:val="single" w:sz="4" w:space="0" w:color="auto"/>
              <w:right w:val="single" w:sz="4" w:space="0" w:color="auto"/>
            </w:tcBorders>
            <w:noWrap/>
          </w:tcPr>
          <w:p w:rsidR="00BB1FB6" w:rsidRPr="00722894" w:rsidRDefault="00BB1FB6" w:rsidP="00DD61ED">
            <w:pPr>
              <w:rPr>
                <w:b/>
                <w:bCs/>
                <w:sz w:val="20"/>
                <w:szCs w:val="20"/>
                <w:lang w:val="fr-FR"/>
              </w:rPr>
            </w:pPr>
          </w:p>
        </w:tc>
        <w:tc>
          <w:tcPr>
            <w:tcW w:w="1104" w:type="dxa"/>
            <w:gridSpan w:val="2"/>
            <w:tcBorders>
              <w:top w:val="single" w:sz="4" w:space="0" w:color="auto"/>
              <w:left w:val="single" w:sz="4" w:space="0" w:color="auto"/>
              <w:bottom w:val="single" w:sz="4" w:space="0" w:color="auto"/>
              <w:right w:val="single" w:sz="4" w:space="0" w:color="auto"/>
            </w:tcBorders>
          </w:tcPr>
          <w:p w:rsidR="00BB1FB6" w:rsidRPr="00722894" w:rsidRDefault="00BB1FB6" w:rsidP="00DD61ED">
            <w:pPr>
              <w:rPr>
                <w:b/>
                <w:sz w:val="20"/>
                <w:szCs w:val="20"/>
                <w:lang w:val="fr-FR"/>
              </w:rPr>
            </w:pPr>
          </w:p>
        </w:tc>
      </w:tr>
      <w:tr w:rsidR="00BB1FB6" w:rsidRPr="001331B4" w:rsidTr="00BB1F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7" w:type="dxa"/>
          <w:trHeight w:val="255"/>
          <w:jc w:val="center"/>
        </w:trPr>
        <w:tc>
          <w:tcPr>
            <w:tcW w:w="14419"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tbl>
            <w:tblPr>
              <w:tblW w:w="14466" w:type="dxa"/>
              <w:jc w:val="center"/>
              <w:tblLayout w:type="fixed"/>
              <w:tblLook w:val="0000" w:firstRow="0" w:lastRow="0" w:firstColumn="0" w:lastColumn="0" w:noHBand="0" w:noVBand="0"/>
            </w:tblPr>
            <w:tblGrid>
              <w:gridCol w:w="14466"/>
            </w:tblGrid>
            <w:tr w:rsidR="00DC27FB" w:rsidRPr="001331B4" w:rsidTr="00DC27FB">
              <w:trPr>
                <w:trHeight w:val="255"/>
                <w:jc w:val="center"/>
              </w:trPr>
              <w:tc>
                <w:tcPr>
                  <w:tcW w:w="14447" w:type="dxa"/>
                  <w:noWrap/>
                </w:tcPr>
                <w:p w:rsidR="00DC27FB" w:rsidRPr="00722894" w:rsidRDefault="00DC27FB" w:rsidP="0044190E">
                  <w:pPr>
                    <w:rPr>
                      <w:b/>
                      <w:bCs/>
                      <w:sz w:val="20"/>
                      <w:szCs w:val="20"/>
                      <w:lang w:val="fr-FR"/>
                    </w:rPr>
                  </w:pPr>
                </w:p>
                <w:p w:rsidR="00DC27FB" w:rsidRPr="00722894" w:rsidRDefault="00DC27FB" w:rsidP="0044190E">
                  <w:pPr>
                    <w:rPr>
                      <w:b/>
                      <w:bCs/>
                      <w:lang w:val="fr-FR"/>
                    </w:rPr>
                  </w:pPr>
                  <w:r w:rsidRPr="00722894">
                    <w:rPr>
                      <w:b/>
                      <w:bCs/>
                      <w:lang w:val="fr-FR"/>
                    </w:rPr>
                    <w:t>4. Renforcement de la sensibilisation à l’AEWA</w:t>
                  </w:r>
                </w:p>
                <w:p w:rsidR="00DC27FB" w:rsidRPr="00722894" w:rsidRDefault="00DC27FB" w:rsidP="0044190E">
                  <w:pPr>
                    <w:rPr>
                      <w:lang w:val="fr-FR"/>
                    </w:rPr>
                  </w:pPr>
                </w:p>
                <w:p w:rsidR="00DC27FB" w:rsidRPr="00722894" w:rsidRDefault="00DC27FB" w:rsidP="0044190E">
                  <w:pPr>
                    <w:rPr>
                      <w:sz w:val="20"/>
                      <w:szCs w:val="20"/>
                      <w:lang w:val="fr-FR"/>
                    </w:rPr>
                  </w:pPr>
                  <w:r w:rsidRPr="00722894">
                    <w:rPr>
                      <w:sz w:val="22"/>
                      <w:szCs w:val="22"/>
                      <w:u w:val="single"/>
                      <w:lang w:val="fr-FR"/>
                    </w:rPr>
                    <w:t xml:space="preserve">Objectif 4 : </w:t>
                  </w:r>
                  <w:r w:rsidRPr="00722894">
                    <w:rPr>
                      <w:sz w:val="22"/>
                      <w:szCs w:val="22"/>
                      <w:lang w:val="fr-FR"/>
                    </w:rPr>
                    <w:t>augmenter la sensibilisation à l’AEWA, la connaissance de sa valeur ajoutée et de ses objectifs</w:t>
                  </w:r>
                </w:p>
                <w:p w:rsidR="00DC27FB" w:rsidRPr="00722894" w:rsidRDefault="00DC27FB" w:rsidP="0044190E">
                  <w:pPr>
                    <w:rPr>
                      <w:lang w:val="fr-FR"/>
                    </w:rPr>
                  </w:pPr>
                  <w:r w:rsidRPr="00722894">
                    <w:rPr>
                      <w:sz w:val="20"/>
                      <w:szCs w:val="20"/>
                      <w:lang w:val="fr-FR"/>
                    </w:rPr>
                    <w:t> </w:t>
                  </w:r>
                </w:p>
                <w:p w:rsidR="00DC27FB" w:rsidRPr="00722894" w:rsidRDefault="00DC27FB" w:rsidP="0044190E">
                  <w:pPr>
                    <w:rPr>
                      <w:sz w:val="20"/>
                      <w:szCs w:val="20"/>
                      <w:lang w:val="fr-FR"/>
                    </w:rPr>
                  </w:pPr>
                  <w:r w:rsidRPr="00722894">
                    <w:rPr>
                      <w:sz w:val="20"/>
                      <w:szCs w:val="20"/>
                      <w:lang w:val="fr-FR"/>
                    </w:rPr>
                    <w:t>  </w:t>
                  </w:r>
                </w:p>
              </w:tc>
            </w:tr>
          </w:tbl>
          <w:p w:rsidR="00BB1FB6" w:rsidRPr="00722894" w:rsidRDefault="00BB1FB6" w:rsidP="00DD61ED">
            <w:pPr>
              <w:rPr>
                <w:b/>
                <w:sz w:val="20"/>
                <w:szCs w:val="20"/>
                <w:lang w:val="fr-FR"/>
              </w:rPr>
            </w:pPr>
          </w:p>
        </w:tc>
      </w:tr>
      <w:tr w:rsidR="00BB1FB6" w:rsidRPr="00722894" w:rsidTr="00BB1F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558"/>
          <w:jc w:val="center"/>
        </w:trPr>
        <w:tc>
          <w:tcPr>
            <w:tcW w:w="4740" w:type="dxa"/>
            <w:gridSpan w:val="2"/>
            <w:tcBorders>
              <w:top w:val="single" w:sz="4" w:space="0" w:color="auto"/>
              <w:left w:val="single" w:sz="4" w:space="0" w:color="auto"/>
              <w:bottom w:val="single" w:sz="4" w:space="0" w:color="auto"/>
              <w:right w:val="single" w:sz="4" w:space="0" w:color="auto"/>
            </w:tcBorders>
            <w:noWrap/>
          </w:tcPr>
          <w:p w:rsidR="00BB1FB6" w:rsidRPr="00722894" w:rsidRDefault="00BB1FB6" w:rsidP="00DD61ED">
            <w:pPr>
              <w:rPr>
                <w:b/>
                <w:sz w:val="20"/>
                <w:szCs w:val="20"/>
                <w:lang w:val="fr-FR"/>
              </w:rPr>
            </w:pPr>
            <w:r w:rsidRPr="00722894">
              <w:rPr>
                <w:b/>
                <w:sz w:val="20"/>
                <w:szCs w:val="20"/>
                <w:lang w:val="fr-FR"/>
              </w:rPr>
              <w:t>Activité 4.1. Site Web de l’AEWA</w:t>
            </w:r>
          </w:p>
        </w:tc>
        <w:tc>
          <w:tcPr>
            <w:tcW w:w="1560" w:type="dxa"/>
            <w:gridSpan w:val="4"/>
            <w:tcBorders>
              <w:top w:val="single" w:sz="4" w:space="0" w:color="auto"/>
              <w:left w:val="single" w:sz="4" w:space="0" w:color="auto"/>
              <w:bottom w:val="single" w:sz="4" w:space="0" w:color="auto"/>
              <w:right w:val="single" w:sz="4" w:space="0" w:color="auto"/>
            </w:tcBorders>
            <w:noWrap/>
          </w:tcPr>
          <w:p w:rsidR="00BB1FB6" w:rsidRPr="00722894" w:rsidRDefault="00BB1FB6" w:rsidP="00DD61ED">
            <w:pPr>
              <w:rPr>
                <w:b/>
                <w:sz w:val="20"/>
                <w:szCs w:val="20"/>
                <w:lang w:val="fr-FR"/>
              </w:rPr>
            </w:pPr>
            <w:r w:rsidRPr="00722894">
              <w:rPr>
                <w:b/>
                <w:sz w:val="20"/>
                <w:szCs w:val="20"/>
                <w:lang w:val="fr-FR"/>
              </w:rPr>
              <w:t>10 880 €</w:t>
            </w:r>
          </w:p>
        </w:tc>
        <w:tc>
          <w:tcPr>
            <w:tcW w:w="1531" w:type="dxa"/>
            <w:gridSpan w:val="3"/>
            <w:tcBorders>
              <w:top w:val="single" w:sz="4" w:space="0" w:color="auto"/>
              <w:left w:val="single" w:sz="4" w:space="0" w:color="auto"/>
              <w:bottom w:val="single" w:sz="4" w:space="0" w:color="auto"/>
              <w:right w:val="single" w:sz="4" w:space="0" w:color="auto"/>
            </w:tcBorders>
          </w:tcPr>
          <w:p w:rsidR="00BB1FB6" w:rsidRPr="00722894" w:rsidRDefault="00BB1FB6" w:rsidP="00DD61ED">
            <w:pPr>
              <w:rPr>
                <w:b/>
                <w:sz w:val="20"/>
                <w:szCs w:val="20"/>
                <w:lang w:val="fr-FR"/>
              </w:rPr>
            </w:pPr>
            <w:r w:rsidRPr="00722894">
              <w:rPr>
                <w:b/>
                <w:sz w:val="20"/>
                <w:szCs w:val="20"/>
                <w:lang w:val="fr-FR"/>
              </w:rPr>
              <w:t xml:space="preserve"> 0 €</w:t>
            </w:r>
          </w:p>
        </w:tc>
        <w:tc>
          <w:tcPr>
            <w:tcW w:w="4242" w:type="dxa"/>
            <w:gridSpan w:val="4"/>
            <w:tcBorders>
              <w:top w:val="single" w:sz="4" w:space="0" w:color="auto"/>
              <w:left w:val="single" w:sz="4" w:space="0" w:color="auto"/>
              <w:bottom w:val="single" w:sz="4" w:space="0" w:color="auto"/>
              <w:right w:val="single" w:sz="4" w:space="0" w:color="auto"/>
            </w:tcBorders>
          </w:tcPr>
          <w:p w:rsidR="00BB1FB6" w:rsidRPr="00722894" w:rsidRDefault="00BB1FB6" w:rsidP="00DD61ED">
            <w:pPr>
              <w:rPr>
                <w:sz w:val="20"/>
                <w:szCs w:val="20"/>
                <w:lang w:val="fr-FR"/>
              </w:rPr>
            </w:pPr>
            <w:r w:rsidRPr="00722894">
              <w:rPr>
                <w:sz w:val="20"/>
                <w:szCs w:val="20"/>
                <w:lang w:val="fr-FR"/>
              </w:rPr>
              <w:t>Le site actuel de l’AEWA est régulièrement mis à jour et des nouvelles sur les activités et projets en cours sont régulièrement affichées. Il est bon de noter que l’entretien du site Web est un véritable travail d’équipe auquel participent plusieurs collaborateurs de l’AEWA, et que sa gestion générale est sous la responsabilité de l’administrateur chargé de l’information de l’AEWA.</w:t>
            </w:r>
          </w:p>
          <w:p w:rsidR="00BB1FB6" w:rsidRPr="00722894" w:rsidRDefault="00BB1FB6" w:rsidP="00DD61ED">
            <w:pPr>
              <w:rPr>
                <w:sz w:val="20"/>
                <w:szCs w:val="20"/>
                <w:lang w:val="fr-FR"/>
              </w:rPr>
            </w:pPr>
          </w:p>
          <w:p w:rsidR="00BB1FB6" w:rsidRPr="00722894" w:rsidRDefault="00BB1FB6" w:rsidP="00DD61ED">
            <w:pPr>
              <w:rPr>
                <w:sz w:val="20"/>
                <w:szCs w:val="20"/>
                <w:lang w:val="fr-FR"/>
              </w:rPr>
            </w:pPr>
            <w:r w:rsidRPr="00722894">
              <w:rPr>
                <w:sz w:val="20"/>
                <w:szCs w:val="20"/>
                <w:lang w:val="fr-FR"/>
              </w:rPr>
              <w:t xml:space="preserve">Toutefois, le dernier relookage du site Web ayant </w:t>
            </w:r>
            <w:r w:rsidRPr="00722894">
              <w:rPr>
                <w:sz w:val="20"/>
                <w:szCs w:val="20"/>
                <w:lang w:val="fr-FR"/>
              </w:rPr>
              <w:lastRenderedPageBreak/>
              <w:t xml:space="preserve">eu lieu en 2005, ce dernier devient dépassé d’un point de vue technologique. Le site actuel de l’AEWA est purement basé sur le format HTML, sans banque de données ni système de gestion du contenu Web derrière lui. Il n’emploie pas non plus beaucoup des fonctionnalités interactives qui sont devenues disponibles dans les années qui ont suivi son développement, telles que RSS et autres fonctionnalités de type Web 2.0. Le Secrétariat hésite cependant à s’embarquer dans la </w:t>
            </w:r>
            <w:proofErr w:type="spellStart"/>
            <w:r w:rsidRPr="00722894">
              <w:rPr>
                <w:sz w:val="20"/>
                <w:szCs w:val="20"/>
                <w:lang w:val="fr-FR"/>
              </w:rPr>
              <w:t>reconception</w:t>
            </w:r>
            <w:proofErr w:type="spellEnd"/>
            <w:r w:rsidRPr="00722894">
              <w:rPr>
                <w:sz w:val="20"/>
                <w:szCs w:val="20"/>
                <w:lang w:val="fr-FR"/>
              </w:rPr>
              <w:t xml:space="preserve"> du site de l’AEWA sans un mandat clair des Parties, et sans suffisamment de temps et de ressources financières allouées à un projet de ce type.  Le Secrétariat est également partisan du développement d’un futur site Web pour toute la famille de la CMS.</w:t>
            </w:r>
          </w:p>
        </w:tc>
        <w:tc>
          <w:tcPr>
            <w:tcW w:w="1275" w:type="dxa"/>
            <w:gridSpan w:val="3"/>
            <w:tcBorders>
              <w:top w:val="single" w:sz="4" w:space="0" w:color="auto"/>
              <w:left w:val="single" w:sz="4" w:space="0" w:color="auto"/>
              <w:bottom w:val="single" w:sz="4" w:space="0" w:color="auto"/>
              <w:right w:val="single" w:sz="4" w:space="0" w:color="auto"/>
            </w:tcBorders>
          </w:tcPr>
          <w:p w:rsidR="00BB1FB6" w:rsidRPr="00722894" w:rsidRDefault="00BB1FB6" w:rsidP="00DD61ED">
            <w:pPr>
              <w:rPr>
                <w:b/>
                <w:sz w:val="20"/>
                <w:szCs w:val="20"/>
                <w:lang w:val="fr-FR"/>
              </w:rPr>
            </w:pPr>
            <w:r w:rsidRPr="00722894">
              <w:rPr>
                <w:b/>
                <w:sz w:val="20"/>
                <w:szCs w:val="20"/>
                <w:lang w:val="fr-FR"/>
              </w:rPr>
              <w:lastRenderedPageBreak/>
              <w:t>OUI</w:t>
            </w:r>
          </w:p>
        </w:tc>
        <w:tc>
          <w:tcPr>
            <w:tcW w:w="1099" w:type="dxa"/>
            <w:gridSpan w:val="2"/>
            <w:tcBorders>
              <w:top w:val="single" w:sz="4" w:space="0" w:color="auto"/>
              <w:left w:val="single" w:sz="4" w:space="0" w:color="auto"/>
              <w:bottom w:val="single" w:sz="4" w:space="0" w:color="auto"/>
              <w:right w:val="single" w:sz="4" w:space="0" w:color="auto"/>
            </w:tcBorders>
          </w:tcPr>
          <w:p w:rsidR="00BB1FB6" w:rsidRPr="00722894" w:rsidRDefault="00BB1FB6" w:rsidP="00DD61ED">
            <w:pPr>
              <w:rPr>
                <w:b/>
                <w:sz w:val="20"/>
                <w:szCs w:val="20"/>
                <w:lang w:val="fr-FR"/>
              </w:rPr>
            </w:pPr>
            <w:r w:rsidRPr="00722894">
              <w:rPr>
                <w:b/>
                <w:sz w:val="20"/>
                <w:szCs w:val="20"/>
                <w:lang w:val="fr-FR"/>
              </w:rPr>
              <w:t>NON</w:t>
            </w:r>
          </w:p>
        </w:tc>
      </w:tr>
      <w:tr w:rsidR="00BB1FB6" w:rsidRPr="00722894" w:rsidTr="00BB1F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557"/>
          <w:jc w:val="center"/>
        </w:trPr>
        <w:tc>
          <w:tcPr>
            <w:tcW w:w="4740" w:type="dxa"/>
            <w:gridSpan w:val="2"/>
            <w:tcBorders>
              <w:top w:val="single" w:sz="4" w:space="0" w:color="auto"/>
              <w:left w:val="single" w:sz="4" w:space="0" w:color="auto"/>
              <w:bottom w:val="single" w:sz="4" w:space="0" w:color="auto"/>
              <w:right w:val="single" w:sz="4" w:space="0" w:color="auto"/>
            </w:tcBorders>
            <w:noWrap/>
          </w:tcPr>
          <w:p w:rsidR="00BB1FB6" w:rsidRPr="00722894" w:rsidRDefault="00BB1FB6" w:rsidP="00DD61ED">
            <w:pPr>
              <w:rPr>
                <w:b/>
                <w:sz w:val="20"/>
                <w:szCs w:val="20"/>
                <w:lang w:val="fr-FR"/>
              </w:rPr>
            </w:pPr>
            <w:r w:rsidRPr="00722894">
              <w:rPr>
                <w:b/>
                <w:sz w:val="20"/>
                <w:szCs w:val="20"/>
                <w:lang w:val="fr-FR"/>
              </w:rPr>
              <w:lastRenderedPageBreak/>
              <w:t>Activité 4.2. Bulletin de l’AEWA</w:t>
            </w:r>
          </w:p>
        </w:tc>
        <w:tc>
          <w:tcPr>
            <w:tcW w:w="1560" w:type="dxa"/>
            <w:gridSpan w:val="4"/>
            <w:tcBorders>
              <w:top w:val="single" w:sz="4" w:space="0" w:color="auto"/>
              <w:left w:val="single" w:sz="4" w:space="0" w:color="auto"/>
              <w:bottom w:val="single" w:sz="4" w:space="0" w:color="auto"/>
              <w:right w:val="single" w:sz="4" w:space="0" w:color="auto"/>
            </w:tcBorders>
            <w:noWrap/>
          </w:tcPr>
          <w:p w:rsidR="00BB1FB6" w:rsidRPr="00722894" w:rsidRDefault="00BB1FB6" w:rsidP="00DD61ED">
            <w:pPr>
              <w:rPr>
                <w:b/>
                <w:sz w:val="20"/>
                <w:szCs w:val="20"/>
                <w:lang w:val="fr-FR"/>
              </w:rPr>
            </w:pPr>
            <w:r w:rsidRPr="00722894">
              <w:rPr>
                <w:b/>
                <w:sz w:val="20"/>
                <w:szCs w:val="20"/>
                <w:lang w:val="fr-FR"/>
              </w:rPr>
              <w:t xml:space="preserve">108 000 </w:t>
            </w:r>
          </w:p>
        </w:tc>
        <w:tc>
          <w:tcPr>
            <w:tcW w:w="1531" w:type="dxa"/>
            <w:gridSpan w:val="3"/>
            <w:tcBorders>
              <w:top w:val="single" w:sz="4" w:space="0" w:color="auto"/>
              <w:left w:val="single" w:sz="4" w:space="0" w:color="auto"/>
              <w:bottom w:val="single" w:sz="4" w:space="0" w:color="auto"/>
              <w:right w:val="nil"/>
            </w:tcBorders>
          </w:tcPr>
          <w:p w:rsidR="00BB1FB6" w:rsidRPr="00722894" w:rsidRDefault="00BB1FB6" w:rsidP="00DD61ED">
            <w:pPr>
              <w:rPr>
                <w:b/>
                <w:sz w:val="20"/>
                <w:szCs w:val="20"/>
                <w:lang w:val="fr-FR"/>
              </w:rPr>
            </w:pPr>
            <w:r w:rsidRPr="00722894">
              <w:rPr>
                <w:b/>
                <w:sz w:val="20"/>
                <w:szCs w:val="20"/>
                <w:lang w:val="fr-FR"/>
              </w:rPr>
              <w:t xml:space="preserve"> 0 €</w:t>
            </w:r>
          </w:p>
          <w:p w:rsidR="00BB1FB6" w:rsidRPr="00722894" w:rsidRDefault="00BB1FB6" w:rsidP="00DD61ED">
            <w:pPr>
              <w:rPr>
                <w:b/>
                <w:sz w:val="20"/>
                <w:szCs w:val="20"/>
                <w:lang w:val="fr-FR"/>
              </w:rPr>
            </w:pPr>
          </w:p>
          <w:p w:rsidR="00BB1FB6" w:rsidRPr="00722894" w:rsidRDefault="00BB1FB6" w:rsidP="00DD61ED">
            <w:pPr>
              <w:rPr>
                <w:b/>
                <w:sz w:val="20"/>
                <w:szCs w:val="20"/>
                <w:lang w:val="fr-FR"/>
              </w:rPr>
            </w:pPr>
            <w:r w:rsidRPr="00722894">
              <w:rPr>
                <w:b/>
                <w:sz w:val="20"/>
                <w:szCs w:val="20"/>
                <w:lang w:val="fr-FR"/>
              </w:rPr>
              <w:t xml:space="preserve">Aide en nature de l’Allemagne </w:t>
            </w:r>
          </w:p>
        </w:tc>
        <w:tc>
          <w:tcPr>
            <w:tcW w:w="4242" w:type="dxa"/>
            <w:gridSpan w:val="4"/>
            <w:tcBorders>
              <w:top w:val="single" w:sz="4" w:space="0" w:color="auto"/>
              <w:left w:val="single" w:sz="4" w:space="0" w:color="auto"/>
              <w:bottom w:val="single" w:sz="4" w:space="0" w:color="auto"/>
              <w:right w:val="nil"/>
            </w:tcBorders>
          </w:tcPr>
          <w:p w:rsidR="00BB1FB6" w:rsidRPr="00722894" w:rsidRDefault="00BB1FB6" w:rsidP="00DD61ED">
            <w:pPr>
              <w:rPr>
                <w:sz w:val="20"/>
                <w:szCs w:val="20"/>
                <w:lang w:val="fr-FR"/>
              </w:rPr>
            </w:pPr>
            <w:r w:rsidRPr="00722894">
              <w:rPr>
                <w:sz w:val="20"/>
                <w:szCs w:val="20"/>
                <w:lang w:val="fr-FR"/>
              </w:rPr>
              <w:t>Depuis la MOP3, le e-bulletin de l’AEWA est devenu l’un des outils de communication prépondérants pour joindre les contacts actuels (plus de 4</w:t>
            </w:r>
            <w:r>
              <w:rPr>
                <w:sz w:val="20"/>
                <w:szCs w:val="20"/>
                <w:lang w:val="fr-FR"/>
              </w:rPr>
              <w:t xml:space="preserve"> </w:t>
            </w:r>
            <w:r w:rsidRPr="00722894">
              <w:rPr>
                <w:sz w:val="20"/>
                <w:szCs w:val="20"/>
                <w:lang w:val="fr-FR"/>
              </w:rPr>
              <w:t xml:space="preserve">000) de la base de données de l’AEWA. Le e-bulletin, qui est entièrement produit sur place par le Secrétariat </w:t>
            </w:r>
            <w:r>
              <w:rPr>
                <w:sz w:val="20"/>
                <w:szCs w:val="20"/>
                <w:lang w:val="fr-FR"/>
              </w:rPr>
              <w:t>une fois tous les deux mois</w:t>
            </w:r>
            <w:r w:rsidRPr="00722894">
              <w:rPr>
                <w:sz w:val="20"/>
                <w:szCs w:val="20"/>
                <w:lang w:val="fr-FR"/>
              </w:rPr>
              <w:t>, offre un résumé des nouvelles et événements liés à l’AEWA. A</w:t>
            </w:r>
            <w:r>
              <w:rPr>
                <w:sz w:val="20"/>
                <w:szCs w:val="20"/>
                <w:lang w:val="fr-FR"/>
              </w:rPr>
              <w:t>u</w:t>
            </w:r>
            <w:r w:rsidRPr="00722894">
              <w:rPr>
                <w:sz w:val="20"/>
                <w:szCs w:val="20"/>
                <w:lang w:val="fr-FR"/>
              </w:rPr>
              <w:t xml:space="preserve"> total, </w:t>
            </w:r>
            <w:r>
              <w:rPr>
                <w:sz w:val="20"/>
                <w:szCs w:val="20"/>
                <w:lang w:val="fr-FR"/>
              </w:rPr>
              <w:t>31</w:t>
            </w:r>
            <w:r w:rsidRPr="00722894">
              <w:rPr>
                <w:sz w:val="20"/>
                <w:szCs w:val="20"/>
                <w:lang w:val="fr-FR"/>
              </w:rPr>
              <w:t xml:space="preserve"> e-bulletin</w:t>
            </w:r>
            <w:r>
              <w:rPr>
                <w:sz w:val="20"/>
                <w:szCs w:val="20"/>
                <w:lang w:val="fr-FR"/>
              </w:rPr>
              <w:t>s</w:t>
            </w:r>
            <w:r w:rsidRPr="00722894">
              <w:rPr>
                <w:sz w:val="20"/>
                <w:szCs w:val="20"/>
                <w:lang w:val="fr-FR"/>
              </w:rPr>
              <w:t xml:space="preserve"> ont déjà été envoyés depuis que cet outil est à notre disposition (2006). </w:t>
            </w:r>
          </w:p>
          <w:p w:rsidR="00BB1FB6" w:rsidRPr="00722894" w:rsidRDefault="00BB1FB6" w:rsidP="00DD61ED">
            <w:pPr>
              <w:rPr>
                <w:sz w:val="20"/>
                <w:szCs w:val="20"/>
                <w:lang w:val="fr-FR"/>
              </w:rPr>
            </w:pPr>
          </w:p>
          <w:p w:rsidR="00BB1FB6" w:rsidRPr="00722894" w:rsidRDefault="00BB1FB6" w:rsidP="00DD61ED">
            <w:pPr>
              <w:rPr>
                <w:sz w:val="20"/>
                <w:szCs w:val="20"/>
                <w:lang w:val="fr-FR"/>
              </w:rPr>
            </w:pPr>
            <w:r w:rsidRPr="00722894">
              <w:rPr>
                <w:sz w:val="20"/>
                <w:szCs w:val="20"/>
                <w:lang w:val="fr-FR"/>
              </w:rPr>
              <w:t>La Stratégie de communication prévoit la production de deux Bulletins sur papier par an. Le financement est en premier lieu nécessaire pour couvrir les frais de conception, de traduction et de production. Le dernier Bulletin sur papier a été produit au Secrétariat et imprimé en utilisant des fonds qui n’avai</w:t>
            </w:r>
            <w:r>
              <w:rPr>
                <w:sz w:val="20"/>
                <w:szCs w:val="20"/>
                <w:lang w:val="fr-FR"/>
              </w:rPr>
              <w:t>en</w:t>
            </w:r>
            <w:r w:rsidRPr="00722894">
              <w:rPr>
                <w:sz w:val="20"/>
                <w:szCs w:val="20"/>
                <w:lang w:val="fr-FR"/>
              </w:rPr>
              <w:t>t pas spécifiquement été alloués à cette activité.</w:t>
            </w:r>
          </w:p>
        </w:tc>
        <w:tc>
          <w:tcPr>
            <w:tcW w:w="1275" w:type="dxa"/>
            <w:gridSpan w:val="3"/>
            <w:tcBorders>
              <w:top w:val="single" w:sz="4" w:space="0" w:color="auto"/>
              <w:left w:val="single" w:sz="4" w:space="0" w:color="auto"/>
              <w:bottom w:val="single" w:sz="4" w:space="0" w:color="auto"/>
              <w:right w:val="nil"/>
            </w:tcBorders>
          </w:tcPr>
          <w:p w:rsidR="00BB1FB6" w:rsidRPr="00722894" w:rsidRDefault="00BB1FB6" w:rsidP="00DD61ED">
            <w:pPr>
              <w:rPr>
                <w:b/>
                <w:sz w:val="20"/>
                <w:szCs w:val="20"/>
                <w:lang w:val="fr-FR"/>
              </w:rPr>
            </w:pPr>
            <w:r w:rsidRPr="00722894">
              <w:rPr>
                <w:b/>
                <w:sz w:val="20"/>
                <w:szCs w:val="20"/>
                <w:lang w:val="fr-FR"/>
              </w:rPr>
              <w:t>OUI</w:t>
            </w:r>
          </w:p>
        </w:tc>
        <w:tc>
          <w:tcPr>
            <w:tcW w:w="1099" w:type="dxa"/>
            <w:gridSpan w:val="2"/>
            <w:tcBorders>
              <w:top w:val="single" w:sz="4" w:space="0" w:color="auto"/>
              <w:left w:val="single" w:sz="4" w:space="0" w:color="auto"/>
              <w:bottom w:val="single" w:sz="4" w:space="0" w:color="auto"/>
              <w:right w:val="single" w:sz="4" w:space="0" w:color="auto"/>
            </w:tcBorders>
          </w:tcPr>
          <w:p w:rsidR="00BB1FB6" w:rsidRPr="00722894" w:rsidRDefault="00BB1FB6" w:rsidP="00DD61ED">
            <w:pPr>
              <w:rPr>
                <w:b/>
                <w:sz w:val="20"/>
                <w:szCs w:val="20"/>
                <w:lang w:val="fr-FR"/>
              </w:rPr>
            </w:pPr>
            <w:r w:rsidRPr="00722894">
              <w:rPr>
                <w:b/>
                <w:sz w:val="20"/>
                <w:szCs w:val="20"/>
                <w:lang w:val="fr-FR"/>
              </w:rPr>
              <w:t>NON</w:t>
            </w:r>
          </w:p>
        </w:tc>
      </w:tr>
      <w:tr w:rsidR="00BB1FB6" w:rsidRPr="00722894" w:rsidTr="00BB1F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255"/>
          <w:jc w:val="center"/>
        </w:trPr>
        <w:tc>
          <w:tcPr>
            <w:tcW w:w="4740" w:type="dxa"/>
            <w:gridSpan w:val="2"/>
            <w:tcBorders>
              <w:top w:val="single" w:sz="4" w:space="0" w:color="auto"/>
              <w:left w:val="single" w:sz="4" w:space="0" w:color="auto"/>
              <w:bottom w:val="single" w:sz="4" w:space="0" w:color="auto"/>
              <w:right w:val="single" w:sz="4" w:space="0" w:color="auto"/>
            </w:tcBorders>
            <w:noWrap/>
          </w:tcPr>
          <w:p w:rsidR="00BB1FB6" w:rsidRPr="00722894" w:rsidRDefault="00BB1FB6" w:rsidP="00DD61ED">
            <w:pPr>
              <w:rPr>
                <w:b/>
                <w:sz w:val="20"/>
                <w:szCs w:val="20"/>
                <w:lang w:val="fr-FR"/>
              </w:rPr>
            </w:pPr>
            <w:r w:rsidRPr="00722894">
              <w:rPr>
                <w:b/>
                <w:sz w:val="20"/>
                <w:szCs w:val="20"/>
                <w:lang w:val="fr-FR"/>
              </w:rPr>
              <w:t xml:space="preserve">Activité 4.3. </w:t>
            </w:r>
            <w:r>
              <w:rPr>
                <w:b/>
                <w:sz w:val="20"/>
                <w:szCs w:val="20"/>
                <w:lang w:val="fr-FR"/>
              </w:rPr>
              <w:t>E</w:t>
            </w:r>
            <w:r w:rsidRPr="00722894">
              <w:rPr>
                <w:b/>
                <w:sz w:val="20"/>
                <w:szCs w:val="20"/>
                <w:lang w:val="fr-FR"/>
              </w:rPr>
              <w:t>-discussions</w:t>
            </w:r>
          </w:p>
        </w:tc>
        <w:tc>
          <w:tcPr>
            <w:tcW w:w="1560" w:type="dxa"/>
            <w:gridSpan w:val="4"/>
            <w:tcBorders>
              <w:top w:val="single" w:sz="4" w:space="0" w:color="auto"/>
              <w:left w:val="single" w:sz="4" w:space="0" w:color="auto"/>
              <w:bottom w:val="single" w:sz="4" w:space="0" w:color="auto"/>
              <w:right w:val="single" w:sz="4" w:space="0" w:color="auto"/>
            </w:tcBorders>
            <w:noWrap/>
          </w:tcPr>
          <w:p w:rsidR="00BB1FB6" w:rsidRPr="00722894" w:rsidRDefault="00BB1FB6" w:rsidP="00DD61ED">
            <w:pPr>
              <w:rPr>
                <w:b/>
                <w:sz w:val="20"/>
                <w:szCs w:val="20"/>
                <w:lang w:val="fr-FR"/>
              </w:rPr>
            </w:pPr>
            <w:r w:rsidRPr="00722894">
              <w:rPr>
                <w:b/>
                <w:sz w:val="20"/>
                <w:szCs w:val="20"/>
                <w:lang w:val="fr-FR"/>
              </w:rPr>
              <w:t>1 760 €</w:t>
            </w:r>
          </w:p>
        </w:tc>
        <w:tc>
          <w:tcPr>
            <w:tcW w:w="1531" w:type="dxa"/>
            <w:gridSpan w:val="3"/>
            <w:tcBorders>
              <w:top w:val="single" w:sz="4" w:space="0" w:color="auto"/>
              <w:left w:val="single" w:sz="4" w:space="0" w:color="auto"/>
              <w:bottom w:val="single" w:sz="4" w:space="0" w:color="auto"/>
              <w:right w:val="single" w:sz="4" w:space="0" w:color="auto"/>
            </w:tcBorders>
          </w:tcPr>
          <w:p w:rsidR="00BB1FB6" w:rsidRPr="00722894" w:rsidRDefault="00BB1FB6" w:rsidP="00DD61ED">
            <w:pPr>
              <w:rPr>
                <w:b/>
                <w:sz w:val="20"/>
                <w:szCs w:val="20"/>
                <w:lang w:val="fr-FR"/>
              </w:rPr>
            </w:pPr>
            <w:r w:rsidRPr="00722894">
              <w:rPr>
                <w:b/>
                <w:sz w:val="20"/>
                <w:szCs w:val="20"/>
                <w:lang w:val="fr-FR"/>
              </w:rPr>
              <w:t xml:space="preserve"> 0 €</w:t>
            </w:r>
          </w:p>
        </w:tc>
        <w:tc>
          <w:tcPr>
            <w:tcW w:w="4242" w:type="dxa"/>
            <w:gridSpan w:val="4"/>
            <w:tcBorders>
              <w:top w:val="single" w:sz="4" w:space="0" w:color="auto"/>
              <w:left w:val="single" w:sz="4" w:space="0" w:color="auto"/>
              <w:bottom w:val="single" w:sz="4" w:space="0" w:color="auto"/>
              <w:right w:val="single" w:sz="4" w:space="0" w:color="auto"/>
            </w:tcBorders>
          </w:tcPr>
          <w:p w:rsidR="00BB1FB6" w:rsidRPr="00722894" w:rsidRDefault="00BB1FB6" w:rsidP="00DD61ED">
            <w:pPr>
              <w:rPr>
                <w:sz w:val="20"/>
                <w:szCs w:val="20"/>
                <w:lang w:val="fr-FR"/>
              </w:rPr>
            </w:pPr>
            <w:r w:rsidRPr="00722894">
              <w:rPr>
                <w:sz w:val="20"/>
                <w:szCs w:val="20"/>
                <w:lang w:val="fr-FR"/>
              </w:rPr>
              <w:t xml:space="preserve">L’une des tâches de l’assistante à l’information était d’améliorer l’actuelle liste d’adresses et d’établir une liste de distribution des courriels, ce qui a été fait et est extrêmement important puisque cette liste est utilisée pour la distribution </w:t>
            </w:r>
            <w:r w:rsidRPr="00722894">
              <w:rPr>
                <w:sz w:val="20"/>
                <w:szCs w:val="20"/>
                <w:lang w:val="fr-FR"/>
              </w:rPr>
              <w:lastRenderedPageBreak/>
              <w:t>régulière de l’e-bulletin de l’AEWA.</w:t>
            </w:r>
          </w:p>
          <w:p w:rsidR="00BB1FB6" w:rsidRPr="00722894" w:rsidRDefault="00BB1FB6" w:rsidP="00DD61ED">
            <w:pPr>
              <w:rPr>
                <w:sz w:val="20"/>
                <w:szCs w:val="20"/>
                <w:lang w:val="fr-FR"/>
              </w:rPr>
            </w:pPr>
          </w:p>
          <w:p w:rsidR="00BB1FB6" w:rsidRPr="00722894" w:rsidRDefault="00BB1FB6" w:rsidP="00DD61ED">
            <w:pPr>
              <w:rPr>
                <w:sz w:val="20"/>
                <w:szCs w:val="20"/>
                <w:lang w:val="fr-FR"/>
              </w:rPr>
            </w:pPr>
            <w:r w:rsidRPr="00722894">
              <w:rPr>
                <w:sz w:val="20"/>
                <w:szCs w:val="20"/>
                <w:lang w:val="fr-FR"/>
              </w:rPr>
              <w:t>Aucun progrès n’a toutefois été réalisé dans l’établissement d’un forum de e-discussion en raison d’un manque de fonds. Si des fonds étaient rendus disponibles, le Secrétariat serait en mesure de développer cet instrument relativement rapidement (en 2 mois), mais comme l’entretien de ce forum actif d’e-discussion prendrait plus de temps, il vaudrait probablement mieux le sous-traiter.</w:t>
            </w:r>
          </w:p>
        </w:tc>
        <w:tc>
          <w:tcPr>
            <w:tcW w:w="1275" w:type="dxa"/>
            <w:gridSpan w:val="3"/>
            <w:tcBorders>
              <w:top w:val="single" w:sz="4" w:space="0" w:color="auto"/>
              <w:left w:val="single" w:sz="4" w:space="0" w:color="auto"/>
              <w:bottom w:val="single" w:sz="4" w:space="0" w:color="auto"/>
              <w:right w:val="single" w:sz="4" w:space="0" w:color="auto"/>
            </w:tcBorders>
          </w:tcPr>
          <w:p w:rsidR="00BB1FB6" w:rsidRPr="00722894" w:rsidRDefault="00BB1FB6" w:rsidP="00DD61ED">
            <w:pPr>
              <w:rPr>
                <w:b/>
                <w:sz w:val="20"/>
                <w:szCs w:val="20"/>
                <w:lang w:val="fr-FR"/>
              </w:rPr>
            </w:pPr>
            <w:r w:rsidRPr="00722894">
              <w:rPr>
                <w:b/>
                <w:sz w:val="20"/>
                <w:szCs w:val="20"/>
                <w:lang w:val="fr-FR"/>
              </w:rPr>
              <w:lastRenderedPageBreak/>
              <w:t>OUI</w:t>
            </w:r>
          </w:p>
        </w:tc>
        <w:tc>
          <w:tcPr>
            <w:tcW w:w="1099" w:type="dxa"/>
            <w:gridSpan w:val="2"/>
            <w:tcBorders>
              <w:top w:val="single" w:sz="4" w:space="0" w:color="auto"/>
              <w:left w:val="single" w:sz="4" w:space="0" w:color="auto"/>
              <w:bottom w:val="single" w:sz="4" w:space="0" w:color="auto"/>
              <w:right w:val="single" w:sz="4" w:space="0" w:color="auto"/>
            </w:tcBorders>
          </w:tcPr>
          <w:p w:rsidR="00BB1FB6" w:rsidRPr="00722894" w:rsidRDefault="00BB1FB6" w:rsidP="00DD61ED">
            <w:pPr>
              <w:rPr>
                <w:b/>
                <w:sz w:val="20"/>
                <w:szCs w:val="20"/>
                <w:lang w:val="fr-FR"/>
              </w:rPr>
            </w:pPr>
            <w:r w:rsidRPr="00722894">
              <w:rPr>
                <w:b/>
                <w:sz w:val="20"/>
                <w:szCs w:val="20"/>
                <w:lang w:val="fr-FR"/>
              </w:rPr>
              <w:t>NON</w:t>
            </w:r>
          </w:p>
        </w:tc>
      </w:tr>
      <w:tr w:rsidR="00BB1FB6" w:rsidRPr="00722894" w:rsidTr="00BB1F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510"/>
          <w:jc w:val="center"/>
        </w:trPr>
        <w:tc>
          <w:tcPr>
            <w:tcW w:w="4740" w:type="dxa"/>
            <w:gridSpan w:val="2"/>
            <w:tcBorders>
              <w:top w:val="single" w:sz="4" w:space="0" w:color="auto"/>
              <w:left w:val="single" w:sz="4" w:space="0" w:color="auto"/>
              <w:bottom w:val="single" w:sz="4" w:space="0" w:color="auto"/>
              <w:right w:val="single" w:sz="4" w:space="0" w:color="auto"/>
            </w:tcBorders>
            <w:noWrap/>
          </w:tcPr>
          <w:p w:rsidR="00BB1FB6" w:rsidRPr="00722894" w:rsidRDefault="00BB1FB6" w:rsidP="00DD61ED">
            <w:pPr>
              <w:rPr>
                <w:b/>
                <w:sz w:val="20"/>
                <w:szCs w:val="20"/>
                <w:lang w:val="fr-FR"/>
              </w:rPr>
            </w:pPr>
            <w:r w:rsidRPr="00722894">
              <w:rPr>
                <w:b/>
                <w:sz w:val="20"/>
                <w:szCs w:val="20"/>
                <w:lang w:val="fr-FR"/>
              </w:rPr>
              <w:lastRenderedPageBreak/>
              <w:t>Activité 4.4. Lignes directrices pour l’adhésion</w:t>
            </w:r>
          </w:p>
        </w:tc>
        <w:tc>
          <w:tcPr>
            <w:tcW w:w="1560" w:type="dxa"/>
            <w:gridSpan w:val="4"/>
            <w:tcBorders>
              <w:top w:val="single" w:sz="4" w:space="0" w:color="auto"/>
              <w:left w:val="single" w:sz="4" w:space="0" w:color="auto"/>
              <w:bottom w:val="single" w:sz="4" w:space="0" w:color="auto"/>
              <w:right w:val="single" w:sz="4" w:space="0" w:color="auto"/>
            </w:tcBorders>
            <w:noWrap/>
          </w:tcPr>
          <w:p w:rsidR="00BB1FB6" w:rsidRPr="00722894" w:rsidRDefault="00BB1FB6" w:rsidP="00DD61ED">
            <w:pPr>
              <w:rPr>
                <w:b/>
                <w:sz w:val="20"/>
                <w:szCs w:val="20"/>
                <w:lang w:val="fr-FR"/>
              </w:rPr>
            </w:pPr>
            <w:r w:rsidRPr="00722894">
              <w:rPr>
                <w:b/>
                <w:sz w:val="20"/>
                <w:szCs w:val="20"/>
                <w:lang w:val="fr-FR"/>
              </w:rPr>
              <w:t xml:space="preserve"> 0 €</w:t>
            </w:r>
          </w:p>
        </w:tc>
        <w:tc>
          <w:tcPr>
            <w:tcW w:w="1531" w:type="dxa"/>
            <w:gridSpan w:val="3"/>
            <w:tcBorders>
              <w:top w:val="single" w:sz="4" w:space="0" w:color="auto"/>
              <w:left w:val="single" w:sz="4" w:space="0" w:color="auto"/>
              <w:bottom w:val="single" w:sz="4" w:space="0" w:color="auto"/>
              <w:right w:val="single" w:sz="4" w:space="0" w:color="auto"/>
            </w:tcBorders>
          </w:tcPr>
          <w:p w:rsidR="00BB1FB6" w:rsidRPr="00722894" w:rsidRDefault="00BB1FB6" w:rsidP="00DD61ED">
            <w:pPr>
              <w:rPr>
                <w:b/>
                <w:sz w:val="20"/>
                <w:szCs w:val="20"/>
                <w:lang w:val="fr-FR"/>
              </w:rPr>
            </w:pPr>
            <w:r w:rsidRPr="00722894">
              <w:rPr>
                <w:b/>
                <w:sz w:val="20"/>
                <w:szCs w:val="20"/>
                <w:lang w:val="fr-FR"/>
              </w:rPr>
              <w:t xml:space="preserve"> 0 €</w:t>
            </w:r>
          </w:p>
          <w:p w:rsidR="00BB1FB6" w:rsidRPr="00722894" w:rsidRDefault="00BB1FB6" w:rsidP="00DD61ED">
            <w:pPr>
              <w:rPr>
                <w:b/>
                <w:sz w:val="20"/>
                <w:szCs w:val="20"/>
                <w:lang w:val="fr-FR"/>
              </w:rPr>
            </w:pPr>
          </w:p>
          <w:p w:rsidR="00BB1FB6" w:rsidRPr="00722894" w:rsidRDefault="00BB1FB6" w:rsidP="00DD61ED">
            <w:pPr>
              <w:rPr>
                <w:b/>
                <w:sz w:val="20"/>
                <w:szCs w:val="20"/>
                <w:lang w:val="fr-FR"/>
              </w:rPr>
            </w:pPr>
            <w:r w:rsidRPr="00722894">
              <w:rPr>
                <w:b/>
                <w:sz w:val="20"/>
                <w:szCs w:val="20"/>
                <w:lang w:val="fr-FR"/>
              </w:rPr>
              <w:t xml:space="preserve">Aide en nature du Luxembourg </w:t>
            </w:r>
          </w:p>
        </w:tc>
        <w:tc>
          <w:tcPr>
            <w:tcW w:w="4242" w:type="dxa"/>
            <w:gridSpan w:val="4"/>
            <w:tcBorders>
              <w:top w:val="single" w:sz="4" w:space="0" w:color="auto"/>
              <w:left w:val="single" w:sz="4" w:space="0" w:color="auto"/>
              <w:bottom w:val="single" w:sz="4" w:space="0" w:color="auto"/>
              <w:right w:val="single" w:sz="4" w:space="0" w:color="auto"/>
            </w:tcBorders>
          </w:tcPr>
          <w:p w:rsidR="00BB1FB6" w:rsidRPr="00722894" w:rsidRDefault="00BB1FB6" w:rsidP="00DD61ED">
            <w:pPr>
              <w:rPr>
                <w:sz w:val="20"/>
                <w:szCs w:val="20"/>
                <w:lang w:val="fr-FR"/>
              </w:rPr>
            </w:pPr>
            <w:r w:rsidRPr="00722894">
              <w:rPr>
                <w:sz w:val="20"/>
                <w:szCs w:val="20"/>
                <w:lang w:val="fr-FR"/>
              </w:rPr>
              <w:t>Ces lignes directrices d’adhésion ont été rédigées et le Secrétariat a été en mesure, grâce à l’aide généreuse du gouvernement du Luxembourg, de faire traduire et imprimer en russe, en arabe et en français ces documents qui étaient à l’origine uniquement disponibles en anglais. Depuis, ces lignes directrices d’adhésion ont été distribuées régulièrement aux pays engagés dans le processus d’adhésion à l’AEWA.</w:t>
            </w:r>
          </w:p>
        </w:tc>
        <w:tc>
          <w:tcPr>
            <w:tcW w:w="1275" w:type="dxa"/>
            <w:gridSpan w:val="3"/>
            <w:tcBorders>
              <w:top w:val="single" w:sz="4" w:space="0" w:color="auto"/>
              <w:left w:val="single" w:sz="4" w:space="0" w:color="auto"/>
              <w:bottom w:val="single" w:sz="4" w:space="0" w:color="auto"/>
              <w:right w:val="single" w:sz="4" w:space="0" w:color="auto"/>
            </w:tcBorders>
          </w:tcPr>
          <w:p w:rsidR="00BB1FB6" w:rsidRPr="00722894" w:rsidRDefault="00BB1FB6" w:rsidP="00DD61ED">
            <w:pPr>
              <w:rPr>
                <w:b/>
                <w:sz w:val="20"/>
                <w:szCs w:val="20"/>
                <w:lang w:val="fr-FR"/>
              </w:rPr>
            </w:pPr>
            <w:r w:rsidRPr="00722894">
              <w:rPr>
                <w:b/>
                <w:sz w:val="20"/>
                <w:szCs w:val="20"/>
                <w:lang w:val="fr-FR"/>
              </w:rPr>
              <w:t>OUI</w:t>
            </w:r>
          </w:p>
        </w:tc>
        <w:tc>
          <w:tcPr>
            <w:tcW w:w="1099" w:type="dxa"/>
            <w:gridSpan w:val="2"/>
            <w:tcBorders>
              <w:top w:val="single" w:sz="4" w:space="0" w:color="auto"/>
              <w:left w:val="single" w:sz="4" w:space="0" w:color="auto"/>
              <w:bottom w:val="single" w:sz="4" w:space="0" w:color="auto"/>
              <w:right w:val="single" w:sz="4" w:space="0" w:color="auto"/>
            </w:tcBorders>
          </w:tcPr>
          <w:p w:rsidR="00BB1FB6" w:rsidRPr="00722894" w:rsidRDefault="00BB1FB6" w:rsidP="00DD61ED">
            <w:pPr>
              <w:rPr>
                <w:b/>
                <w:sz w:val="20"/>
                <w:szCs w:val="20"/>
                <w:lang w:val="fr-FR"/>
              </w:rPr>
            </w:pPr>
            <w:proofErr w:type="spellStart"/>
            <w:r w:rsidRPr="00722894">
              <w:rPr>
                <w:b/>
                <w:sz w:val="20"/>
                <w:szCs w:val="20"/>
                <w:lang w:val="fr-FR"/>
              </w:rPr>
              <w:t>s.o</w:t>
            </w:r>
            <w:proofErr w:type="spellEnd"/>
            <w:r w:rsidRPr="00722894">
              <w:rPr>
                <w:b/>
                <w:sz w:val="20"/>
                <w:szCs w:val="20"/>
                <w:lang w:val="fr-FR"/>
              </w:rPr>
              <w:t>.</w:t>
            </w:r>
          </w:p>
        </w:tc>
      </w:tr>
      <w:tr w:rsidR="00BB1FB6" w:rsidRPr="00722894" w:rsidTr="00BB1F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510"/>
          <w:jc w:val="center"/>
        </w:trPr>
        <w:tc>
          <w:tcPr>
            <w:tcW w:w="4740" w:type="dxa"/>
            <w:gridSpan w:val="2"/>
            <w:tcBorders>
              <w:top w:val="single" w:sz="4" w:space="0" w:color="auto"/>
              <w:left w:val="single" w:sz="4" w:space="0" w:color="auto"/>
              <w:bottom w:val="single" w:sz="4" w:space="0" w:color="auto"/>
              <w:right w:val="single" w:sz="4" w:space="0" w:color="auto"/>
            </w:tcBorders>
            <w:noWrap/>
          </w:tcPr>
          <w:p w:rsidR="00BB1FB6" w:rsidRPr="00722894" w:rsidRDefault="00BB1FB6" w:rsidP="00DD61ED">
            <w:pPr>
              <w:rPr>
                <w:b/>
                <w:sz w:val="20"/>
                <w:szCs w:val="20"/>
                <w:lang w:val="fr-FR"/>
              </w:rPr>
            </w:pPr>
            <w:r w:rsidRPr="00722894">
              <w:rPr>
                <w:b/>
                <w:sz w:val="20"/>
                <w:szCs w:val="20"/>
                <w:lang w:val="fr-FR"/>
              </w:rPr>
              <w:t>Activité 4.5. Outils pour le niveau national</w:t>
            </w:r>
          </w:p>
        </w:tc>
        <w:tc>
          <w:tcPr>
            <w:tcW w:w="1560" w:type="dxa"/>
            <w:gridSpan w:val="4"/>
            <w:tcBorders>
              <w:top w:val="single" w:sz="4" w:space="0" w:color="auto"/>
              <w:left w:val="single" w:sz="4" w:space="0" w:color="auto"/>
              <w:bottom w:val="single" w:sz="4" w:space="0" w:color="auto"/>
              <w:right w:val="single" w:sz="4" w:space="0" w:color="auto"/>
            </w:tcBorders>
            <w:noWrap/>
          </w:tcPr>
          <w:p w:rsidR="00BB1FB6" w:rsidRPr="00722894" w:rsidRDefault="00BB1FB6" w:rsidP="00DD61ED">
            <w:pPr>
              <w:rPr>
                <w:b/>
                <w:sz w:val="20"/>
                <w:szCs w:val="20"/>
                <w:lang w:val="fr-FR"/>
              </w:rPr>
            </w:pPr>
            <w:r w:rsidRPr="00722894">
              <w:rPr>
                <w:b/>
                <w:sz w:val="20"/>
                <w:szCs w:val="20"/>
                <w:lang w:val="fr-FR"/>
              </w:rPr>
              <w:t>32 000 €</w:t>
            </w:r>
          </w:p>
        </w:tc>
        <w:tc>
          <w:tcPr>
            <w:tcW w:w="1531" w:type="dxa"/>
            <w:gridSpan w:val="3"/>
            <w:tcBorders>
              <w:top w:val="single" w:sz="4" w:space="0" w:color="auto"/>
              <w:left w:val="single" w:sz="4" w:space="0" w:color="auto"/>
              <w:bottom w:val="single" w:sz="4" w:space="0" w:color="auto"/>
              <w:right w:val="nil"/>
            </w:tcBorders>
          </w:tcPr>
          <w:p w:rsidR="00BB1FB6" w:rsidRPr="00722894" w:rsidRDefault="00BB1FB6" w:rsidP="00DD61ED">
            <w:pPr>
              <w:rPr>
                <w:b/>
                <w:sz w:val="20"/>
                <w:szCs w:val="20"/>
                <w:lang w:val="fr-FR"/>
              </w:rPr>
            </w:pPr>
            <w:r w:rsidRPr="00722894">
              <w:rPr>
                <w:b/>
                <w:sz w:val="20"/>
                <w:szCs w:val="20"/>
                <w:lang w:val="fr-FR"/>
              </w:rPr>
              <w:t xml:space="preserve"> 0 €</w:t>
            </w:r>
          </w:p>
        </w:tc>
        <w:tc>
          <w:tcPr>
            <w:tcW w:w="4242" w:type="dxa"/>
            <w:gridSpan w:val="4"/>
            <w:tcBorders>
              <w:top w:val="single" w:sz="4" w:space="0" w:color="auto"/>
              <w:left w:val="single" w:sz="4" w:space="0" w:color="auto"/>
              <w:bottom w:val="single" w:sz="4" w:space="0" w:color="auto"/>
              <w:right w:val="nil"/>
            </w:tcBorders>
          </w:tcPr>
          <w:p w:rsidR="00BB1FB6" w:rsidRPr="00722894" w:rsidRDefault="00BB1FB6" w:rsidP="00DD61ED">
            <w:pPr>
              <w:rPr>
                <w:sz w:val="20"/>
                <w:szCs w:val="20"/>
                <w:lang w:val="fr-FR"/>
              </w:rPr>
            </w:pPr>
            <w:r w:rsidRPr="00722894">
              <w:rPr>
                <w:sz w:val="20"/>
                <w:szCs w:val="20"/>
                <w:lang w:val="fr-FR"/>
              </w:rPr>
              <w:t xml:space="preserve">Le travail est en cours pour développer un </w:t>
            </w:r>
            <w:proofErr w:type="spellStart"/>
            <w:r w:rsidRPr="00722894">
              <w:rPr>
                <w:sz w:val="20"/>
                <w:szCs w:val="20"/>
                <w:lang w:val="fr-FR"/>
              </w:rPr>
              <w:t>Instrumentarium</w:t>
            </w:r>
            <w:proofErr w:type="spellEnd"/>
            <w:r w:rsidRPr="00722894">
              <w:rPr>
                <w:sz w:val="20"/>
                <w:szCs w:val="20"/>
                <w:lang w:val="fr-FR"/>
              </w:rPr>
              <w:t xml:space="preserve"> de l’AEWA. Divers composants à inclure dans cet </w:t>
            </w:r>
            <w:proofErr w:type="spellStart"/>
            <w:r w:rsidRPr="00722894">
              <w:rPr>
                <w:sz w:val="20"/>
                <w:szCs w:val="20"/>
                <w:lang w:val="fr-FR"/>
              </w:rPr>
              <w:t>instrumentarium</w:t>
            </w:r>
            <w:proofErr w:type="spellEnd"/>
            <w:r w:rsidRPr="00722894">
              <w:rPr>
                <w:sz w:val="20"/>
                <w:szCs w:val="20"/>
                <w:lang w:val="fr-FR"/>
              </w:rPr>
              <w:t xml:space="preserve"> son</w:t>
            </w:r>
            <w:r>
              <w:rPr>
                <w:sz w:val="20"/>
                <w:szCs w:val="20"/>
                <w:lang w:val="fr-FR"/>
              </w:rPr>
              <w:t>t</w:t>
            </w:r>
            <w:r w:rsidRPr="00722894">
              <w:rPr>
                <w:sz w:val="20"/>
                <w:szCs w:val="20"/>
                <w:lang w:val="fr-FR"/>
              </w:rPr>
              <w:t xml:space="preserve"> à présent disponibles (un DVD et une présentation générale PowerPoint sur l’AEWA, un CD-Rom portant tous les documents de l’AEWA disponibles (qui est régulièrement mis à jour), des affiches de la Voie de migration et plusieurs nouvelles publications de l’AEWA). De plus, le Kit de formation Voie de migration du WOW, publié en mai 2010, deviendra certainement un outil prépondérant tant pour les activités de formation que pour sensibiliser à l’AEWA. Le Kit de formation Voie de migration contient un CD-Rom comportant tout le matériel, publications et documents officiels de l’AEWA, ainsi que tout un module dédié à la communication. </w:t>
            </w:r>
          </w:p>
          <w:p w:rsidR="00BB1FB6" w:rsidRPr="00722894" w:rsidRDefault="00BB1FB6" w:rsidP="00DD61ED">
            <w:pPr>
              <w:rPr>
                <w:sz w:val="20"/>
                <w:szCs w:val="20"/>
                <w:lang w:val="fr-FR"/>
              </w:rPr>
            </w:pPr>
            <w:r w:rsidRPr="00722894">
              <w:rPr>
                <w:sz w:val="20"/>
                <w:szCs w:val="20"/>
                <w:lang w:val="fr-FR"/>
              </w:rPr>
              <w:t xml:space="preserve">Le Secrétariat a également fait un effort pour reproduire et réimprimer beaucoup des documents clés tels que le texte de l’Accord et du </w:t>
            </w:r>
            <w:r w:rsidRPr="00722894">
              <w:rPr>
                <w:sz w:val="20"/>
                <w:szCs w:val="20"/>
                <w:lang w:val="fr-FR"/>
              </w:rPr>
              <w:lastRenderedPageBreak/>
              <w:t xml:space="preserve">Plan stratégique en se servant du nouveau style maison de l’AEWA. Ainsi, les divers outils </w:t>
            </w:r>
            <w:r>
              <w:rPr>
                <w:sz w:val="20"/>
                <w:szCs w:val="20"/>
                <w:lang w:val="fr-FR"/>
              </w:rPr>
              <w:t>s’harmoniseront</w:t>
            </w:r>
            <w:r w:rsidRPr="00722894">
              <w:rPr>
                <w:sz w:val="20"/>
                <w:szCs w:val="20"/>
                <w:lang w:val="fr-FR"/>
              </w:rPr>
              <w:t xml:space="preserve"> les uns avec les autres dans l’</w:t>
            </w:r>
            <w:proofErr w:type="spellStart"/>
            <w:r w:rsidRPr="00722894">
              <w:rPr>
                <w:sz w:val="20"/>
                <w:szCs w:val="20"/>
                <w:lang w:val="fr-FR"/>
              </w:rPr>
              <w:t>instrumentarium</w:t>
            </w:r>
            <w:proofErr w:type="spellEnd"/>
            <w:r w:rsidRPr="00722894">
              <w:rPr>
                <w:sz w:val="20"/>
                <w:szCs w:val="20"/>
                <w:lang w:val="fr-FR"/>
              </w:rPr>
              <w:t xml:space="preserve"> de l’AEWA.</w:t>
            </w:r>
          </w:p>
        </w:tc>
        <w:tc>
          <w:tcPr>
            <w:tcW w:w="1275" w:type="dxa"/>
            <w:gridSpan w:val="3"/>
            <w:tcBorders>
              <w:top w:val="single" w:sz="4" w:space="0" w:color="auto"/>
              <w:left w:val="single" w:sz="4" w:space="0" w:color="auto"/>
              <w:bottom w:val="single" w:sz="4" w:space="0" w:color="auto"/>
              <w:right w:val="nil"/>
            </w:tcBorders>
          </w:tcPr>
          <w:p w:rsidR="00BB1FB6" w:rsidRPr="00722894" w:rsidRDefault="00BB1FB6" w:rsidP="00DD61ED">
            <w:pPr>
              <w:rPr>
                <w:b/>
                <w:sz w:val="20"/>
                <w:szCs w:val="20"/>
                <w:lang w:val="fr-FR"/>
              </w:rPr>
            </w:pPr>
            <w:r w:rsidRPr="00722894">
              <w:rPr>
                <w:b/>
                <w:sz w:val="20"/>
                <w:szCs w:val="20"/>
                <w:lang w:val="fr-FR"/>
              </w:rPr>
              <w:lastRenderedPageBreak/>
              <w:t>OUI</w:t>
            </w:r>
          </w:p>
        </w:tc>
        <w:tc>
          <w:tcPr>
            <w:tcW w:w="1099" w:type="dxa"/>
            <w:gridSpan w:val="2"/>
            <w:tcBorders>
              <w:top w:val="single" w:sz="4" w:space="0" w:color="auto"/>
              <w:left w:val="single" w:sz="4" w:space="0" w:color="auto"/>
              <w:bottom w:val="single" w:sz="4" w:space="0" w:color="auto"/>
              <w:right w:val="single" w:sz="4" w:space="0" w:color="auto"/>
            </w:tcBorders>
          </w:tcPr>
          <w:p w:rsidR="00BB1FB6" w:rsidRPr="00722894" w:rsidRDefault="00BB1FB6" w:rsidP="00DD61ED">
            <w:pPr>
              <w:rPr>
                <w:b/>
                <w:sz w:val="20"/>
                <w:szCs w:val="20"/>
                <w:lang w:val="fr-FR"/>
              </w:rPr>
            </w:pPr>
            <w:r w:rsidRPr="00722894">
              <w:rPr>
                <w:b/>
                <w:sz w:val="20"/>
                <w:szCs w:val="20"/>
                <w:lang w:val="fr-FR"/>
              </w:rPr>
              <w:t>NON</w:t>
            </w:r>
          </w:p>
        </w:tc>
      </w:tr>
      <w:tr w:rsidR="00DC27FB" w:rsidRPr="00DC27FB" w:rsidTr="00BB1F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510"/>
          <w:jc w:val="center"/>
        </w:trPr>
        <w:tc>
          <w:tcPr>
            <w:tcW w:w="4740" w:type="dxa"/>
            <w:gridSpan w:val="2"/>
            <w:tcBorders>
              <w:top w:val="single" w:sz="4" w:space="0" w:color="auto"/>
              <w:left w:val="single" w:sz="4" w:space="0" w:color="auto"/>
              <w:bottom w:val="single" w:sz="4" w:space="0" w:color="auto"/>
              <w:right w:val="single" w:sz="4" w:space="0" w:color="auto"/>
            </w:tcBorders>
            <w:noWrap/>
          </w:tcPr>
          <w:p w:rsidR="00DC27FB" w:rsidRPr="00722894" w:rsidRDefault="00DC27FB" w:rsidP="00DD61ED">
            <w:pPr>
              <w:rPr>
                <w:b/>
                <w:sz w:val="20"/>
                <w:szCs w:val="20"/>
                <w:lang w:val="fr-FR"/>
              </w:rPr>
            </w:pPr>
            <w:r w:rsidRPr="00722894">
              <w:rPr>
                <w:b/>
                <w:bCs/>
                <w:sz w:val="22"/>
                <w:szCs w:val="22"/>
                <w:lang w:val="fr-FR"/>
              </w:rPr>
              <w:lastRenderedPageBreak/>
              <w:t>TOTAL : Renforcement de la sensibilisation</w:t>
            </w:r>
          </w:p>
        </w:tc>
        <w:tc>
          <w:tcPr>
            <w:tcW w:w="1560" w:type="dxa"/>
            <w:gridSpan w:val="4"/>
            <w:tcBorders>
              <w:top w:val="single" w:sz="4" w:space="0" w:color="auto"/>
              <w:left w:val="single" w:sz="4" w:space="0" w:color="auto"/>
              <w:bottom w:val="single" w:sz="4" w:space="0" w:color="auto"/>
              <w:right w:val="single" w:sz="4" w:space="0" w:color="auto"/>
            </w:tcBorders>
            <w:noWrap/>
          </w:tcPr>
          <w:p w:rsidR="00DC27FB" w:rsidRPr="00722894" w:rsidRDefault="00DC27FB" w:rsidP="00DD61ED">
            <w:pPr>
              <w:rPr>
                <w:b/>
                <w:sz w:val="20"/>
                <w:szCs w:val="20"/>
                <w:lang w:val="fr-FR"/>
              </w:rPr>
            </w:pPr>
            <w:r w:rsidRPr="00722894">
              <w:rPr>
                <w:b/>
                <w:bCs/>
                <w:sz w:val="22"/>
                <w:szCs w:val="22"/>
                <w:lang w:val="fr-FR"/>
              </w:rPr>
              <w:t>152 640 €</w:t>
            </w:r>
          </w:p>
        </w:tc>
        <w:tc>
          <w:tcPr>
            <w:tcW w:w="1531" w:type="dxa"/>
            <w:gridSpan w:val="3"/>
            <w:tcBorders>
              <w:top w:val="single" w:sz="4" w:space="0" w:color="auto"/>
              <w:left w:val="single" w:sz="4" w:space="0" w:color="auto"/>
              <w:bottom w:val="single" w:sz="4" w:space="0" w:color="auto"/>
              <w:right w:val="nil"/>
            </w:tcBorders>
          </w:tcPr>
          <w:p w:rsidR="00DC27FB" w:rsidRPr="00722894" w:rsidRDefault="00DC27FB" w:rsidP="00DD61ED">
            <w:pPr>
              <w:rPr>
                <w:b/>
                <w:sz w:val="20"/>
                <w:szCs w:val="20"/>
                <w:lang w:val="fr-FR"/>
              </w:rPr>
            </w:pPr>
            <w:r w:rsidRPr="00722894">
              <w:rPr>
                <w:b/>
                <w:bCs/>
                <w:sz w:val="22"/>
                <w:szCs w:val="22"/>
                <w:lang w:val="fr-FR"/>
              </w:rPr>
              <w:t>0 €</w:t>
            </w:r>
          </w:p>
        </w:tc>
        <w:tc>
          <w:tcPr>
            <w:tcW w:w="4242" w:type="dxa"/>
            <w:gridSpan w:val="4"/>
            <w:tcBorders>
              <w:top w:val="single" w:sz="4" w:space="0" w:color="auto"/>
              <w:left w:val="single" w:sz="4" w:space="0" w:color="auto"/>
              <w:bottom w:val="single" w:sz="4" w:space="0" w:color="auto"/>
              <w:right w:val="nil"/>
            </w:tcBorders>
          </w:tcPr>
          <w:p w:rsidR="00DC27FB" w:rsidRPr="00722894" w:rsidRDefault="00DC27FB" w:rsidP="00DD61ED">
            <w:pPr>
              <w:rPr>
                <w:sz w:val="20"/>
                <w:szCs w:val="20"/>
                <w:lang w:val="fr-FR"/>
              </w:rPr>
            </w:pPr>
          </w:p>
        </w:tc>
        <w:tc>
          <w:tcPr>
            <w:tcW w:w="1275" w:type="dxa"/>
            <w:gridSpan w:val="3"/>
            <w:tcBorders>
              <w:top w:val="single" w:sz="4" w:space="0" w:color="auto"/>
              <w:left w:val="single" w:sz="4" w:space="0" w:color="auto"/>
              <w:bottom w:val="single" w:sz="4" w:space="0" w:color="auto"/>
              <w:right w:val="nil"/>
            </w:tcBorders>
          </w:tcPr>
          <w:p w:rsidR="00DC27FB" w:rsidRPr="00722894" w:rsidRDefault="00DC27FB" w:rsidP="00DD61ED">
            <w:pPr>
              <w:rPr>
                <w:b/>
                <w:sz w:val="20"/>
                <w:szCs w:val="20"/>
                <w:lang w:val="fr-FR"/>
              </w:rPr>
            </w:pPr>
          </w:p>
        </w:tc>
        <w:tc>
          <w:tcPr>
            <w:tcW w:w="1099" w:type="dxa"/>
            <w:gridSpan w:val="2"/>
            <w:tcBorders>
              <w:top w:val="single" w:sz="4" w:space="0" w:color="auto"/>
              <w:left w:val="single" w:sz="4" w:space="0" w:color="auto"/>
              <w:bottom w:val="single" w:sz="4" w:space="0" w:color="auto"/>
              <w:right w:val="single" w:sz="4" w:space="0" w:color="auto"/>
            </w:tcBorders>
          </w:tcPr>
          <w:p w:rsidR="00DC27FB" w:rsidRPr="00722894" w:rsidRDefault="00DC27FB" w:rsidP="00DD61ED">
            <w:pPr>
              <w:rPr>
                <w:b/>
                <w:sz w:val="20"/>
                <w:szCs w:val="20"/>
                <w:lang w:val="fr-FR"/>
              </w:rPr>
            </w:pPr>
          </w:p>
        </w:tc>
      </w:tr>
      <w:tr w:rsidR="00DC27FB" w:rsidRPr="00DC27FB" w:rsidTr="00BB1F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510"/>
          <w:jc w:val="center"/>
        </w:trPr>
        <w:tc>
          <w:tcPr>
            <w:tcW w:w="4740" w:type="dxa"/>
            <w:gridSpan w:val="2"/>
            <w:tcBorders>
              <w:top w:val="single" w:sz="4" w:space="0" w:color="auto"/>
              <w:left w:val="single" w:sz="4" w:space="0" w:color="auto"/>
              <w:bottom w:val="single" w:sz="4" w:space="0" w:color="auto"/>
              <w:right w:val="single" w:sz="4" w:space="0" w:color="auto"/>
            </w:tcBorders>
            <w:noWrap/>
          </w:tcPr>
          <w:p w:rsidR="00DC27FB" w:rsidRPr="00722894" w:rsidRDefault="00DC27FB" w:rsidP="00DC27FB">
            <w:pPr>
              <w:rPr>
                <w:u w:val="single"/>
                <w:lang w:val="fr-FR"/>
              </w:rPr>
            </w:pPr>
            <w:r w:rsidRPr="00722894">
              <w:rPr>
                <w:sz w:val="22"/>
                <w:szCs w:val="22"/>
                <w:u w:val="single"/>
                <w:lang w:val="fr-FR"/>
              </w:rPr>
              <w:t>RÉSUMÉ</w:t>
            </w:r>
          </w:p>
          <w:p w:rsidR="00DC27FB" w:rsidRPr="00722894" w:rsidRDefault="00DC27FB" w:rsidP="00DC27FB">
            <w:pPr>
              <w:rPr>
                <w:lang w:val="fr-FR"/>
              </w:rPr>
            </w:pPr>
          </w:p>
          <w:p w:rsidR="00DC27FB" w:rsidRPr="00722894" w:rsidRDefault="00DC27FB" w:rsidP="00DC27FB">
            <w:pPr>
              <w:pStyle w:val="BodyText2"/>
              <w:rPr>
                <w:lang w:val="fr-FR"/>
              </w:rPr>
            </w:pPr>
            <w:r w:rsidRPr="00722894">
              <w:rPr>
                <w:sz w:val="22"/>
                <w:szCs w:val="22"/>
                <w:lang w:val="fr-FR"/>
              </w:rPr>
              <w:t>1. Communication interne</w:t>
            </w:r>
          </w:p>
          <w:p w:rsidR="00DC27FB" w:rsidRPr="00722894" w:rsidRDefault="00DC27FB" w:rsidP="00DC27FB">
            <w:pPr>
              <w:pStyle w:val="BodyText2"/>
              <w:rPr>
                <w:lang w:val="fr-FR"/>
              </w:rPr>
            </w:pPr>
            <w:r w:rsidRPr="00722894">
              <w:rPr>
                <w:sz w:val="22"/>
                <w:szCs w:val="22"/>
                <w:lang w:val="fr-FR"/>
              </w:rPr>
              <w:t>2. Communication externe</w:t>
            </w:r>
          </w:p>
          <w:p w:rsidR="00DC27FB" w:rsidRPr="00722894" w:rsidRDefault="00DC27FB" w:rsidP="00DC27FB">
            <w:pPr>
              <w:rPr>
                <w:lang w:val="fr-FR"/>
              </w:rPr>
            </w:pPr>
            <w:r w:rsidRPr="00722894">
              <w:rPr>
                <w:sz w:val="22"/>
                <w:szCs w:val="22"/>
                <w:lang w:val="fr-FR"/>
              </w:rPr>
              <w:t>3. Renforcement de la capacité opérationnelle</w:t>
            </w:r>
          </w:p>
          <w:p w:rsidR="00DC27FB" w:rsidRPr="00722894" w:rsidRDefault="00DC27FB" w:rsidP="00DC27FB">
            <w:pPr>
              <w:rPr>
                <w:lang w:val="fr-FR"/>
              </w:rPr>
            </w:pPr>
            <w:r w:rsidRPr="00722894">
              <w:rPr>
                <w:sz w:val="22"/>
                <w:szCs w:val="22"/>
                <w:lang w:val="fr-FR"/>
              </w:rPr>
              <w:t>4. Augmentation de la sensibilisation</w:t>
            </w:r>
            <w:r w:rsidRPr="00722894">
              <w:rPr>
                <w:sz w:val="22"/>
                <w:szCs w:val="22"/>
                <w:lang w:val="fr-FR"/>
              </w:rPr>
              <w:tab/>
            </w:r>
          </w:p>
          <w:p w:rsidR="00DC27FB" w:rsidRPr="00722894" w:rsidRDefault="00DC27FB" w:rsidP="00DC27FB">
            <w:pPr>
              <w:rPr>
                <w:lang w:val="fr-FR"/>
              </w:rPr>
            </w:pPr>
          </w:p>
          <w:p w:rsidR="00DC27FB" w:rsidRPr="00722894" w:rsidRDefault="00DC27FB" w:rsidP="00DC27FB">
            <w:pPr>
              <w:rPr>
                <w:b/>
                <w:bCs/>
                <w:lang w:val="fr-FR"/>
              </w:rPr>
            </w:pPr>
            <w:r w:rsidRPr="00722894">
              <w:rPr>
                <w:b/>
                <w:bCs/>
                <w:sz w:val="22"/>
                <w:szCs w:val="22"/>
                <w:lang w:val="fr-FR"/>
              </w:rPr>
              <w:t>TOTAL :</w:t>
            </w:r>
          </w:p>
          <w:p w:rsidR="00DC27FB" w:rsidRPr="00722894" w:rsidRDefault="00DC27FB" w:rsidP="00DD61ED">
            <w:pPr>
              <w:rPr>
                <w:b/>
                <w:bCs/>
                <w:lang w:val="fr-FR"/>
              </w:rPr>
            </w:pPr>
          </w:p>
        </w:tc>
        <w:tc>
          <w:tcPr>
            <w:tcW w:w="1560" w:type="dxa"/>
            <w:gridSpan w:val="4"/>
            <w:tcBorders>
              <w:top w:val="single" w:sz="4" w:space="0" w:color="auto"/>
              <w:left w:val="single" w:sz="4" w:space="0" w:color="auto"/>
              <w:bottom w:val="single" w:sz="4" w:space="0" w:color="auto"/>
              <w:right w:val="single" w:sz="4" w:space="0" w:color="auto"/>
            </w:tcBorders>
            <w:noWrap/>
          </w:tcPr>
          <w:p w:rsidR="00DC27FB" w:rsidRPr="00722894" w:rsidRDefault="00DC27FB" w:rsidP="00DC27FB">
            <w:pPr>
              <w:rPr>
                <w:lang w:val="fr-FR"/>
              </w:rPr>
            </w:pPr>
            <w:r w:rsidRPr="00722894">
              <w:rPr>
                <w:sz w:val="22"/>
                <w:szCs w:val="22"/>
                <w:lang w:val="fr-FR"/>
              </w:rPr>
              <w:t xml:space="preserve">  24 210 €</w:t>
            </w:r>
          </w:p>
          <w:p w:rsidR="00DC27FB" w:rsidRPr="00722894" w:rsidRDefault="00DC27FB" w:rsidP="00DC27FB">
            <w:pPr>
              <w:rPr>
                <w:lang w:val="fr-FR"/>
              </w:rPr>
            </w:pPr>
            <w:r w:rsidRPr="00722894">
              <w:rPr>
                <w:sz w:val="22"/>
                <w:szCs w:val="22"/>
                <w:lang w:val="fr-FR"/>
              </w:rPr>
              <w:t>161 750 €</w:t>
            </w:r>
          </w:p>
          <w:p w:rsidR="00DC27FB" w:rsidRPr="00722894" w:rsidRDefault="00DC27FB" w:rsidP="00DC27FB">
            <w:pPr>
              <w:rPr>
                <w:lang w:val="fr-FR"/>
              </w:rPr>
            </w:pPr>
            <w:r w:rsidRPr="00722894">
              <w:rPr>
                <w:sz w:val="22"/>
                <w:szCs w:val="22"/>
                <w:lang w:val="fr-FR"/>
              </w:rPr>
              <w:t>163 650 €</w:t>
            </w:r>
          </w:p>
          <w:p w:rsidR="00DC27FB" w:rsidRPr="00722894" w:rsidRDefault="00DC27FB" w:rsidP="00DC27FB">
            <w:pPr>
              <w:rPr>
                <w:lang w:val="fr-FR"/>
              </w:rPr>
            </w:pPr>
            <w:r w:rsidRPr="00722894">
              <w:rPr>
                <w:sz w:val="22"/>
                <w:szCs w:val="22"/>
                <w:lang w:val="fr-FR"/>
              </w:rPr>
              <w:t>152 640 €</w:t>
            </w:r>
          </w:p>
          <w:p w:rsidR="00DC27FB" w:rsidRPr="00722894" w:rsidRDefault="00DC27FB" w:rsidP="00DC27FB">
            <w:pPr>
              <w:rPr>
                <w:lang w:val="fr-FR"/>
              </w:rPr>
            </w:pPr>
          </w:p>
          <w:p w:rsidR="00DC27FB" w:rsidRPr="00722894" w:rsidRDefault="00DC27FB" w:rsidP="00DC27FB">
            <w:pPr>
              <w:rPr>
                <w:b/>
                <w:bCs/>
                <w:lang w:val="fr-FR"/>
              </w:rPr>
            </w:pPr>
            <w:r w:rsidRPr="00722894">
              <w:rPr>
                <w:b/>
                <w:bCs/>
                <w:sz w:val="22"/>
                <w:szCs w:val="22"/>
                <w:lang w:val="fr-FR"/>
              </w:rPr>
              <w:t>502 250</w:t>
            </w:r>
            <w:r w:rsidR="002C3717">
              <w:rPr>
                <w:b/>
                <w:bCs/>
                <w:sz w:val="22"/>
                <w:szCs w:val="22"/>
                <w:lang w:val="fr-FR"/>
              </w:rPr>
              <w:t xml:space="preserve"> €</w:t>
            </w:r>
          </w:p>
        </w:tc>
        <w:tc>
          <w:tcPr>
            <w:tcW w:w="1531" w:type="dxa"/>
            <w:gridSpan w:val="3"/>
            <w:tcBorders>
              <w:top w:val="single" w:sz="4" w:space="0" w:color="auto"/>
              <w:left w:val="single" w:sz="4" w:space="0" w:color="auto"/>
              <w:bottom w:val="single" w:sz="4" w:space="0" w:color="auto"/>
              <w:right w:val="nil"/>
            </w:tcBorders>
          </w:tcPr>
          <w:p w:rsidR="002C3717" w:rsidRDefault="002C3717" w:rsidP="00DC27FB">
            <w:pPr>
              <w:rPr>
                <w:lang w:val="fr-FR"/>
              </w:rPr>
            </w:pPr>
            <w:r>
              <w:rPr>
                <w:sz w:val="22"/>
                <w:szCs w:val="22"/>
                <w:lang w:val="fr-FR"/>
              </w:rPr>
              <w:t xml:space="preserve">  </w:t>
            </w:r>
            <w:r w:rsidR="00DC27FB" w:rsidRPr="00722894">
              <w:rPr>
                <w:sz w:val="22"/>
                <w:szCs w:val="22"/>
                <w:lang w:val="fr-FR"/>
              </w:rPr>
              <w:t>2 000 €</w:t>
            </w:r>
          </w:p>
          <w:p w:rsidR="00DC27FB" w:rsidRPr="00722894" w:rsidRDefault="00DC27FB" w:rsidP="00DC27FB">
            <w:pPr>
              <w:rPr>
                <w:lang w:val="fr-FR"/>
              </w:rPr>
            </w:pPr>
            <w:r w:rsidRPr="00722894">
              <w:rPr>
                <w:sz w:val="22"/>
                <w:szCs w:val="22"/>
                <w:lang w:val="fr-FR"/>
              </w:rPr>
              <w:t>50 000 €</w:t>
            </w:r>
          </w:p>
          <w:p w:rsidR="00DC27FB" w:rsidRPr="00722894" w:rsidRDefault="00DC27FB" w:rsidP="00DC27FB">
            <w:pPr>
              <w:rPr>
                <w:lang w:val="fr-FR"/>
              </w:rPr>
            </w:pPr>
            <w:r w:rsidRPr="00722894">
              <w:rPr>
                <w:sz w:val="22"/>
                <w:szCs w:val="22"/>
                <w:lang w:val="fr-FR"/>
              </w:rPr>
              <w:t xml:space="preserve">         0 €</w:t>
            </w:r>
          </w:p>
          <w:p w:rsidR="00DC27FB" w:rsidRPr="00722894" w:rsidRDefault="00DC27FB" w:rsidP="00DC27FB">
            <w:pPr>
              <w:rPr>
                <w:lang w:val="fr-FR"/>
              </w:rPr>
            </w:pPr>
            <w:r w:rsidRPr="00722894">
              <w:rPr>
                <w:sz w:val="22"/>
                <w:szCs w:val="22"/>
                <w:lang w:val="fr-FR"/>
              </w:rPr>
              <w:t xml:space="preserve">         0 €</w:t>
            </w:r>
          </w:p>
          <w:p w:rsidR="00DC27FB" w:rsidRPr="00722894" w:rsidRDefault="00DC27FB" w:rsidP="00DC27FB">
            <w:pPr>
              <w:rPr>
                <w:lang w:val="fr-FR"/>
              </w:rPr>
            </w:pPr>
          </w:p>
          <w:p w:rsidR="00DC27FB" w:rsidRPr="00722894" w:rsidRDefault="00DC27FB" w:rsidP="00DC27FB">
            <w:pPr>
              <w:rPr>
                <w:b/>
                <w:bCs/>
                <w:lang w:val="fr-FR"/>
              </w:rPr>
            </w:pPr>
            <w:r w:rsidRPr="00722894">
              <w:rPr>
                <w:b/>
                <w:bCs/>
                <w:sz w:val="22"/>
                <w:szCs w:val="22"/>
                <w:lang w:val="fr-FR"/>
              </w:rPr>
              <w:t xml:space="preserve">52 000 €  </w:t>
            </w:r>
          </w:p>
          <w:p w:rsidR="00DC27FB" w:rsidRPr="00722894" w:rsidRDefault="00DC27FB" w:rsidP="00DC27FB">
            <w:pPr>
              <w:rPr>
                <w:b/>
                <w:bCs/>
                <w:lang w:val="fr-FR"/>
              </w:rPr>
            </w:pPr>
            <w:r w:rsidRPr="00722894">
              <w:rPr>
                <w:b/>
                <w:bCs/>
                <w:sz w:val="22"/>
                <w:szCs w:val="22"/>
                <w:lang w:val="fr-FR"/>
              </w:rPr>
              <w:t>(10% de 502 250 €)</w:t>
            </w:r>
          </w:p>
          <w:p w:rsidR="00DC27FB" w:rsidRPr="00722894" w:rsidRDefault="00DC27FB" w:rsidP="00DD61ED">
            <w:pPr>
              <w:rPr>
                <w:b/>
                <w:bCs/>
                <w:lang w:val="fr-FR"/>
              </w:rPr>
            </w:pPr>
          </w:p>
        </w:tc>
        <w:tc>
          <w:tcPr>
            <w:tcW w:w="4242" w:type="dxa"/>
            <w:gridSpan w:val="4"/>
            <w:tcBorders>
              <w:top w:val="single" w:sz="4" w:space="0" w:color="auto"/>
              <w:left w:val="single" w:sz="4" w:space="0" w:color="auto"/>
              <w:bottom w:val="single" w:sz="4" w:space="0" w:color="auto"/>
              <w:right w:val="nil"/>
            </w:tcBorders>
          </w:tcPr>
          <w:p w:rsidR="00DC27FB" w:rsidRPr="00722894" w:rsidRDefault="00DC27FB" w:rsidP="00DD61ED">
            <w:pPr>
              <w:rPr>
                <w:sz w:val="20"/>
                <w:szCs w:val="20"/>
                <w:lang w:val="fr-FR"/>
              </w:rPr>
            </w:pPr>
          </w:p>
        </w:tc>
        <w:tc>
          <w:tcPr>
            <w:tcW w:w="1275" w:type="dxa"/>
            <w:gridSpan w:val="3"/>
            <w:tcBorders>
              <w:top w:val="single" w:sz="4" w:space="0" w:color="auto"/>
              <w:left w:val="single" w:sz="4" w:space="0" w:color="auto"/>
              <w:bottom w:val="single" w:sz="4" w:space="0" w:color="auto"/>
              <w:right w:val="nil"/>
            </w:tcBorders>
          </w:tcPr>
          <w:p w:rsidR="00DC27FB" w:rsidRPr="00722894" w:rsidRDefault="00DC27FB" w:rsidP="00DD61ED">
            <w:pPr>
              <w:rPr>
                <w:b/>
                <w:sz w:val="20"/>
                <w:szCs w:val="20"/>
                <w:lang w:val="fr-FR"/>
              </w:rPr>
            </w:pPr>
          </w:p>
        </w:tc>
        <w:tc>
          <w:tcPr>
            <w:tcW w:w="1099" w:type="dxa"/>
            <w:gridSpan w:val="2"/>
            <w:tcBorders>
              <w:top w:val="single" w:sz="4" w:space="0" w:color="auto"/>
              <w:left w:val="single" w:sz="4" w:space="0" w:color="auto"/>
              <w:bottom w:val="single" w:sz="4" w:space="0" w:color="auto"/>
              <w:right w:val="single" w:sz="4" w:space="0" w:color="auto"/>
            </w:tcBorders>
          </w:tcPr>
          <w:p w:rsidR="00DC27FB" w:rsidRPr="00722894" w:rsidRDefault="00DC27FB" w:rsidP="00DD61ED">
            <w:pPr>
              <w:rPr>
                <w:b/>
                <w:sz w:val="20"/>
                <w:szCs w:val="20"/>
                <w:lang w:val="fr-FR"/>
              </w:rPr>
            </w:pPr>
          </w:p>
        </w:tc>
      </w:tr>
      <w:tr w:rsidR="00BB1FB6" w:rsidRPr="00722894" w:rsidTr="00DC2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255"/>
          <w:jc w:val="center"/>
        </w:trPr>
        <w:tc>
          <w:tcPr>
            <w:tcW w:w="4702" w:type="dxa"/>
            <w:tcBorders>
              <w:top w:val="single" w:sz="4" w:space="0" w:color="auto"/>
              <w:left w:val="single" w:sz="4" w:space="0" w:color="auto"/>
              <w:bottom w:val="single" w:sz="4" w:space="0" w:color="auto"/>
              <w:right w:val="single" w:sz="4" w:space="0" w:color="auto"/>
            </w:tcBorders>
            <w:shd w:val="clear" w:color="auto" w:fill="C0C0C0"/>
            <w:noWrap/>
          </w:tcPr>
          <w:p w:rsidR="00BB1FB6" w:rsidRPr="00722894" w:rsidRDefault="00BB1FB6" w:rsidP="00DD61ED">
            <w:pPr>
              <w:rPr>
                <w:lang w:val="fr-FR"/>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C0C0C0"/>
          </w:tcPr>
          <w:p w:rsidR="00BB1FB6" w:rsidRPr="00722894" w:rsidRDefault="00BB1FB6" w:rsidP="00DD61ED">
            <w:pPr>
              <w:rPr>
                <w:lang w:val="fr-FR"/>
              </w:rPr>
            </w:pPr>
            <w:r w:rsidRPr="00722894">
              <w:rPr>
                <w:sz w:val="22"/>
                <w:szCs w:val="22"/>
                <w:lang w:val="fr-FR"/>
              </w:rPr>
              <w:t>Fonds requis</w:t>
            </w:r>
          </w:p>
        </w:tc>
        <w:tc>
          <w:tcPr>
            <w:tcW w:w="1580" w:type="dxa"/>
            <w:gridSpan w:val="5"/>
            <w:tcBorders>
              <w:top w:val="single" w:sz="4" w:space="0" w:color="auto"/>
              <w:left w:val="single" w:sz="4" w:space="0" w:color="auto"/>
              <w:bottom w:val="single" w:sz="4" w:space="0" w:color="auto"/>
              <w:right w:val="single" w:sz="4" w:space="0" w:color="auto"/>
            </w:tcBorders>
            <w:shd w:val="clear" w:color="auto" w:fill="C0C0C0"/>
          </w:tcPr>
          <w:p w:rsidR="00BB1FB6" w:rsidRPr="00722894" w:rsidRDefault="00BB1FB6" w:rsidP="00DD61ED">
            <w:pPr>
              <w:rPr>
                <w:lang w:val="fr-FR"/>
              </w:rPr>
            </w:pPr>
            <w:r w:rsidRPr="00722894">
              <w:rPr>
                <w:sz w:val="22"/>
                <w:szCs w:val="22"/>
                <w:lang w:val="fr-FR"/>
              </w:rPr>
              <w:t xml:space="preserve">Fonds reçus </w:t>
            </w:r>
          </w:p>
        </w:tc>
        <w:tc>
          <w:tcPr>
            <w:tcW w:w="4232" w:type="dxa"/>
            <w:gridSpan w:val="3"/>
            <w:tcBorders>
              <w:top w:val="single" w:sz="4" w:space="0" w:color="auto"/>
              <w:left w:val="single" w:sz="4" w:space="0" w:color="auto"/>
              <w:bottom w:val="single" w:sz="4" w:space="0" w:color="auto"/>
              <w:right w:val="single" w:sz="4" w:space="0" w:color="auto"/>
            </w:tcBorders>
            <w:shd w:val="clear" w:color="auto" w:fill="C0C0C0"/>
          </w:tcPr>
          <w:p w:rsidR="00BB1FB6" w:rsidRPr="00722894" w:rsidRDefault="00BB1FB6" w:rsidP="00DD61ED">
            <w:pPr>
              <w:rPr>
                <w:lang w:val="fr-FR"/>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C0C0C0"/>
          </w:tcPr>
          <w:p w:rsidR="00BB1FB6" w:rsidRPr="00722894" w:rsidRDefault="00BB1FB6" w:rsidP="00DD61ED">
            <w:pPr>
              <w:rPr>
                <w:sz w:val="20"/>
                <w:szCs w:val="20"/>
                <w:lang w:val="fr-FR"/>
              </w:rPr>
            </w:pPr>
          </w:p>
        </w:tc>
        <w:tc>
          <w:tcPr>
            <w:tcW w:w="1099" w:type="dxa"/>
            <w:gridSpan w:val="2"/>
            <w:tcBorders>
              <w:top w:val="single" w:sz="4" w:space="0" w:color="auto"/>
              <w:left w:val="single" w:sz="4" w:space="0" w:color="auto"/>
              <w:bottom w:val="single" w:sz="4" w:space="0" w:color="auto"/>
              <w:right w:val="single" w:sz="4" w:space="0" w:color="auto"/>
            </w:tcBorders>
            <w:shd w:val="clear" w:color="auto" w:fill="C0C0C0"/>
          </w:tcPr>
          <w:p w:rsidR="00BB1FB6" w:rsidRPr="00722894" w:rsidRDefault="00BB1FB6" w:rsidP="00DD61ED">
            <w:pPr>
              <w:rPr>
                <w:sz w:val="20"/>
                <w:szCs w:val="20"/>
                <w:lang w:val="fr-FR"/>
              </w:rPr>
            </w:pPr>
          </w:p>
        </w:tc>
      </w:tr>
    </w:tbl>
    <w:p w:rsidR="00FD1D89" w:rsidRPr="00722894" w:rsidRDefault="00FD1D89" w:rsidP="00DD61ED">
      <w:pPr>
        <w:pStyle w:val="BodyText2"/>
        <w:rPr>
          <w:lang w:val="fr-FR"/>
        </w:rPr>
      </w:pPr>
    </w:p>
    <w:p w:rsidR="00FD1D89" w:rsidRPr="00722894" w:rsidRDefault="00FD1D89" w:rsidP="00A449A8">
      <w:pPr>
        <w:jc w:val="both"/>
        <w:rPr>
          <w:b/>
          <w:bCs/>
          <w:sz w:val="28"/>
          <w:szCs w:val="28"/>
          <w:lang w:val="fr-FR"/>
        </w:rPr>
        <w:sectPr w:rsidR="00FD1D89" w:rsidRPr="00722894" w:rsidSect="00205D96">
          <w:headerReference w:type="first" r:id="rId13"/>
          <w:pgSz w:w="16840" w:h="11907" w:orient="landscape" w:code="9"/>
          <w:pgMar w:top="1134" w:right="1021" w:bottom="1134" w:left="1440" w:header="851" w:footer="851" w:gutter="0"/>
          <w:cols w:space="708"/>
          <w:titlePg/>
          <w:docGrid w:linePitch="360"/>
        </w:sectPr>
      </w:pPr>
    </w:p>
    <w:p w:rsidR="00FD1D89" w:rsidRPr="00722894" w:rsidRDefault="00FD1D89" w:rsidP="00A449A8">
      <w:pPr>
        <w:jc w:val="both"/>
        <w:rPr>
          <w:b/>
          <w:bCs/>
          <w:lang w:val="fr-FR"/>
        </w:rPr>
      </w:pPr>
      <w:r w:rsidRPr="00722894">
        <w:rPr>
          <w:b/>
          <w:bCs/>
          <w:lang w:val="fr-FR"/>
        </w:rPr>
        <w:lastRenderedPageBreak/>
        <w:t>4. PROPOSITION DE RÉVISION DE LA STRATÉGIE DE COMMUNICATION</w:t>
      </w:r>
    </w:p>
    <w:p w:rsidR="00FD1D89" w:rsidRPr="00722894" w:rsidRDefault="00FD1D89" w:rsidP="00A449A8">
      <w:pPr>
        <w:jc w:val="both"/>
        <w:rPr>
          <w:sz w:val="22"/>
          <w:szCs w:val="22"/>
          <w:lang w:val="fr-FR"/>
        </w:rPr>
      </w:pPr>
    </w:p>
    <w:p w:rsidR="00FD1D89" w:rsidRPr="00722894" w:rsidRDefault="00FD1D89" w:rsidP="00A449A8">
      <w:pPr>
        <w:jc w:val="both"/>
        <w:rPr>
          <w:sz w:val="22"/>
          <w:szCs w:val="22"/>
          <w:lang w:val="fr-FR"/>
        </w:rPr>
      </w:pPr>
      <w:r w:rsidRPr="00722894">
        <w:rPr>
          <w:sz w:val="22"/>
          <w:szCs w:val="22"/>
          <w:lang w:val="fr-FR"/>
        </w:rPr>
        <w:t>17.</w:t>
      </w:r>
      <w:r w:rsidRPr="00722894">
        <w:rPr>
          <w:sz w:val="22"/>
          <w:szCs w:val="22"/>
          <w:lang w:val="fr-FR"/>
        </w:rPr>
        <w:tab/>
        <w:t xml:space="preserve">Considérant le tableau du stade de mise en œuvre du Plan d’action pour la communication 2006-2009, le Secrétariat estime clairement nécessaire de repenser et de mettre à jour la Stratégie de communication existante et d’entamer un processus de révision qui résultera dans un nouveau volet actuel et réaliste d’activités de communication prioritaires pour l’Accord. Celles-ci pourraient refléter les réalités, capacités et véritables ressources financières actuelles pour que les Parties contractantes, le Secrétariat et autres parties prenantes puissent entreprendre les activités de communication et de renforcement des capacités identifiées pour aider à la mise en œuvre de l’AEWA, notamment en ce qui concerne l’Article III de l’Accord et le chapitre 6 de son Plan d’action au niveau national, régional et international. </w:t>
      </w:r>
    </w:p>
    <w:p w:rsidR="00FD1D89" w:rsidRPr="00722894" w:rsidRDefault="00FD1D89" w:rsidP="00A449A8">
      <w:pPr>
        <w:jc w:val="both"/>
        <w:rPr>
          <w:sz w:val="22"/>
          <w:szCs w:val="22"/>
          <w:lang w:val="fr-FR"/>
        </w:rPr>
      </w:pPr>
    </w:p>
    <w:p w:rsidR="00FD1D89" w:rsidRPr="00722894" w:rsidRDefault="00FD1D89" w:rsidP="009A7F89">
      <w:pPr>
        <w:jc w:val="both"/>
        <w:rPr>
          <w:sz w:val="22"/>
          <w:szCs w:val="22"/>
          <w:lang w:val="fr-FR"/>
        </w:rPr>
      </w:pPr>
      <w:r w:rsidRPr="00722894">
        <w:rPr>
          <w:sz w:val="22"/>
          <w:szCs w:val="22"/>
          <w:lang w:val="fr-FR"/>
        </w:rPr>
        <w:t>18.</w:t>
      </w:r>
      <w:r w:rsidRPr="00722894">
        <w:rPr>
          <w:sz w:val="22"/>
          <w:szCs w:val="22"/>
          <w:lang w:val="fr-FR"/>
        </w:rPr>
        <w:tab/>
        <w:t>Comme le Quick Scan réalisé en 2004, qui a offert une base pour la Stratégie de communication existante et le Plan d’action pour la communication 2006-2009, le processus de révision devrait idéalement être réalisé par un consultant indépendant et impliquer étroitement le Secrétariat de l’Accord, le Comité technique, le Comité permanent et les correspondants nationaux CEPA désignés de la zone de l’Accord. Le Secrétariat estime également que ce processus de révision devrait être mieux soutenu grâce à l’établissement d’un groupe de travail sur la communication, l’éducation et la sensibilisation du public (CEPA), et la nomination d’un expert thématique sur l</w:t>
      </w:r>
      <w:r>
        <w:rPr>
          <w:sz w:val="22"/>
          <w:szCs w:val="22"/>
          <w:lang w:val="fr-FR"/>
        </w:rPr>
        <w:t>a</w:t>
      </w:r>
      <w:r w:rsidRPr="00722894">
        <w:rPr>
          <w:sz w:val="22"/>
          <w:szCs w:val="22"/>
          <w:lang w:val="fr-FR"/>
        </w:rPr>
        <w:t xml:space="preserve"> CEPA au sein du Comité technique de l'AEWA, pour travailler avec lui et aider à orienter la mise en œuvre et le processus de révision de la Stratégie de communication.</w:t>
      </w:r>
    </w:p>
    <w:p w:rsidR="00FD1D89" w:rsidRPr="00722894" w:rsidRDefault="00FD1D89" w:rsidP="00A449A8">
      <w:pPr>
        <w:jc w:val="both"/>
        <w:rPr>
          <w:sz w:val="22"/>
          <w:szCs w:val="22"/>
          <w:lang w:val="fr-FR"/>
        </w:rPr>
      </w:pPr>
    </w:p>
    <w:p w:rsidR="00FD1D89" w:rsidRPr="00722894" w:rsidRDefault="00FD1D89" w:rsidP="00A449A8">
      <w:pPr>
        <w:jc w:val="both"/>
        <w:rPr>
          <w:b/>
          <w:bCs/>
          <w:sz w:val="22"/>
          <w:lang w:val="fr-FR"/>
        </w:rPr>
      </w:pPr>
      <w:r w:rsidRPr="00722894">
        <w:rPr>
          <w:b/>
          <w:bCs/>
          <w:sz w:val="22"/>
          <w:lang w:val="fr-FR"/>
        </w:rPr>
        <w:t>Documents et activités clés à prendre en considération lors de tout processus de révision</w:t>
      </w:r>
    </w:p>
    <w:p w:rsidR="00FD1D89" w:rsidRPr="00722894" w:rsidRDefault="00FD1D89" w:rsidP="00A449A8">
      <w:pPr>
        <w:jc w:val="both"/>
        <w:rPr>
          <w:sz w:val="22"/>
          <w:szCs w:val="22"/>
          <w:lang w:val="fr-FR"/>
        </w:rPr>
      </w:pPr>
    </w:p>
    <w:p w:rsidR="00FD1D89" w:rsidRPr="00722894" w:rsidRDefault="00FD1D89" w:rsidP="00A449A8">
      <w:pPr>
        <w:jc w:val="both"/>
        <w:rPr>
          <w:sz w:val="22"/>
          <w:szCs w:val="22"/>
          <w:lang w:val="fr-FR"/>
        </w:rPr>
      </w:pPr>
      <w:r w:rsidRPr="00722894">
        <w:rPr>
          <w:sz w:val="22"/>
          <w:szCs w:val="22"/>
          <w:lang w:val="fr-FR"/>
        </w:rPr>
        <w:t>19.</w:t>
      </w:r>
      <w:r w:rsidRPr="00722894">
        <w:rPr>
          <w:sz w:val="22"/>
          <w:szCs w:val="22"/>
          <w:lang w:val="fr-FR"/>
        </w:rPr>
        <w:tab/>
        <w:t>Sous réverse que les Parties contractantes acceptent une révision de la Stratégie de communication telle qu’adoptée par la Résolution 3.10 à la 5</w:t>
      </w:r>
      <w:r w:rsidRPr="00722894">
        <w:rPr>
          <w:sz w:val="22"/>
          <w:szCs w:val="22"/>
          <w:vertAlign w:val="superscript"/>
          <w:lang w:val="fr-FR"/>
        </w:rPr>
        <w:t>ème</w:t>
      </w:r>
      <w:r w:rsidRPr="00722894">
        <w:rPr>
          <w:sz w:val="22"/>
          <w:szCs w:val="22"/>
          <w:lang w:val="fr-FR"/>
        </w:rPr>
        <w:t xml:space="preserve"> Réunion des Parties (MOP5), le Secrétariat estime important qu’un futur processus de révision tienne compte des documents stratégiques et activités de communication suivants :</w:t>
      </w:r>
    </w:p>
    <w:p w:rsidR="00FD1D89" w:rsidRPr="00722894" w:rsidRDefault="00FD1D89" w:rsidP="00A449A8">
      <w:pPr>
        <w:jc w:val="both"/>
        <w:rPr>
          <w:sz w:val="22"/>
          <w:szCs w:val="22"/>
          <w:lang w:val="fr-FR"/>
        </w:rPr>
      </w:pPr>
    </w:p>
    <w:p w:rsidR="00FD1D89" w:rsidRPr="00722894" w:rsidRDefault="008F3F56" w:rsidP="002932C1">
      <w:pPr>
        <w:jc w:val="both"/>
        <w:rPr>
          <w:b/>
          <w:bCs/>
          <w:sz w:val="22"/>
          <w:szCs w:val="22"/>
          <w:lang w:val="fr-FR"/>
        </w:rPr>
      </w:pPr>
      <w:r>
        <w:rPr>
          <w:b/>
          <w:bCs/>
          <w:sz w:val="22"/>
          <w:szCs w:val="22"/>
          <w:lang w:val="fr-FR"/>
        </w:rPr>
        <w:t>Plan s</w:t>
      </w:r>
      <w:r w:rsidR="00FD1D89" w:rsidRPr="00722894">
        <w:rPr>
          <w:b/>
          <w:bCs/>
          <w:sz w:val="22"/>
          <w:szCs w:val="22"/>
          <w:lang w:val="fr-FR"/>
        </w:rPr>
        <w:t>tratégique 2009 - 2017</w:t>
      </w:r>
    </w:p>
    <w:p w:rsidR="00FD1D89" w:rsidRPr="00722894" w:rsidRDefault="00FD1D89" w:rsidP="002932C1">
      <w:pPr>
        <w:jc w:val="both"/>
        <w:rPr>
          <w:sz w:val="22"/>
          <w:szCs w:val="22"/>
          <w:lang w:val="fr-FR"/>
        </w:rPr>
      </w:pPr>
    </w:p>
    <w:p w:rsidR="00FD1D89" w:rsidRPr="00722894" w:rsidRDefault="008F3F56" w:rsidP="00363840">
      <w:pPr>
        <w:jc w:val="both"/>
        <w:rPr>
          <w:sz w:val="22"/>
          <w:szCs w:val="22"/>
          <w:lang w:val="fr-FR"/>
        </w:rPr>
      </w:pPr>
      <w:r>
        <w:rPr>
          <w:sz w:val="22"/>
          <w:szCs w:val="22"/>
          <w:lang w:val="fr-FR"/>
        </w:rPr>
        <w:t>20.</w:t>
      </w:r>
      <w:r>
        <w:rPr>
          <w:sz w:val="22"/>
          <w:szCs w:val="22"/>
          <w:lang w:val="fr-FR"/>
        </w:rPr>
        <w:tab/>
        <w:t>Le Plan s</w:t>
      </w:r>
      <w:r w:rsidR="00FD1D89" w:rsidRPr="00722894">
        <w:rPr>
          <w:sz w:val="22"/>
          <w:szCs w:val="22"/>
          <w:lang w:val="fr-FR"/>
        </w:rPr>
        <w:t xml:space="preserve">tratégique a pour objectif de fournir le contexte de la mise en œuvre de l’Accord, présentant une perspective à moyen terme, en déterminant la vision générale, les objectifs et les cibles pour une période de neuf ans. L’actuel Plan Stratégique a été développé pour la MOP4 et adopté par cette dernière avec la Résolution 4.7 </w:t>
      </w:r>
      <w:r w:rsidR="00FD1D89">
        <w:rPr>
          <w:sz w:val="22"/>
          <w:szCs w:val="22"/>
          <w:lang w:val="fr-FR"/>
        </w:rPr>
        <w:t>e</w:t>
      </w:r>
      <w:r w:rsidR="00FD1D89" w:rsidRPr="00722894">
        <w:rPr>
          <w:sz w:val="22"/>
          <w:szCs w:val="22"/>
          <w:lang w:val="fr-FR"/>
        </w:rPr>
        <w:t xml:space="preserve">n 2008. Il est valable pour une période de neuf ans, de 2009 à 2017, et l’un de ses objectifs (Objectif 4) est spécialement consacré à l’amélioration de la communication, de l’éducation et de la sensibilisation du public (CEPA). Il inclut en outre plusieurs activités prioritaires directement issues de l’actuel Plan d’action pour la communication 2006-2009. </w:t>
      </w:r>
    </w:p>
    <w:p w:rsidR="00FD1D89" w:rsidRPr="00722894" w:rsidRDefault="00FD1D89" w:rsidP="00363840">
      <w:pPr>
        <w:jc w:val="both"/>
        <w:rPr>
          <w:sz w:val="22"/>
          <w:szCs w:val="22"/>
          <w:lang w:val="fr-FR"/>
        </w:rPr>
      </w:pPr>
    </w:p>
    <w:p w:rsidR="00FD1D89" w:rsidRPr="00722894" w:rsidRDefault="00FD1D89" w:rsidP="00363840">
      <w:pPr>
        <w:jc w:val="both"/>
        <w:rPr>
          <w:sz w:val="22"/>
          <w:szCs w:val="22"/>
          <w:lang w:val="fr-FR"/>
        </w:rPr>
      </w:pPr>
      <w:r w:rsidRPr="00722894">
        <w:rPr>
          <w:sz w:val="22"/>
          <w:szCs w:val="22"/>
          <w:lang w:val="fr-FR"/>
        </w:rPr>
        <w:t>21.</w:t>
      </w:r>
      <w:r w:rsidRPr="00722894">
        <w:rPr>
          <w:sz w:val="22"/>
          <w:szCs w:val="22"/>
          <w:lang w:val="fr-FR"/>
        </w:rPr>
        <w:tab/>
      </w:r>
      <w:r w:rsidR="008F3F56">
        <w:rPr>
          <w:sz w:val="22"/>
          <w:szCs w:val="22"/>
          <w:lang w:val="fr-FR"/>
        </w:rPr>
        <w:t>Comme il est prévu que le Plan s</w:t>
      </w:r>
      <w:r w:rsidRPr="00722894">
        <w:rPr>
          <w:sz w:val="22"/>
          <w:szCs w:val="22"/>
          <w:lang w:val="fr-FR"/>
        </w:rPr>
        <w:t xml:space="preserve">tratégique continue à fournir l’orientation générale cohérente et stratégique aux Parties contractantes, aux autres parties prenantes et </w:t>
      </w:r>
      <w:r>
        <w:rPr>
          <w:sz w:val="22"/>
          <w:szCs w:val="22"/>
          <w:lang w:val="fr-FR"/>
        </w:rPr>
        <w:t xml:space="preserve">au </w:t>
      </w:r>
      <w:r w:rsidRPr="00722894">
        <w:rPr>
          <w:sz w:val="22"/>
          <w:szCs w:val="22"/>
          <w:lang w:val="fr-FR"/>
        </w:rPr>
        <w:t>Secrétariat dans leurs efforts de mise en œuvre de l’Accord, toute révision de la Stratégie de communica</w:t>
      </w:r>
      <w:r w:rsidR="008F3F56">
        <w:rPr>
          <w:sz w:val="22"/>
          <w:szCs w:val="22"/>
          <w:lang w:val="fr-FR"/>
        </w:rPr>
        <w:t>tion doit tenir compte du Plan s</w:t>
      </w:r>
      <w:r w:rsidRPr="00722894">
        <w:rPr>
          <w:sz w:val="22"/>
          <w:szCs w:val="22"/>
          <w:lang w:val="fr-FR"/>
        </w:rPr>
        <w:t>tratégique. En fait, les deux documents stratégiques doivent continuellement être mis en parallèle à chaque point de révision.</w:t>
      </w:r>
    </w:p>
    <w:p w:rsidR="00FD1D89" w:rsidRPr="00722894" w:rsidRDefault="00FD1D89" w:rsidP="00363840">
      <w:pPr>
        <w:jc w:val="both"/>
        <w:rPr>
          <w:sz w:val="22"/>
          <w:szCs w:val="22"/>
          <w:lang w:val="fr-FR"/>
        </w:rPr>
      </w:pPr>
    </w:p>
    <w:p w:rsidR="00FD1D89" w:rsidRPr="00722894" w:rsidRDefault="008F3F56" w:rsidP="00363840">
      <w:pPr>
        <w:jc w:val="both"/>
        <w:rPr>
          <w:sz w:val="22"/>
          <w:szCs w:val="22"/>
          <w:lang w:val="fr-FR"/>
        </w:rPr>
      </w:pPr>
      <w:r>
        <w:rPr>
          <w:sz w:val="22"/>
          <w:szCs w:val="22"/>
          <w:lang w:val="fr-FR"/>
        </w:rPr>
        <w:t>22.</w:t>
      </w:r>
      <w:r>
        <w:rPr>
          <w:sz w:val="22"/>
          <w:szCs w:val="22"/>
          <w:lang w:val="fr-FR"/>
        </w:rPr>
        <w:tab/>
        <w:t>Le Plan s</w:t>
      </w:r>
      <w:r w:rsidR="00FD1D89" w:rsidRPr="00722894">
        <w:rPr>
          <w:sz w:val="22"/>
          <w:szCs w:val="22"/>
          <w:lang w:val="fr-FR"/>
        </w:rPr>
        <w:t xml:space="preserve">tratégique souligne que le cœur de la conservation par la voie de migration est la collaboration et la coopération entre les parties prenantes le long de ces voies de migration, au plan national et international. La communication joue un rôle clé dans la </w:t>
      </w:r>
      <w:r w:rsidR="00FD1D89">
        <w:rPr>
          <w:sz w:val="22"/>
          <w:szCs w:val="22"/>
          <w:lang w:val="fr-FR"/>
        </w:rPr>
        <w:t>stimulation et le soutien</w:t>
      </w:r>
      <w:r w:rsidR="00FD1D89" w:rsidRPr="00722894">
        <w:rPr>
          <w:sz w:val="22"/>
          <w:szCs w:val="22"/>
          <w:lang w:val="fr-FR"/>
        </w:rPr>
        <w:t xml:space="preserve"> </w:t>
      </w:r>
      <w:r w:rsidR="00FD1D89">
        <w:rPr>
          <w:sz w:val="22"/>
          <w:szCs w:val="22"/>
          <w:lang w:val="fr-FR"/>
        </w:rPr>
        <w:t>de</w:t>
      </w:r>
      <w:r w:rsidR="00FD1D89" w:rsidRPr="00722894">
        <w:rPr>
          <w:sz w:val="22"/>
          <w:szCs w:val="22"/>
          <w:lang w:val="fr-FR"/>
        </w:rPr>
        <w:t xml:space="preserve"> cette collaboration et coopération internationale, et l’actuelle Stratégie de communication a bien saisi ces éléments. Les deux documents et chaque activité identifiée liée </w:t>
      </w:r>
      <w:r w:rsidR="00FD1D89">
        <w:rPr>
          <w:sz w:val="22"/>
          <w:szCs w:val="22"/>
          <w:lang w:val="fr-FR"/>
        </w:rPr>
        <w:t>à la</w:t>
      </w:r>
      <w:r w:rsidR="00FD1D89" w:rsidRPr="00722894">
        <w:rPr>
          <w:sz w:val="22"/>
          <w:szCs w:val="22"/>
          <w:lang w:val="fr-FR"/>
        </w:rPr>
        <w:t xml:space="preserve"> CEPA figurant dans chacun des documents doivent correspondre afin de permettre à l’AEWA de continuer à renforcer sa capacité à faciliter cette coopération à tous les niveaux.</w:t>
      </w:r>
    </w:p>
    <w:p w:rsidR="00FD1D89" w:rsidRDefault="00FD1D89" w:rsidP="002932C1">
      <w:pPr>
        <w:jc w:val="both"/>
        <w:rPr>
          <w:sz w:val="22"/>
          <w:szCs w:val="22"/>
          <w:lang w:val="fr-FR"/>
        </w:rPr>
      </w:pPr>
    </w:p>
    <w:p w:rsidR="00DC27FB" w:rsidRDefault="00DC27FB" w:rsidP="002932C1">
      <w:pPr>
        <w:jc w:val="both"/>
        <w:rPr>
          <w:sz w:val="22"/>
          <w:szCs w:val="22"/>
          <w:lang w:val="fr-FR"/>
        </w:rPr>
      </w:pPr>
    </w:p>
    <w:p w:rsidR="00DC27FB" w:rsidRDefault="00DC27FB" w:rsidP="002932C1">
      <w:pPr>
        <w:jc w:val="both"/>
        <w:rPr>
          <w:sz w:val="22"/>
          <w:szCs w:val="22"/>
          <w:lang w:val="fr-FR"/>
        </w:rPr>
      </w:pPr>
    </w:p>
    <w:p w:rsidR="00DC27FB" w:rsidRPr="00722894" w:rsidRDefault="00DC27FB" w:rsidP="002932C1">
      <w:pPr>
        <w:jc w:val="both"/>
        <w:rPr>
          <w:sz w:val="22"/>
          <w:szCs w:val="22"/>
          <w:lang w:val="fr-FR"/>
        </w:rPr>
      </w:pPr>
    </w:p>
    <w:p w:rsidR="00FD1D89" w:rsidRPr="00722894" w:rsidRDefault="00FD1D89" w:rsidP="002932C1">
      <w:pPr>
        <w:jc w:val="both"/>
        <w:rPr>
          <w:b/>
          <w:bCs/>
          <w:sz w:val="22"/>
          <w:szCs w:val="22"/>
          <w:lang w:val="fr-FR"/>
        </w:rPr>
      </w:pPr>
      <w:r w:rsidRPr="00722894">
        <w:rPr>
          <w:b/>
          <w:bCs/>
          <w:sz w:val="22"/>
          <w:szCs w:val="22"/>
          <w:lang w:val="fr-FR"/>
        </w:rPr>
        <w:lastRenderedPageBreak/>
        <w:t>Tâches internationales de mise en œuvre - Inclusion de priorités CEPA</w:t>
      </w:r>
    </w:p>
    <w:p w:rsidR="00FD1D89" w:rsidRPr="00722894" w:rsidRDefault="00FD1D89" w:rsidP="002932C1">
      <w:pPr>
        <w:jc w:val="both"/>
        <w:rPr>
          <w:b/>
          <w:bCs/>
          <w:sz w:val="22"/>
          <w:szCs w:val="22"/>
          <w:lang w:val="fr-FR"/>
        </w:rPr>
      </w:pPr>
    </w:p>
    <w:p w:rsidR="00FD1D89" w:rsidRPr="00722894" w:rsidRDefault="00FD1D89" w:rsidP="00491A1F">
      <w:pPr>
        <w:jc w:val="both"/>
        <w:rPr>
          <w:sz w:val="22"/>
          <w:szCs w:val="22"/>
          <w:lang w:val="fr-FR"/>
        </w:rPr>
      </w:pPr>
      <w:r w:rsidRPr="00722894">
        <w:rPr>
          <w:sz w:val="22"/>
          <w:szCs w:val="22"/>
          <w:lang w:val="fr-FR"/>
        </w:rPr>
        <w:t>23.</w:t>
      </w:r>
      <w:r w:rsidRPr="00722894">
        <w:rPr>
          <w:sz w:val="22"/>
          <w:szCs w:val="22"/>
          <w:lang w:val="fr-FR"/>
        </w:rPr>
        <w:tab/>
        <w:t xml:space="preserve">Les Tâches internationales de mise en œuvre (IIT) établissent les priorités à moyen terme pour les activités de coopération internationale visant à la mise en œuvre de l’Accord et sont en premier lieu mises à jour par le Comité technique et adoptées à chaque Réunion des Parties pour une période de 3 ou 4 ans. Les IIT doivent également inclure les activités identifiées pour aider à la mise en œuvre de la Stratégie de communication ; les activités d’IIT prioritaires figurant au chapitre « Éducation et Information » doivent toujours inclure les activités identifiées dans le Plan d'action pour la communication. </w:t>
      </w:r>
    </w:p>
    <w:p w:rsidR="00FD1D89" w:rsidRPr="00722894" w:rsidRDefault="00FD1D89" w:rsidP="00491A1F">
      <w:pPr>
        <w:jc w:val="both"/>
        <w:rPr>
          <w:b/>
          <w:bCs/>
          <w:sz w:val="22"/>
          <w:szCs w:val="22"/>
          <w:lang w:val="fr-FR"/>
        </w:rPr>
      </w:pPr>
    </w:p>
    <w:p w:rsidR="00FD1D89" w:rsidRPr="00722894" w:rsidRDefault="00FD1D89" w:rsidP="00491A1F">
      <w:pPr>
        <w:jc w:val="both"/>
        <w:rPr>
          <w:b/>
          <w:bCs/>
          <w:sz w:val="22"/>
          <w:szCs w:val="22"/>
          <w:lang w:val="fr-FR"/>
        </w:rPr>
      </w:pPr>
      <w:r w:rsidRPr="00722894">
        <w:rPr>
          <w:b/>
          <w:bCs/>
          <w:sz w:val="22"/>
          <w:szCs w:val="22"/>
          <w:lang w:val="fr-FR"/>
        </w:rPr>
        <w:t xml:space="preserve">Processus de rapport national de l’AEWA – Surveillance de la mise en œuvre de la Stratégie de communication </w:t>
      </w:r>
    </w:p>
    <w:p w:rsidR="00FD1D89" w:rsidRPr="00722894" w:rsidRDefault="00FD1D89" w:rsidP="00491A1F">
      <w:pPr>
        <w:jc w:val="both"/>
        <w:rPr>
          <w:b/>
          <w:bCs/>
          <w:sz w:val="22"/>
          <w:szCs w:val="22"/>
          <w:lang w:val="fr-FR"/>
        </w:rPr>
      </w:pPr>
    </w:p>
    <w:p w:rsidR="00FD1D89" w:rsidRPr="00722894" w:rsidRDefault="00FD1D89" w:rsidP="00491A1F">
      <w:pPr>
        <w:jc w:val="both"/>
        <w:rPr>
          <w:b/>
          <w:bCs/>
          <w:sz w:val="22"/>
          <w:szCs w:val="22"/>
          <w:lang w:val="fr-FR"/>
        </w:rPr>
      </w:pPr>
      <w:r w:rsidRPr="00722894">
        <w:rPr>
          <w:sz w:val="22"/>
          <w:szCs w:val="22"/>
          <w:lang w:val="fr-FR"/>
        </w:rPr>
        <w:t>24.</w:t>
      </w:r>
      <w:r w:rsidRPr="00722894">
        <w:rPr>
          <w:sz w:val="22"/>
          <w:szCs w:val="22"/>
          <w:lang w:val="fr-FR"/>
        </w:rPr>
        <w:tab/>
        <w:t xml:space="preserve">Depuis l’adoption du premier format de rapport national triennal pour l’AEWA par la MOP1, les Parties ont à plusieurs reprises reconnu l’importance des rapports nationaux comme étant des outils de surveillance de la mise en œuvre de l'Accord. On s'attend généralement à ce que la mise en œuvre de l’Accord et de son Plan d’action soit renforcée par un examen régulier de la mise en œuvre nationale au moyen d’un processus de rapport national. Le format de rapport national doit inclure des questions ciblées aidant aussi à la mise en œuvre de la Stratégie de communication au niveau national. Toute révision de la Stratégie de communication doit donc aussi tenir compte du processus national de rapport comme étant un moyen de surveiller la mise en œuvre de la Stratégie de communication et comme une façon potentielle de partager les informations liées </w:t>
      </w:r>
      <w:r>
        <w:rPr>
          <w:sz w:val="22"/>
          <w:szCs w:val="22"/>
          <w:lang w:val="fr-FR"/>
        </w:rPr>
        <w:t>à la</w:t>
      </w:r>
      <w:r w:rsidRPr="00722894">
        <w:rPr>
          <w:sz w:val="22"/>
          <w:szCs w:val="22"/>
          <w:lang w:val="fr-FR"/>
        </w:rPr>
        <w:t xml:space="preserve"> CEPA, les connaissances et l’expérience acquise parmi les Parties à l’AEWA. Toute révision du format de rapport national triennal doit également considérer le maintien et l’extension éventuels des éléments des rapports pour surveiller la mise en œuvre de la Stratégie de communication.</w:t>
      </w:r>
    </w:p>
    <w:p w:rsidR="00FD1D89" w:rsidRPr="00722894" w:rsidRDefault="00FD1D89" w:rsidP="00491A1F">
      <w:pPr>
        <w:jc w:val="both"/>
        <w:rPr>
          <w:b/>
          <w:bCs/>
          <w:sz w:val="22"/>
          <w:szCs w:val="22"/>
          <w:lang w:val="fr-FR"/>
        </w:rPr>
      </w:pPr>
    </w:p>
    <w:p w:rsidR="00FD1D89" w:rsidRPr="00722894" w:rsidRDefault="00FD1D89" w:rsidP="00491A1F">
      <w:pPr>
        <w:jc w:val="both"/>
        <w:rPr>
          <w:b/>
          <w:bCs/>
          <w:sz w:val="22"/>
          <w:szCs w:val="22"/>
          <w:lang w:val="fr-FR"/>
        </w:rPr>
      </w:pPr>
      <w:r w:rsidRPr="00722894">
        <w:rPr>
          <w:b/>
          <w:bCs/>
          <w:sz w:val="22"/>
          <w:szCs w:val="22"/>
          <w:lang w:val="fr-FR"/>
        </w:rPr>
        <w:t xml:space="preserve">Plan d’action pour l’Afrique et Initiative africaine </w:t>
      </w:r>
    </w:p>
    <w:p w:rsidR="00FD1D89" w:rsidRPr="00722894" w:rsidRDefault="00FD1D89" w:rsidP="00491A1F">
      <w:pPr>
        <w:jc w:val="both"/>
        <w:rPr>
          <w:sz w:val="22"/>
          <w:szCs w:val="22"/>
          <w:lang w:val="fr-FR"/>
        </w:rPr>
      </w:pPr>
    </w:p>
    <w:p w:rsidR="00FD1D89" w:rsidRDefault="00FD1D89" w:rsidP="002932C1">
      <w:pPr>
        <w:jc w:val="both"/>
        <w:rPr>
          <w:sz w:val="22"/>
          <w:szCs w:val="22"/>
          <w:lang w:val="fr-FR"/>
        </w:rPr>
      </w:pPr>
      <w:r w:rsidRPr="00722894">
        <w:rPr>
          <w:sz w:val="22"/>
          <w:szCs w:val="22"/>
          <w:lang w:val="fr-FR"/>
        </w:rPr>
        <w:t>25.</w:t>
      </w:r>
      <w:r w:rsidRPr="00722894">
        <w:rPr>
          <w:sz w:val="22"/>
          <w:szCs w:val="22"/>
          <w:lang w:val="fr-FR"/>
        </w:rPr>
        <w:tab/>
        <w:t>Avec l’adoption de l’Initiative africaine par la MOP4 et le recrutement d’une coordinatrice désignée (rendu possible grâce à une contribution volontaire du gouvernement français) un  Plan d’action (</w:t>
      </w:r>
      <w:proofErr w:type="spellStart"/>
      <w:r w:rsidRPr="00722894">
        <w:rPr>
          <w:sz w:val="22"/>
          <w:szCs w:val="22"/>
          <w:lang w:val="fr-FR"/>
        </w:rPr>
        <w:t>PoA</w:t>
      </w:r>
      <w:proofErr w:type="spellEnd"/>
      <w:r w:rsidRPr="00722894">
        <w:rPr>
          <w:sz w:val="22"/>
          <w:szCs w:val="22"/>
          <w:lang w:val="fr-FR"/>
        </w:rPr>
        <w:t>) pour la conservation des oiseaux d’eau migrateurs et de leurs habitats en Afrique est en cours de préparation</w:t>
      </w:r>
      <w:r>
        <w:rPr>
          <w:sz w:val="22"/>
          <w:szCs w:val="22"/>
          <w:lang w:val="fr-FR"/>
        </w:rPr>
        <w:t>. Il</w:t>
      </w:r>
      <w:r w:rsidRPr="00722894">
        <w:rPr>
          <w:sz w:val="22"/>
          <w:szCs w:val="22"/>
          <w:lang w:val="fr-FR"/>
        </w:rPr>
        <w:t xml:space="preserve"> pourra éventuellement être adopté par la MOP5, et inclu</w:t>
      </w:r>
      <w:r>
        <w:rPr>
          <w:sz w:val="22"/>
          <w:szCs w:val="22"/>
          <w:lang w:val="fr-FR"/>
        </w:rPr>
        <w:t>re</w:t>
      </w:r>
      <w:r w:rsidRPr="00722894">
        <w:rPr>
          <w:sz w:val="22"/>
          <w:szCs w:val="22"/>
          <w:lang w:val="fr-FR"/>
        </w:rPr>
        <w:t xml:space="preserve"> des activités alignées </w:t>
      </w:r>
      <w:r>
        <w:rPr>
          <w:sz w:val="22"/>
          <w:szCs w:val="22"/>
          <w:lang w:val="fr-FR"/>
        </w:rPr>
        <w:t>sur</w:t>
      </w:r>
      <w:r w:rsidR="008F3F56">
        <w:rPr>
          <w:sz w:val="22"/>
          <w:szCs w:val="22"/>
          <w:lang w:val="fr-FR"/>
        </w:rPr>
        <w:t xml:space="preserve"> le Plan s</w:t>
      </w:r>
      <w:r w:rsidRPr="00722894">
        <w:rPr>
          <w:sz w:val="22"/>
          <w:szCs w:val="22"/>
          <w:lang w:val="fr-FR"/>
        </w:rPr>
        <w:t xml:space="preserve">tratégique 2009–2017 comme avec la Stratégie de communication. Il est prévu que la mise en œuvre du Plan d’action pour l’Afrique soit liée à la mise en œuvre de la Stratégie de communication en Afrique, notamment concernant l’Objectif 3 (renforcement des capacités) et qu’elle aide à y contribuer. Toute révision de la Stratégie de communication devra clairement être alignée </w:t>
      </w:r>
      <w:r>
        <w:rPr>
          <w:sz w:val="22"/>
          <w:szCs w:val="22"/>
          <w:lang w:val="fr-FR"/>
        </w:rPr>
        <w:t>s</w:t>
      </w:r>
      <w:r w:rsidRPr="00722894">
        <w:rPr>
          <w:sz w:val="22"/>
          <w:szCs w:val="22"/>
          <w:lang w:val="fr-FR"/>
        </w:rPr>
        <w:t>ur les priorités et activités convenues par les Parties dans le cadre du Plan d’action pour l’Afrique, qui sera présenté pour considération d’adoption à la MOP5.</w:t>
      </w:r>
    </w:p>
    <w:p w:rsidR="00F65449" w:rsidRPr="00722894" w:rsidRDefault="00F65449" w:rsidP="002932C1">
      <w:pPr>
        <w:jc w:val="both"/>
        <w:rPr>
          <w:sz w:val="22"/>
          <w:szCs w:val="22"/>
          <w:lang w:val="fr-FR"/>
        </w:rPr>
      </w:pPr>
    </w:p>
    <w:p w:rsidR="00F65449" w:rsidRPr="00F65449" w:rsidRDefault="00F65449" w:rsidP="00F65449">
      <w:pPr>
        <w:jc w:val="both"/>
        <w:rPr>
          <w:b/>
          <w:sz w:val="22"/>
          <w:szCs w:val="22"/>
          <w:lang w:val="fr-FR"/>
        </w:rPr>
      </w:pPr>
      <w:r w:rsidRPr="00F65449">
        <w:rPr>
          <w:b/>
          <w:sz w:val="22"/>
          <w:szCs w:val="22"/>
          <w:lang w:val="fr-FR"/>
        </w:rPr>
        <w:t xml:space="preserve">Plans d’action internationaux par espèce </w:t>
      </w:r>
    </w:p>
    <w:p w:rsidR="00F65449" w:rsidRPr="00F65449" w:rsidRDefault="00F65449" w:rsidP="00F65449">
      <w:pPr>
        <w:jc w:val="both"/>
        <w:rPr>
          <w:sz w:val="22"/>
          <w:szCs w:val="22"/>
          <w:lang w:val="fr-FR"/>
        </w:rPr>
      </w:pPr>
    </w:p>
    <w:p w:rsidR="00F65449" w:rsidRPr="00722894" w:rsidRDefault="00F65449" w:rsidP="00F65449">
      <w:pPr>
        <w:jc w:val="both"/>
        <w:rPr>
          <w:sz w:val="22"/>
          <w:szCs w:val="22"/>
          <w:lang w:val="fr-FR"/>
        </w:rPr>
      </w:pPr>
      <w:r w:rsidRPr="00F65449">
        <w:rPr>
          <w:sz w:val="22"/>
          <w:szCs w:val="22"/>
          <w:lang w:val="fr-FR"/>
        </w:rPr>
        <w:t>26.</w:t>
      </w:r>
      <w:r w:rsidRPr="00F65449">
        <w:rPr>
          <w:sz w:val="22"/>
          <w:szCs w:val="22"/>
          <w:lang w:val="fr-FR"/>
        </w:rPr>
        <w:tab/>
        <w:t xml:space="preserve">La sensibilisation du public à la nécessité de protéger les espèces et leurs habitats, ainsi qu’aux dangers qui les menacent, et la compilation et la large diffusion de ces informations au niveau national et régional devront être à l’avenir des activités essentielles de conservation incluses dans la majorité, voire dans tous les Plans d’action par espèce (SSAP). À titre d’exemple, la sensibilisation des chasseurs, propriétaires terriens et agriculteur est déjà l’une des mesures de conservation décrite dans le Plan d’action pour l’Oie naine. L’intensification de la sensibilisation du public à la nécessité de protéger le Flamant nain et ses habitats, tout particulièrement aux alentours de sites critiques tels que le lac Natron est également considérée comme une mesure de conservation importante identifiée dans le SSAP de cette espèce. Cependant, il y encore bien plus à faire pour soutenir ces efforts de sensibilisation et les activités de Communication, Education et Sensibilisation (CEPA) devront faire, davantage encore, intégralement partie des mesures identifiées dans les SSAP pour la conservation des espèces et de leurs habitats. Non seulement une stratégie de communication révisée devra prendre en main ce besoin, mais elle devra également fournir un cadre au développement du matériel et des activités se rapportant à la CEPA, et des activités visant tout spécialement </w:t>
      </w:r>
      <w:r w:rsidRPr="00F65449">
        <w:rPr>
          <w:sz w:val="22"/>
          <w:szCs w:val="22"/>
          <w:lang w:val="fr-FR"/>
        </w:rPr>
        <w:lastRenderedPageBreak/>
        <w:t>à soutenir et à guider les parties prenantes travaillant ensemble à la mise en œuvre des plans d’action par espèce.</w:t>
      </w:r>
    </w:p>
    <w:p w:rsidR="00F65449" w:rsidRPr="00722894" w:rsidRDefault="00F65449" w:rsidP="00F65449">
      <w:pPr>
        <w:jc w:val="both"/>
        <w:rPr>
          <w:sz w:val="22"/>
          <w:szCs w:val="22"/>
          <w:lang w:val="fr-FR"/>
        </w:rPr>
      </w:pPr>
    </w:p>
    <w:p w:rsidR="00FD1D89" w:rsidRPr="00722894" w:rsidRDefault="00FD1D89" w:rsidP="002932C1">
      <w:pPr>
        <w:jc w:val="both"/>
        <w:rPr>
          <w:b/>
          <w:bCs/>
          <w:sz w:val="22"/>
          <w:szCs w:val="22"/>
          <w:lang w:val="fr-FR"/>
        </w:rPr>
      </w:pPr>
      <w:r w:rsidRPr="00722894">
        <w:rPr>
          <w:b/>
          <w:bCs/>
          <w:sz w:val="22"/>
          <w:szCs w:val="22"/>
          <w:lang w:val="fr-FR"/>
        </w:rPr>
        <w:t xml:space="preserve">Projet </w:t>
      </w:r>
      <w:proofErr w:type="spellStart"/>
      <w:r w:rsidRPr="00722894">
        <w:rPr>
          <w:b/>
          <w:bCs/>
          <w:sz w:val="22"/>
          <w:szCs w:val="22"/>
          <w:lang w:val="fr-FR"/>
        </w:rPr>
        <w:t>Wings</w:t>
      </w:r>
      <w:proofErr w:type="spellEnd"/>
      <w:r w:rsidRPr="00722894">
        <w:rPr>
          <w:b/>
          <w:bCs/>
          <w:sz w:val="22"/>
          <w:szCs w:val="22"/>
          <w:lang w:val="fr-FR"/>
        </w:rPr>
        <w:t xml:space="preserve"> Over </w:t>
      </w:r>
      <w:proofErr w:type="spellStart"/>
      <w:r w:rsidRPr="00722894">
        <w:rPr>
          <w:b/>
          <w:bCs/>
          <w:sz w:val="22"/>
          <w:szCs w:val="22"/>
          <w:lang w:val="fr-FR"/>
        </w:rPr>
        <w:t>Wetlands</w:t>
      </w:r>
      <w:proofErr w:type="spellEnd"/>
      <w:r w:rsidRPr="00722894">
        <w:rPr>
          <w:b/>
          <w:bCs/>
          <w:sz w:val="22"/>
          <w:szCs w:val="22"/>
          <w:lang w:val="fr-FR"/>
        </w:rPr>
        <w:t xml:space="preserve"> (WOW) du PNUE-FEM sur les voies de migration d’Afrique-Eurasie</w:t>
      </w:r>
    </w:p>
    <w:p w:rsidR="00FD1D89" w:rsidRPr="00722894" w:rsidRDefault="00FD1D89" w:rsidP="002932C1">
      <w:pPr>
        <w:jc w:val="both"/>
        <w:rPr>
          <w:b/>
          <w:bCs/>
          <w:sz w:val="22"/>
          <w:szCs w:val="22"/>
          <w:lang w:val="fr-FR"/>
        </w:rPr>
      </w:pPr>
    </w:p>
    <w:p w:rsidR="00FD1D89" w:rsidRPr="00722894" w:rsidRDefault="00FD1D89" w:rsidP="002932C1">
      <w:pPr>
        <w:jc w:val="both"/>
        <w:rPr>
          <w:sz w:val="22"/>
          <w:szCs w:val="22"/>
          <w:lang w:val="fr-FR"/>
        </w:rPr>
      </w:pPr>
      <w:r w:rsidRPr="00722894">
        <w:rPr>
          <w:sz w:val="22"/>
          <w:szCs w:val="22"/>
          <w:lang w:val="fr-FR"/>
        </w:rPr>
        <w:t>2</w:t>
      </w:r>
      <w:r w:rsidR="00F65449">
        <w:rPr>
          <w:sz w:val="22"/>
          <w:szCs w:val="22"/>
          <w:lang w:val="fr-FR"/>
        </w:rPr>
        <w:t>7</w:t>
      </w:r>
      <w:r w:rsidRPr="00722894">
        <w:rPr>
          <w:sz w:val="22"/>
          <w:szCs w:val="22"/>
          <w:lang w:val="fr-FR"/>
        </w:rPr>
        <w:t>.</w:t>
      </w:r>
      <w:r w:rsidRPr="00722894">
        <w:rPr>
          <w:sz w:val="22"/>
          <w:szCs w:val="22"/>
          <w:lang w:val="fr-FR"/>
        </w:rPr>
        <w:tab/>
        <w:t xml:space="preserve">L’un des principaux facteurs non prévus dans l’actuelle Stratégie de communication est l’impact général positif que le </w:t>
      </w:r>
      <w:r w:rsidRPr="00722894">
        <w:rPr>
          <w:i/>
          <w:iCs/>
          <w:sz w:val="22"/>
          <w:szCs w:val="22"/>
          <w:lang w:val="fr-FR"/>
        </w:rPr>
        <w:t xml:space="preserve">Projet </w:t>
      </w:r>
      <w:proofErr w:type="spellStart"/>
      <w:r w:rsidRPr="00722894">
        <w:rPr>
          <w:i/>
          <w:iCs/>
          <w:sz w:val="22"/>
          <w:szCs w:val="22"/>
          <w:lang w:val="fr-FR"/>
        </w:rPr>
        <w:t>Wings</w:t>
      </w:r>
      <w:proofErr w:type="spellEnd"/>
      <w:r w:rsidRPr="00722894">
        <w:rPr>
          <w:i/>
          <w:iCs/>
          <w:sz w:val="22"/>
          <w:szCs w:val="22"/>
          <w:lang w:val="fr-FR"/>
        </w:rPr>
        <w:t xml:space="preserve"> Over </w:t>
      </w:r>
      <w:proofErr w:type="spellStart"/>
      <w:r w:rsidRPr="00722894">
        <w:rPr>
          <w:i/>
          <w:iCs/>
          <w:sz w:val="22"/>
          <w:szCs w:val="22"/>
          <w:lang w:val="fr-FR"/>
        </w:rPr>
        <w:t>Wetlands</w:t>
      </w:r>
      <w:proofErr w:type="spellEnd"/>
      <w:r w:rsidRPr="00722894">
        <w:rPr>
          <w:i/>
          <w:iCs/>
          <w:sz w:val="22"/>
          <w:szCs w:val="22"/>
          <w:lang w:val="fr-FR"/>
        </w:rPr>
        <w:t xml:space="preserve"> (WOW) du PNUE-FEM sur les voies de migration d'Afrique-Eurasie</w:t>
      </w:r>
      <w:r w:rsidRPr="00722894">
        <w:rPr>
          <w:sz w:val="22"/>
          <w:szCs w:val="22"/>
          <w:lang w:val="fr-FR"/>
        </w:rPr>
        <w:t xml:space="preserve"> a eu sur la mise en œuvre de l’AEWA</w:t>
      </w:r>
      <w:r>
        <w:rPr>
          <w:sz w:val="22"/>
          <w:szCs w:val="22"/>
          <w:lang w:val="fr-FR"/>
        </w:rPr>
        <w:t>, ainsi qu’</w:t>
      </w:r>
      <w:r w:rsidRPr="00722894">
        <w:rPr>
          <w:sz w:val="22"/>
          <w:szCs w:val="22"/>
          <w:lang w:val="fr-FR"/>
        </w:rPr>
        <w:t xml:space="preserve">en termes de promotion et de mise en œuvre du concept de conservation par la voie de migration dans la région de l’AEWA. Le projet n’a pas seulement contribué à la mise en œuvre de la Stratégie de communication dans certaines régions, mais il a aussi développé le réseau et la capacité qui pourront, si les fonds le permettent, être utilisés dans les années à venir pour mener à bien certaines des activités de formation prévues (mais pas encore mises en œuvre) dans la Stratégie de communication d’origine. Par exemple, le Kit de formation Voie de migration (FTK) et l’Outil Réseau de sites critique (CSN) sont </w:t>
      </w:r>
      <w:r>
        <w:rPr>
          <w:sz w:val="22"/>
          <w:szCs w:val="22"/>
          <w:lang w:val="fr-FR"/>
        </w:rPr>
        <w:t xml:space="preserve">tous </w:t>
      </w:r>
      <w:r w:rsidRPr="00722894">
        <w:rPr>
          <w:sz w:val="22"/>
          <w:szCs w:val="22"/>
          <w:lang w:val="fr-FR"/>
        </w:rPr>
        <w:t xml:space="preserve">deux </w:t>
      </w:r>
      <w:r>
        <w:rPr>
          <w:sz w:val="22"/>
          <w:szCs w:val="22"/>
          <w:lang w:val="fr-FR"/>
        </w:rPr>
        <w:t>d’</w:t>
      </w:r>
      <w:r w:rsidRPr="00722894">
        <w:rPr>
          <w:sz w:val="22"/>
          <w:szCs w:val="22"/>
          <w:lang w:val="fr-FR"/>
        </w:rPr>
        <w:t>importants résultats du projet, qui demeureront extrêmement pertinents en tant qu’outils d’aide à la mise en œuvre de l’AEWA. Une révision de la Stratégie de communication devra tenir compte des résultats du Projet WOW et faciliter l’utilisation de ces deux principaux résultats du projet, et entretenir et renforcer le réseau établi à travers le projet Voie de migration.</w:t>
      </w:r>
    </w:p>
    <w:p w:rsidR="00FD1D89" w:rsidRDefault="00FD1D89" w:rsidP="002932C1">
      <w:pPr>
        <w:jc w:val="both"/>
        <w:rPr>
          <w:sz w:val="22"/>
          <w:szCs w:val="22"/>
          <w:lang w:val="fr-FR"/>
        </w:rPr>
      </w:pPr>
    </w:p>
    <w:p w:rsidR="00DC27FB" w:rsidRPr="00722894" w:rsidRDefault="00DC27FB" w:rsidP="002932C1">
      <w:pPr>
        <w:jc w:val="both"/>
        <w:rPr>
          <w:sz w:val="22"/>
          <w:szCs w:val="22"/>
          <w:lang w:val="fr-FR"/>
        </w:rPr>
      </w:pPr>
    </w:p>
    <w:p w:rsidR="00FD1D89" w:rsidRPr="00722894" w:rsidRDefault="00FD1D89" w:rsidP="00CC642D">
      <w:pPr>
        <w:jc w:val="both"/>
        <w:rPr>
          <w:b/>
          <w:bCs/>
          <w:sz w:val="22"/>
          <w:szCs w:val="22"/>
          <w:lang w:val="fr-FR"/>
        </w:rPr>
      </w:pPr>
      <w:r w:rsidRPr="00722894">
        <w:rPr>
          <w:b/>
          <w:bCs/>
          <w:sz w:val="22"/>
          <w:szCs w:val="22"/>
          <w:lang w:val="fr-FR"/>
        </w:rPr>
        <w:t xml:space="preserve">Journée Mondiale des Oiseaux Migrateurs (JMOM) </w:t>
      </w:r>
    </w:p>
    <w:p w:rsidR="00FD1D89" w:rsidRPr="00722894" w:rsidRDefault="00FD1D89" w:rsidP="00CC642D">
      <w:pPr>
        <w:jc w:val="both"/>
        <w:rPr>
          <w:sz w:val="22"/>
          <w:szCs w:val="22"/>
          <w:lang w:val="fr-FR"/>
        </w:rPr>
      </w:pPr>
    </w:p>
    <w:p w:rsidR="00FD1D89" w:rsidRPr="00722894" w:rsidRDefault="00FD1D89" w:rsidP="002932C1">
      <w:pPr>
        <w:jc w:val="both"/>
        <w:rPr>
          <w:sz w:val="22"/>
          <w:szCs w:val="22"/>
          <w:lang w:val="fr-FR"/>
        </w:rPr>
      </w:pPr>
      <w:r w:rsidRPr="00722894">
        <w:rPr>
          <w:sz w:val="22"/>
          <w:szCs w:val="22"/>
          <w:lang w:val="fr-FR"/>
        </w:rPr>
        <w:t>2</w:t>
      </w:r>
      <w:r w:rsidR="00F65449">
        <w:rPr>
          <w:sz w:val="22"/>
          <w:szCs w:val="22"/>
          <w:lang w:val="fr-FR"/>
        </w:rPr>
        <w:t>8</w:t>
      </w:r>
      <w:r w:rsidRPr="00722894">
        <w:rPr>
          <w:sz w:val="22"/>
          <w:szCs w:val="22"/>
          <w:lang w:val="fr-FR"/>
        </w:rPr>
        <w:t>.</w:t>
      </w:r>
      <w:r w:rsidRPr="00722894">
        <w:rPr>
          <w:sz w:val="22"/>
          <w:szCs w:val="22"/>
          <w:lang w:val="fr-FR"/>
        </w:rPr>
        <w:tab/>
        <w:t xml:space="preserve">Une autre activité importante qui n’était pas prévue dans l’actuelle Stratégie de communication et qui a fortement aidé à accroître la sensibilisation à l’AEWA et à la conservation des oiseaux d'eau migrateurs est la Journée Mondiale des Oiseaux Migrateurs (JMOM). Initiée par le Secrétariat de l’AEWA en 2006, la campagne mondiale a aidé à augmenter d’une façon sans précédent la sensibilisation à l’AEWA à l’intérieur comme à l’extérieur de la région de l’AEWA. Bien que le Secrétariat de l’AEWA ait pris en main le développement de la campagne annuelle, il s’agit d’une activité organisée conjointement avec le Secrétariat de la CMS qui reçoit le soutien de plusieurs autres partenaires clés de l’AEWA, y compris </w:t>
      </w:r>
      <w:proofErr w:type="spellStart"/>
      <w:r w:rsidRPr="00722894">
        <w:rPr>
          <w:sz w:val="22"/>
          <w:szCs w:val="22"/>
          <w:lang w:val="fr-FR"/>
        </w:rPr>
        <w:t>BirdLife</w:t>
      </w:r>
      <w:proofErr w:type="spellEnd"/>
      <w:r w:rsidRPr="00722894">
        <w:rPr>
          <w:sz w:val="22"/>
          <w:szCs w:val="22"/>
          <w:lang w:val="fr-FR"/>
        </w:rPr>
        <w:t xml:space="preserve"> International, </w:t>
      </w:r>
      <w:proofErr w:type="spellStart"/>
      <w:r w:rsidRPr="00722894">
        <w:rPr>
          <w:sz w:val="22"/>
          <w:szCs w:val="22"/>
          <w:lang w:val="fr-FR"/>
        </w:rPr>
        <w:t>Wetlands</w:t>
      </w:r>
      <w:proofErr w:type="spellEnd"/>
      <w:r w:rsidRPr="00722894">
        <w:rPr>
          <w:sz w:val="22"/>
          <w:szCs w:val="22"/>
          <w:lang w:val="fr-FR"/>
        </w:rPr>
        <w:t xml:space="preserve"> International, le Secrétariat du partenariat de la voie de migration d’Asie de l’Est-Australasie (EAAFP) et le PNUE. La JMOM est devenue une campagne internationale majeure de sensibilisation dédiée aux oiseaux migrateurs soutenue par les Nations Unies. En 2011, plus de 200 événements JMOM différents trouvant place dans 64 pays ont été enregistrés sur le site de la JMOM (</w:t>
      </w:r>
      <w:hyperlink r:id="rId14" w:history="1">
        <w:r w:rsidRPr="00722894">
          <w:rPr>
            <w:rStyle w:val="Hyperlink"/>
            <w:sz w:val="22"/>
            <w:szCs w:val="22"/>
            <w:lang w:val="fr-FR"/>
          </w:rPr>
          <w:t>www.worldmigratorybirdday.org</w:t>
        </w:r>
      </w:hyperlink>
      <w:r w:rsidRPr="00722894">
        <w:rPr>
          <w:sz w:val="22"/>
          <w:szCs w:val="22"/>
          <w:lang w:val="fr-FR"/>
        </w:rPr>
        <w:t xml:space="preserve"> ) et la campagne a été couverte d’une manière sans précédent  par les médias internationaux, également grâce à l’aide des partenaires.</w:t>
      </w:r>
    </w:p>
    <w:p w:rsidR="00FD1D89" w:rsidRPr="00722894" w:rsidRDefault="00FD1D89" w:rsidP="002932C1">
      <w:pPr>
        <w:jc w:val="both"/>
        <w:rPr>
          <w:sz w:val="22"/>
          <w:szCs w:val="22"/>
          <w:lang w:val="fr-FR"/>
        </w:rPr>
      </w:pPr>
    </w:p>
    <w:p w:rsidR="00FD1D89" w:rsidRPr="00722894" w:rsidRDefault="00FD1D89" w:rsidP="002932C1">
      <w:pPr>
        <w:jc w:val="both"/>
        <w:rPr>
          <w:b/>
          <w:bCs/>
          <w:sz w:val="22"/>
          <w:szCs w:val="22"/>
          <w:lang w:val="fr-FR"/>
        </w:rPr>
      </w:pPr>
      <w:r w:rsidRPr="00722894">
        <w:rPr>
          <w:b/>
          <w:bCs/>
          <w:sz w:val="22"/>
          <w:szCs w:val="22"/>
          <w:lang w:val="fr-FR"/>
        </w:rPr>
        <w:t xml:space="preserve">Partenariat Voie de migration pour la Conservation des oiseaux d'eau migrateurs et de leurs habitats </w:t>
      </w:r>
    </w:p>
    <w:p w:rsidR="00FD1D89" w:rsidRPr="00722894" w:rsidRDefault="00FD1D89" w:rsidP="002932C1">
      <w:pPr>
        <w:jc w:val="both"/>
        <w:rPr>
          <w:sz w:val="22"/>
          <w:szCs w:val="22"/>
          <w:lang w:val="fr-FR"/>
        </w:rPr>
      </w:pPr>
    </w:p>
    <w:p w:rsidR="00FD1D89" w:rsidRPr="00722894" w:rsidRDefault="00FD1D89" w:rsidP="002932C1">
      <w:pPr>
        <w:jc w:val="both"/>
        <w:rPr>
          <w:sz w:val="22"/>
          <w:szCs w:val="22"/>
          <w:lang w:val="fr-FR"/>
        </w:rPr>
      </w:pPr>
      <w:r w:rsidRPr="00722894">
        <w:rPr>
          <w:sz w:val="22"/>
          <w:szCs w:val="22"/>
          <w:lang w:val="fr-FR"/>
        </w:rPr>
        <w:t>2</w:t>
      </w:r>
      <w:r w:rsidR="00F65449">
        <w:rPr>
          <w:sz w:val="22"/>
          <w:szCs w:val="22"/>
          <w:lang w:val="fr-FR"/>
        </w:rPr>
        <w:t>9</w:t>
      </w:r>
      <w:r w:rsidRPr="00722894">
        <w:rPr>
          <w:sz w:val="22"/>
          <w:szCs w:val="22"/>
          <w:lang w:val="fr-FR"/>
        </w:rPr>
        <w:t>.</w:t>
      </w:r>
      <w:r w:rsidRPr="00722894">
        <w:rPr>
          <w:sz w:val="22"/>
          <w:szCs w:val="22"/>
          <w:lang w:val="fr-FR"/>
        </w:rPr>
        <w:tab/>
        <w:t xml:space="preserve">En juin 2010, les organisations partenaires du Projet WOW, à savoir </w:t>
      </w:r>
      <w:proofErr w:type="spellStart"/>
      <w:r w:rsidRPr="00722894">
        <w:rPr>
          <w:sz w:val="22"/>
          <w:szCs w:val="22"/>
          <w:lang w:val="fr-FR"/>
        </w:rPr>
        <w:t>Wetlands</w:t>
      </w:r>
      <w:proofErr w:type="spellEnd"/>
      <w:r w:rsidRPr="00722894">
        <w:rPr>
          <w:sz w:val="22"/>
          <w:szCs w:val="22"/>
          <w:lang w:val="fr-FR"/>
        </w:rPr>
        <w:t xml:space="preserve"> International, </w:t>
      </w:r>
      <w:proofErr w:type="spellStart"/>
      <w:r w:rsidRPr="00722894">
        <w:rPr>
          <w:sz w:val="22"/>
          <w:szCs w:val="22"/>
          <w:lang w:val="fr-FR"/>
        </w:rPr>
        <w:t>BirdLife</w:t>
      </w:r>
      <w:proofErr w:type="spellEnd"/>
      <w:r w:rsidRPr="00722894">
        <w:rPr>
          <w:sz w:val="22"/>
          <w:szCs w:val="22"/>
          <w:lang w:val="fr-FR"/>
        </w:rPr>
        <w:t xml:space="preserve"> International, le Secrétariat de la Convention de </w:t>
      </w:r>
      <w:proofErr w:type="spellStart"/>
      <w:r w:rsidRPr="00722894">
        <w:rPr>
          <w:sz w:val="22"/>
          <w:szCs w:val="22"/>
          <w:lang w:val="fr-FR"/>
        </w:rPr>
        <w:t>Ramsar</w:t>
      </w:r>
      <w:proofErr w:type="spellEnd"/>
      <w:r w:rsidRPr="00722894">
        <w:rPr>
          <w:sz w:val="22"/>
          <w:szCs w:val="22"/>
          <w:lang w:val="fr-FR"/>
        </w:rPr>
        <w:t xml:space="preserve"> sur les zones humides et le Secrétariat de l’AEWA ont signé un Mémorandum de coopération (</w:t>
      </w:r>
      <w:proofErr w:type="spellStart"/>
      <w:r w:rsidRPr="00722894">
        <w:rPr>
          <w:sz w:val="22"/>
          <w:szCs w:val="22"/>
          <w:lang w:val="fr-FR"/>
        </w:rPr>
        <w:t>MoC</w:t>
      </w:r>
      <w:proofErr w:type="spellEnd"/>
      <w:r w:rsidRPr="00722894">
        <w:rPr>
          <w:sz w:val="22"/>
          <w:szCs w:val="22"/>
          <w:lang w:val="fr-FR"/>
        </w:rPr>
        <w:t xml:space="preserve">) pour poursuivre le partenariat établi sous le Projet WOW. L’objet du </w:t>
      </w:r>
      <w:proofErr w:type="spellStart"/>
      <w:r w:rsidRPr="00722894">
        <w:rPr>
          <w:sz w:val="22"/>
          <w:szCs w:val="22"/>
          <w:lang w:val="fr-FR"/>
        </w:rPr>
        <w:t>MoC</w:t>
      </w:r>
      <w:proofErr w:type="spellEnd"/>
      <w:r w:rsidRPr="00722894">
        <w:rPr>
          <w:sz w:val="22"/>
          <w:szCs w:val="22"/>
          <w:lang w:val="fr-FR"/>
        </w:rPr>
        <w:t xml:space="preserve"> est de traduire les résultats du WOW en un programme de collaboration à long terme à l’échelle de la voie de migration. Toute révision de la Stratégie de communication devra s’assurer que les activités prévues dans toute future Stratégie de communication tiendront compte du travail en cours et prévu par le Partenariat Voie de migration, et notamment du travail visant à établir et à consolider les deux principaux résultats du Projet WOW, c’est-à-dire l’Outil Réseau de sites critiques (CSN) et le Kit de formation Voie de migration (FTK).</w:t>
      </w:r>
    </w:p>
    <w:p w:rsidR="00FD1D89" w:rsidRPr="00722894" w:rsidRDefault="00FD1D89" w:rsidP="002932C1">
      <w:pPr>
        <w:jc w:val="both"/>
        <w:rPr>
          <w:sz w:val="22"/>
          <w:szCs w:val="22"/>
          <w:lang w:val="fr-FR"/>
        </w:rPr>
      </w:pPr>
    </w:p>
    <w:p w:rsidR="00FD1D89" w:rsidRPr="00722894" w:rsidRDefault="00FD1D89" w:rsidP="00A449A8">
      <w:pPr>
        <w:jc w:val="both"/>
        <w:rPr>
          <w:sz w:val="22"/>
          <w:szCs w:val="22"/>
          <w:lang w:val="fr-FR"/>
        </w:rPr>
      </w:pPr>
      <w:r w:rsidRPr="00722894">
        <w:rPr>
          <w:b/>
          <w:bCs/>
          <w:sz w:val="22"/>
          <w:szCs w:val="22"/>
          <w:lang w:val="fr-FR"/>
        </w:rPr>
        <w:t>Projet de site Web de la famille de la CMS</w:t>
      </w:r>
    </w:p>
    <w:p w:rsidR="00FD1D89" w:rsidRPr="00722894" w:rsidRDefault="00FD1D89" w:rsidP="00A449A8">
      <w:pPr>
        <w:jc w:val="both"/>
        <w:rPr>
          <w:sz w:val="22"/>
          <w:szCs w:val="22"/>
          <w:lang w:val="fr-FR"/>
        </w:rPr>
      </w:pPr>
    </w:p>
    <w:p w:rsidR="00FD1D89" w:rsidRPr="00722894" w:rsidRDefault="00F65449" w:rsidP="0007677D">
      <w:pPr>
        <w:jc w:val="both"/>
        <w:rPr>
          <w:sz w:val="22"/>
          <w:szCs w:val="22"/>
          <w:lang w:val="fr-FR"/>
        </w:rPr>
      </w:pPr>
      <w:r>
        <w:rPr>
          <w:sz w:val="22"/>
          <w:szCs w:val="22"/>
          <w:lang w:val="fr-FR"/>
        </w:rPr>
        <w:t>30</w:t>
      </w:r>
      <w:r w:rsidR="00FD1D89" w:rsidRPr="00722894">
        <w:rPr>
          <w:sz w:val="22"/>
          <w:szCs w:val="22"/>
          <w:lang w:val="fr-FR"/>
        </w:rPr>
        <w:t>.</w:t>
      </w:r>
      <w:r w:rsidR="00FD1D89" w:rsidRPr="00722894">
        <w:rPr>
          <w:sz w:val="22"/>
          <w:szCs w:val="22"/>
          <w:lang w:val="fr-FR"/>
        </w:rPr>
        <w:tab/>
        <w:t xml:space="preserve">En tant que part de l’approche générale de la direction du Secrétariat de la CMS pour accroître l’efficacité et l’efficience de la famille de la CMS en tant que tout, et pour améliorer sa visibilité, ce qui est également stimulé par le processus de structure future, l’idée a été lancée de développer un site Web commun pour la famille de la CMS. L’idée a été élaborée plus avant lors de la retraite de la famille de la CMS, en mars 2011, à laquelle des membres du Secrétariat de l’AEWA ont également participé. Il a été </w:t>
      </w:r>
      <w:r w:rsidR="00FD1D89" w:rsidRPr="00722894">
        <w:rPr>
          <w:sz w:val="22"/>
          <w:szCs w:val="22"/>
          <w:lang w:val="fr-FR"/>
        </w:rPr>
        <w:lastRenderedPageBreak/>
        <w:t xml:space="preserve">convenu d’établir un groupe de travail de membres des Secrétariats basés à Bonn, dans l’objectif d’améliorer et de mieux harmoniser les sites Web de la Convention et des Accords. L’un des principaux résultats de ce processus, qui a été fortement soutenu par le Secrétariat de l’AEWA, était la reconnaissance du besoin de développer une plateforme commune basée sur le Web pour améliorer la communication sur les activités des différents Accords et de la Convention, et de montrer clairement leur relation les uns avec les autres. </w:t>
      </w:r>
    </w:p>
    <w:p w:rsidR="00FD1D89" w:rsidRPr="00722894" w:rsidRDefault="00FD1D89" w:rsidP="0007677D">
      <w:pPr>
        <w:jc w:val="both"/>
        <w:rPr>
          <w:sz w:val="22"/>
          <w:szCs w:val="22"/>
          <w:lang w:val="fr-FR"/>
        </w:rPr>
      </w:pPr>
    </w:p>
    <w:p w:rsidR="00FD1D89" w:rsidRPr="00722894" w:rsidRDefault="00FD1D89" w:rsidP="0007677D">
      <w:pPr>
        <w:jc w:val="both"/>
        <w:rPr>
          <w:sz w:val="22"/>
          <w:szCs w:val="22"/>
          <w:lang w:val="fr-FR"/>
        </w:rPr>
      </w:pPr>
      <w:r w:rsidRPr="00722894">
        <w:rPr>
          <w:sz w:val="22"/>
          <w:szCs w:val="22"/>
          <w:lang w:val="fr-FR"/>
        </w:rPr>
        <w:t>3</w:t>
      </w:r>
      <w:r w:rsidR="00F65449">
        <w:rPr>
          <w:sz w:val="22"/>
          <w:szCs w:val="22"/>
          <w:lang w:val="fr-FR"/>
        </w:rPr>
        <w:t>1</w:t>
      </w:r>
      <w:r w:rsidRPr="00722894">
        <w:rPr>
          <w:sz w:val="22"/>
          <w:szCs w:val="22"/>
          <w:lang w:val="fr-FR"/>
        </w:rPr>
        <w:t>.</w:t>
      </w:r>
      <w:r w:rsidRPr="00722894">
        <w:rPr>
          <w:sz w:val="22"/>
          <w:szCs w:val="22"/>
          <w:lang w:val="fr-FR"/>
        </w:rPr>
        <w:tab/>
        <w:t>Sous réserve de pouvoir en assurer le financement, la mise en œuvre de ce projet ambitieux demandera des inputs et temps considérables de la part de l’équipe de communications du Secrétariat. Toute révision de la Stratégie de communication devra donc prendre en considération le développement du nouveau site Web de la famille de la CMS et examiner tant les opportunités offertes que les conséquences</w:t>
      </w:r>
      <w:r>
        <w:rPr>
          <w:sz w:val="22"/>
          <w:szCs w:val="22"/>
          <w:lang w:val="fr-FR"/>
        </w:rPr>
        <w:t xml:space="preserve"> qui en découlent</w:t>
      </w:r>
      <w:r w:rsidRPr="00722894">
        <w:rPr>
          <w:sz w:val="22"/>
          <w:szCs w:val="22"/>
          <w:lang w:val="fr-FR"/>
        </w:rPr>
        <w:t>.</w:t>
      </w:r>
    </w:p>
    <w:p w:rsidR="00FD1D89" w:rsidRPr="00722894" w:rsidRDefault="00FD1D89" w:rsidP="00A449A8">
      <w:pPr>
        <w:jc w:val="both"/>
        <w:rPr>
          <w:sz w:val="22"/>
          <w:szCs w:val="22"/>
          <w:lang w:val="fr-FR"/>
        </w:rPr>
      </w:pPr>
    </w:p>
    <w:p w:rsidR="00FD1D89" w:rsidRPr="00722894" w:rsidRDefault="00FD1D89" w:rsidP="00A449A8">
      <w:pPr>
        <w:jc w:val="both"/>
        <w:rPr>
          <w:b/>
          <w:bCs/>
          <w:sz w:val="22"/>
          <w:szCs w:val="22"/>
          <w:lang w:val="fr-FR"/>
        </w:rPr>
      </w:pPr>
      <w:r w:rsidRPr="00722894">
        <w:rPr>
          <w:b/>
          <w:bCs/>
          <w:sz w:val="22"/>
          <w:szCs w:val="22"/>
          <w:lang w:val="fr-FR"/>
        </w:rPr>
        <w:t>Coopération renforcée avec d’autres AEM sur la communication, l’éducation et la sensibilisation du public (CEPA)</w:t>
      </w:r>
    </w:p>
    <w:p w:rsidR="00FD1D89" w:rsidRPr="00722894" w:rsidRDefault="00FD1D89" w:rsidP="00A449A8">
      <w:pPr>
        <w:jc w:val="both"/>
        <w:rPr>
          <w:sz w:val="22"/>
          <w:szCs w:val="22"/>
          <w:lang w:val="fr-FR"/>
        </w:rPr>
      </w:pPr>
    </w:p>
    <w:p w:rsidR="00FD1D89" w:rsidRPr="00722894" w:rsidRDefault="00FD1D89" w:rsidP="00A449A8">
      <w:pPr>
        <w:jc w:val="both"/>
        <w:rPr>
          <w:sz w:val="22"/>
          <w:szCs w:val="22"/>
          <w:lang w:val="fr-FR"/>
        </w:rPr>
      </w:pPr>
      <w:r w:rsidRPr="00722894">
        <w:rPr>
          <w:sz w:val="22"/>
          <w:szCs w:val="22"/>
          <w:lang w:val="fr-FR"/>
        </w:rPr>
        <w:t>3</w:t>
      </w:r>
      <w:r w:rsidR="00F65449">
        <w:rPr>
          <w:sz w:val="22"/>
          <w:szCs w:val="22"/>
          <w:lang w:val="fr-FR"/>
        </w:rPr>
        <w:t>2</w:t>
      </w:r>
      <w:r w:rsidRPr="00722894">
        <w:rPr>
          <w:sz w:val="22"/>
          <w:szCs w:val="22"/>
          <w:lang w:val="fr-FR"/>
        </w:rPr>
        <w:t>.</w:t>
      </w:r>
      <w:r w:rsidRPr="00722894">
        <w:rPr>
          <w:sz w:val="22"/>
          <w:szCs w:val="22"/>
          <w:lang w:val="fr-FR"/>
        </w:rPr>
        <w:tab/>
        <w:t xml:space="preserve">Dernier point mais non des moindres, une future révision de la Stratégie de communication devra également examiner attentivement les autres programmes internationaux CEPA existants et les autres Stratégies de communication actuellement mises en œuvre dans le cadre d’autres  accords environnementaux multilatéraux (AEM). En d’autres termes, les futures activités de communication </w:t>
      </w:r>
      <w:r>
        <w:rPr>
          <w:sz w:val="22"/>
          <w:szCs w:val="22"/>
          <w:lang w:val="fr-FR"/>
        </w:rPr>
        <w:t>e</w:t>
      </w:r>
      <w:r w:rsidRPr="00722894">
        <w:rPr>
          <w:sz w:val="22"/>
          <w:szCs w:val="22"/>
          <w:lang w:val="fr-FR"/>
        </w:rPr>
        <w:t>t</w:t>
      </w:r>
      <w:r>
        <w:rPr>
          <w:sz w:val="22"/>
          <w:szCs w:val="22"/>
          <w:lang w:val="fr-FR"/>
        </w:rPr>
        <w:t xml:space="preserve"> de</w:t>
      </w:r>
      <w:r w:rsidRPr="00722894">
        <w:rPr>
          <w:sz w:val="22"/>
          <w:szCs w:val="22"/>
          <w:lang w:val="fr-FR"/>
        </w:rPr>
        <w:t xml:space="preserve"> CEPA </w:t>
      </w:r>
      <w:r>
        <w:rPr>
          <w:sz w:val="22"/>
          <w:szCs w:val="22"/>
          <w:lang w:val="fr-FR"/>
        </w:rPr>
        <w:t xml:space="preserve">de l’AEWA </w:t>
      </w:r>
      <w:r w:rsidRPr="00722894">
        <w:rPr>
          <w:sz w:val="22"/>
          <w:szCs w:val="22"/>
          <w:lang w:val="fr-FR"/>
        </w:rPr>
        <w:t xml:space="preserve">ne devront pas être planifiées indépendamment les unes des autres, mais devront développer ce que d’autres AEM, et notamment celles liées à la biodiversité (par exemple la CBD, CITES, la CMS, la Convention de </w:t>
      </w:r>
      <w:proofErr w:type="spellStart"/>
      <w:r w:rsidRPr="00722894">
        <w:rPr>
          <w:sz w:val="22"/>
          <w:szCs w:val="22"/>
          <w:lang w:val="fr-FR"/>
        </w:rPr>
        <w:t>Ramsar</w:t>
      </w:r>
      <w:proofErr w:type="spellEnd"/>
      <w:r w:rsidRPr="00722894">
        <w:rPr>
          <w:sz w:val="22"/>
          <w:szCs w:val="22"/>
          <w:lang w:val="fr-FR"/>
        </w:rPr>
        <w:t xml:space="preserve"> sur les zones humides) ont fait pour établir et mettre en œuvre leurs activités et programmes CEPA individuels. Il existe déjà une expérience considérable dans le domaine de</w:t>
      </w:r>
      <w:r>
        <w:rPr>
          <w:sz w:val="22"/>
          <w:szCs w:val="22"/>
          <w:lang w:val="fr-FR"/>
        </w:rPr>
        <w:t xml:space="preserve"> la</w:t>
      </w:r>
      <w:r w:rsidRPr="00722894">
        <w:rPr>
          <w:sz w:val="22"/>
          <w:szCs w:val="22"/>
          <w:lang w:val="fr-FR"/>
        </w:rPr>
        <w:t xml:space="preserve"> CEPA et toute révision de la Stratégie de communication devra l’exploiter et permettre à l’AEWA de s’appuyer sur ce</w:t>
      </w:r>
      <w:r>
        <w:rPr>
          <w:sz w:val="22"/>
          <w:szCs w:val="22"/>
          <w:lang w:val="fr-FR"/>
        </w:rPr>
        <w:t>tte expérience</w:t>
      </w:r>
      <w:r w:rsidRPr="00722894">
        <w:rPr>
          <w:sz w:val="22"/>
          <w:szCs w:val="22"/>
          <w:lang w:val="fr-FR"/>
        </w:rPr>
        <w:t>, de coopérer et de s’y r</w:t>
      </w:r>
      <w:r>
        <w:rPr>
          <w:sz w:val="22"/>
          <w:szCs w:val="22"/>
          <w:lang w:val="fr-FR"/>
        </w:rPr>
        <w:t>apporter</w:t>
      </w:r>
      <w:r w:rsidRPr="00722894">
        <w:rPr>
          <w:sz w:val="22"/>
          <w:szCs w:val="22"/>
          <w:lang w:val="fr-FR"/>
        </w:rPr>
        <w:t>.</w:t>
      </w:r>
    </w:p>
    <w:p w:rsidR="00FD1D89" w:rsidRPr="00722894" w:rsidRDefault="00FD1D89" w:rsidP="00A449A8">
      <w:pPr>
        <w:jc w:val="both"/>
        <w:rPr>
          <w:sz w:val="22"/>
          <w:szCs w:val="22"/>
          <w:lang w:val="fr-FR"/>
        </w:rPr>
      </w:pPr>
    </w:p>
    <w:p w:rsidR="00FD1D89" w:rsidRPr="00722894" w:rsidRDefault="00FD1D89">
      <w:pPr>
        <w:rPr>
          <w:sz w:val="22"/>
          <w:szCs w:val="22"/>
          <w:lang w:val="fr-FR"/>
        </w:rPr>
      </w:pPr>
    </w:p>
    <w:p w:rsidR="00FD1D89" w:rsidRPr="00722894" w:rsidRDefault="00FD1D89" w:rsidP="00BE7D81">
      <w:pPr>
        <w:jc w:val="both"/>
        <w:rPr>
          <w:b/>
          <w:bCs/>
          <w:lang w:val="fr-FR"/>
        </w:rPr>
      </w:pPr>
      <w:r w:rsidRPr="00722894">
        <w:rPr>
          <w:b/>
          <w:bCs/>
          <w:lang w:val="fr-FR"/>
        </w:rPr>
        <w:t>5. Conclusion et recommandations</w:t>
      </w:r>
    </w:p>
    <w:p w:rsidR="00FD1D89" w:rsidRPr="00722894" w:rsidRDefault="00FD1D89" w:rsidP="00A449A8">
      <w:pPr>
        <w:jc w:val="both"/>
        <w:rPr>
          <w:sz w:val="22"/>
          <w:szCs w:val="22"/>
          <w:lang w:val="fr-FR"/>
        </w:rPr>
      </w:pPr>
    </w:p>
    <w:p w:rsidR="00FD1D89" w:rsidRPr="00722894" w:rsidRDefault="00FD1D89" w:rsidP="00A449A8">
      <w:pPr>
        <w:jc w:val="both"/>
        <w:rPr>
          <w:sz w:val="22"/>
          <w:szCs w:val="22"/>
          <w:lang w:val="fr-FR"/>
        </w:rPr>
      </w:pPr>
      <w:r w:rsidRPr="00722894">
        <w:rPr>
          <w:sz w:val="22"/>
          <w:szCs w:val="22"/>
          <w:lang w:val="fr-FR"/>
        </w:rPr>
        <w:t>3</w:t>
      </w:r>
      <w:r w:rsidR="00F65449">
        <w:rPr>
          <w:sz w:val="22"/>
          <w:szCs w:val="22"/>
          <w:lang w:val="fr-FR"/>
        </w:rPr>
        <w:t>3</w:t>
      </w:r>
      <w:r w:rsidRPr="00722894">
        <w:rPr>
          <w:sz w:val="22"/>
          <w:szCs w:val="22"/>
          <w:lang w:val="fr-FR"/>
        </w:rPr>
        <w:t>.</w:t>
      </w:r>
      <w:r w:rsidRPr="00722894">
        <w:rPr>
          <w:sz w:val="22"/>
          <w:szCs w:val="22"/>
          <w:lang w:val="fr-FR"/>
        </w:rPr>
        <w:tab/>
        <w:t>Tenant compte du stade de mise en œuvre du Plan d'action pour la communication 2006 – 2009 et des autres développement</w:t>
      </w:r>
      <w:r>
        <w:rPr>
          <w:sz w:val="22"/>
          <w:szCs w:val="22"/>
          <w:lang w:val="fr-FR"/>
        </w:rPr>
        <w:t>s</w:t>
      </w:r>
      <w:r w:rsidRPr="00722894">
        <w:rPr>
          <w:sz w:val="22"/>
          <w:szCs w:val="22"/>
          <w:lang w:val="fr-FR"/>
        </w:rPr>
        <w:t xml:space="preserve"> importants depuis la MOP3, où la Stratégie de communication a été adoptée, le Secrétariat désire recommander qu’un processus de révision coordonné de la Stratégie de communication existante soit </w:t>
      </w:r>
      <w:r>
        <w:rPr>
          <w:sz w:val="22"/>
          <w:szCs w:val="22"/>
          <w:lang w:val="fr-FR"/>
        </w:rPr>
        <w:t>démarr</w:t>
      </w:r>
      <w:r w:rsidRPr="00722894">
        <w:rPr>
          <w:sz w:val="22"/>
          <w:szCs w:val="22"/>
          <w:lang w:val="fr-FR"/>
        </w:rPr>
        <w:t>é à la MOP5. À cet effet, le Secrétariat soumet à cette réunion un avant-projet de résolution sur la « </w:t>
      </w:r>
      <w:r w:rsidRPr="00722894">
        <w:rPr>
          <w:i/>
          <w:sz w:val="22"/>
          <w:szCs w:val="22"/>
          <w:lang w:val="fr-FR"/>
        </w:rPr>
        <w:t xml:space="preserve">Mise en œuvre et révision </w:t>
      </w:r>
      <w:r w:rsidRPr="00722894">
        <w:rPr>
          <w:i/>
          <w:iCs/>
          <w:sz w:val="22"/>
          <w:szCs w:val="22"/>
          <w:lang w:val="fr-FR"/>
        </w:rPr>
        <w:t>de la Stratégie de communication</w:t>
      </w:r>
      <w:r w:rsidRPr="00722894">
        <w:rPr>
          <w:iCs/>
          <w:sz w:val="22"/>
          <w:szCs w:val="22"/>
          <w:lang w:val="fr-FR"/>
        </w:rPr>
        <w:t> »</w:t>
      </w:r>
      <w:r w:rsidRPr="00722894">
        <w:rPr>
          <w:sz w:val="22"/>
          <w:szCs w:val="22"/>
          <w:lang w:val="fr-FR"/>
        </w:rPr>
        <w:t>, avec la demande de l</w:t>
      </w:r>
      <w:r>
        <w:rPr>
          <w:sz w:val="22"/>
          <w:szCs w:val="22"/>
          <w:lang w:val="fr-FR"/>
        </w:rPr>
        <w:t>’étudier</w:t>
      </w:r>
      <w:r w:rsidRPr="00722894">
        <w:rPr>
          <w:sz w:val="22"/>
          <w:szCs w:val="22"/>
          <w:lang w:val="fr-FR"/>
        </w:rPr>
        <w:t xml:space="preserve"> et d’approuver sa transmission à la MOP5 pour examen</w:t>
      </w:r>
      <w:r w:rsidRPr="00722894">
        <w:rPr>
          <w:i/>
          <w:iCs/>
          <w:sz w:val="22"/>
          <w:szCs w:val="22"/>
          <w:lang w:val="fr-FR"/>
        </w:rPr>
        <w:t xml:space="preserve"> </w:t>
      </w:r>
      <w:r>
        <w:rPr>
          <w:i/>
          <w:iCs/>
          <w:sz w:val="22"/>
          <w:szCs w:val="22"/>
          <w:lang w:val="fr-FR"/>
        </w:rPr>
        <w:t>(</w:t>
      </w:r>
      <w:r>
        <w:rPr>
          <w:iCs/>
          <w:sz w:val="22"/>
          <w:szCs w:val="22"/>
          <w:lang w:val="fr-FR"/>
        </w:rPr>
        <w:t>AEWA/MOP5 DR5)</w:t>
      </w:r>
      <w:r w:rsidRPr="00722894">
        <w:rPr>
          <w:sz w:val="22"/>
          <w:szCs w:val="22"/>
          <w:lang w:val="fr-FR"/>
        </w:rPr>
        <w:t xml:space="preserve">. </w:t>
      </w:r>
    </w:p>
    <w:p w:rsidR="00FD1D89" w:rsidRPr="00722894" w:rsidRDefault="00FD1D89" w:rsidP="00A449A8">
      <w:pPr>
        <w:jc w:val="both"/>
        <w:rPr>
          <w:sz w:val="22"/>
          <w:szCs w:val="22"/>
          <w:lang w:val="fr-FR"/>
        </w:rPr>
      </w:pPr>
    </w:p>
    <w:p w:rsidR="00FD1D89" w:rsidRPr="002C3717" w:rsidRDefault="00FD1D89" w:rsidP="002C3717">
      <w:pPr>
        <w:rPr>
          <w:lang w:val="fr-FR"/>
        </w:rPr>
      </w:pPr>
      <w:r w:rsidRPr="00722894">
        <w:rPr>
          <w:sz w:val="22"/>
          <w:szCs w:val="22"/>
          <w:lang w:val="fr-FR"/>
        </w:rPr>
        <w:t>3</w:t>
      </w:r>
      <w:r w:rsidR="00F65449">
        <w:rPr>
          <w:sz w:val="22"/>
          <w:szCs w:val="22"/>
          <w:lang w:val="fr-FR"/>
        </w:rPr>
        <w:t>4</w:t>
      </w:r>
      <w:r w:rsidRPr="00722894">
        <w:rPr>
          <w:sz w:val="22"/>
          <w:szCs w:val="22"/>
          <w:lang w:val="fr-FR"/>
        </w:rPr>
        <w:t>.</w:t>
      </w:r>
      <w:r w:rsidRPr="00722894">
        <w:rPr>
          <w:sz w:val="22"/>
          <w:szCs w:val="22"/>
          <w:lang w:val="fr-FR"/>
        </w:rPr>
        <w:tab/>
        <w:t>L’objectif de la révision sera d’aligner la Stratégie sur les objectifs et activités du Plan stratégique 2009 – 2017 tel qu’adopté par la Résolution 4.7, et le Plan d’action pour l’Afrique si adopté</w:t>
      </w:r>
      <w:r w:rsidR="002C3717" w:rsidRPr="002C3717">
        <w:rPr>
          <w:sz w:val="22"/>
          <w:szCs w:val="22"/>
          <w:lang w:val="fr-FR"/>
        </w:rPr>
        <w:t xml:space="preserve"> </w:t>
      </w:r>
      <w:r w:rsidR="002C3717">
        <w:rPr>
          <w:sz w:val="22"/>
          <w:szCs w:val="22"/>
          <w:lang w:val="fr-FR"/>
        </w:rPr>
        <w:t>dans le cadre de l’avant- projet de Résolution</w:t>
      </w:r>
      <w:r w:rsidR="002C3717" w:rsidRPr="002C3717">
        <w:rPr>
          <w:sz w:val="22"/>
          <w:szCs w:val="22"/>
          <w:lang w:val="fr-FR"/>
        </w:rPr>
        <w:t xml:space="preserve"> AEWA/MOP5 DR9</w:t>
      </w:r>
      <w:r w:rsidR="002C3717">
        <w:rPr>
          <w:rStyle w:val="FootnoteReference"/>
          <w:sz w:val="22"/>
          <w:szCs w:val="22"/>
          <w:lang w:val="en-GB"/>
        </w:rPr>
        <w:footnoteReference w:id="1"/>
      </w:r>
      <w:r w:rsidRPr="00722894">
        <w:rPr>
          <w:sz w:val="22"/>
          <w:szCs w:val="22"/>
          <w:lang w:val="fr-FR"/>
        </w:rPr>
        <w:t>, et d’intégrer et tirer plein</w:t>
      </w:r>
      <w:r>
        <w:rPr>
          <w:sz w:val="22"/>
          <w:szCs w:val="22"/>
          <w:lang w:val="fr-FR"/>
        </w:rPr>
        <w:t>ement</w:t>
      </w:r>
      <w:r w:rsidRPr="00722894">
        <w:rPr>
          <w:sz w:val="22"/>
          <w:szCs w:val="22"/>
          <w:lang w:val="fr-FR"/>
        </w:rPr>
        <w:t xml:space="preserve"> avantage des initiatives et outils existants tels que la campagne de la Journée Mondiale des Oiseaux Migrateurs (JMOM) et des résultats du Projet </w:t>
      </w:r>
      <w:proofErr w:type="spellStart"/>
      <w:r w:rsidRPr="00722894">
        <w:rPr>
          <w:sz w:val="22"/>
          <w:szCs w:val="22"/>
          <w:lang w:val="fr-FR"/>
        </w:rPr>
        <w:t>Wings</w:t>
      </w:r>
      <w:proofErr w:type="spellEnd"/>
      <w:r w:rsidRPr="00722894">
        <w:rPr>
          <w:sz w:val="22"/>
          <w:szCs w:val="22"/>
          <w:lang w:val="fr-FR"/>
        </w:rPr>
        <w:t xml:space="preserve"> Over </w:t>
      </w:r>
      <w:proofErr w:type="spellStart"/>
      <w:r w:rsidRPr="00722894">
        <w:rPr>
          <w:sz w:val="22"/>
          <w:szCs w:val="22"/>
          <w:lang w:val="fr-FR"/>
        </w:rPr>
        <w:t>Wetlands</w:t>
      </w:r>
      <w:proofErr w:type="spellEnd"/>
      <w:r w:rsidRPr="00722894">
        <w:rPr>
          <w:sz w:val="22"/>
          <w:szCs w:val="22"/>
          <w:lang w:val="fr-FR"/>
        </w:rPr>
        <w:t xml:space="preserve"> (WOW) du PNUE-FEM sur les voies de migration d'Afrique-Eurasie.</w:t>
      </w:r>
    </w:p>
    <w:p w:rsidR="00FD1D89" w:rsidRPr="00722894" w:rsidRDefault="00FD1D89" w:rsidP="00A449A8">
      <w:pPr>
        <w:jc w:val="both"/>
        <w:rPr>
          <w:sz w:val="22"/>
          <w:szCs w:val="22"/>
          <w:lang w:val="fr-FR"/>
        </w:rPr>
      </w:pPr>
    </w:p>
    <w:p w:rsidR="00FD1D89" w:rsidRPr="00722894" w:rsidRDefault="00FD1D89" w:rsidP="00A449A8">
      <w:pPr>
        <w:jc w:val="both"/>
        <w:rPr>
          <w:sz w:val="22"/>
          <w:szCs w:val="22"/>
          <w:lang w:val="fr-FR"/>
        </w:rPr>
      </w:pPr>
      <w:r w:rsidRPr="00722894">
        <w:rPr>
          <w:sz w:val="22"/>
          <w:szCs w:val="22"/>
          <w:lang w:val="fr-FR"/>
        </w:rPr>
        <w:t>3</w:t>
      </w:r>
      <w:r w:rsidR="00F65449">
        <w:rPr>
          <w:sz w:val="22"/>
          <w:szCs w:val="22"/>
          <w:lang w:val="fr-FR"/>
        </w:rPr>
        <w:t>5</w:t>
      </w:r>
      <w:r w:rsidRPr="00722894">
        <w:rPr>
          <w:sz w:val="22"/>
          <w:szCs w:val="22"/>
          <w:lang w:val="fr-FR"/>
        </w:rPr>
        <w:t>.</w:t>
      </w:r>
      <w:r w:rsidRPr="00722894">
        <w:rPr>
          <w:sz w:val="22"/>
          <w:szCs w:val="22"/>
          <w:lang w:val="fr-FR"/>
        </w:rPr>
        <w:tab/>
        <w:t>En outre, le Secrétariat a le sentiment que la future mise en œuvre de la Stratégie de communication ainsi que sa révision pourraient être mieux soutenues, par le biais de l’établissement d’un groupe d’experts de</w:t>
      </w:r>
      <w:r>
        <w:rPr>
          <w:sz w:val="22"/>
          <w:szCs w:val="22"/>
          <w:lang w:val="fr-FR"/>
        </w:rPr>
        <w:t xml:space="preserve"> la</w:t>
      </w:r>
      <w:r w:rsidRPr="00722894">
        <w:rPr>
          <w:sz w:val="22"/>
          <w:szCs w:val="22"/>
          <w:lang w:val="fr-FR"/>
        </w:rPr>
        <w:t xml:space="preserve"> CEPA au sein du Comité technique, la nomination de correspondants nationaux CEPA et davantage de fonds spécifiquement réservés à la mise en œuvre de la Stratégie de communication.</w:t>
      </w:r>
    </w:p>
    <w:p w:rsidR="00FD1D89" w:rsidRPr="00722894" w:rsidRDefault="00FD1D89" w:rsidP="00A449A8">
      <w:pPr>
        <w:jc w:val="both"/>
        <w:rPr>
          <w:sz w:val="22"/>
          <w:szCs w:val="22"/>
          <w:lang w:val="fr-FR"/>
        </w:rPr>
      </w:pPr>
    </w:p>
    <w:p w:rsidR="00FD1D89" w:rsidRPr="00722894" w:rsidRDefault="00FD1D89" w:rsidP="00FA6D32">
      <w:pPr>
        <w:jc w:val="both"/>
        <w:rPr>
          <w:sz w:val="22"/>
          <w:szCs w:val="22"/>
          <w:lang w:val="fr-FR"/>
        </w:rPr>
      </w:pPr>
    </w:p>
    <w:p w:rsidR="0057410D" w:rsidRDefault="0057410D">
      <w:pPr>
        <w:rPr>
          <w:b/>
          <w:bCs/>
          <w:szCs w:val="22"/>
          <w:lang w:val="fr-FR"/>
        </w:rPr>
      </w:pPr>
      <w:r>
        <w:rPr>
          <w:b/>
          <w:bCs/>
          <w:szCs w:val="22"/>
          <w:lang w:val="fr-FR"/>
        </w:rPr>
        <w:br w:type="page"/>
      </w:r>
    </w:p>
    <w:p w:rsidR="00FD1D89" w:rsidRPr="00722894" w:rsidRDefault="00FD1D89" w:rsidP="00D83D84">
      <w:pPr>
        <w:jc w:val="both"/>
        <w:rPr>
          <w:b/>
          <w:bCs/>
          <w:szCs w:val="22"/>
          <w:lang w:val="fr-FR"/>
        </w:rPr>
      </w:pPr>
      <w:r w:rsidRPr="00722894">
        <w:rPr>
          <w:b/>
          <w:bCs/>
          <w:szCs w:val="22"/>
          <w:lang w:val="fr-FR"/>
        </w:rPr>
        <w:lastRenderedPageBreak/>
        <w:t xml:space="preserve">Actions requises </w:t>
      </w:r>
      <w:r>
        <w:rPr>
          <w:b/>
          <w:bCs/>
          <w:szCs w:val="22"/>
          <w:lang w:val="fr-FR"/>
        </w:rPr>
        <w:t>de la Réunion des Parties</w:t>
      </w:r>
      <w:r w:rsidRPr="00722894">
        <w:rPr>
          <w:b/>
          <w:bCs/>
          <w:szCs w:val="22"/>
          <w:lang w:val="fr-FR"/>
        </w:rPr>
        <w:t xml:space="preserve"> : </w:t>
      </w:r>
    </w:p>
    <w:p w:rsidR="00FD1D89" w:rsidRPr="00722894" w:rsidRDefault="00FD1D89" w:rsidP="00D83D84">
      <w:pPr>
        <w:jc w:val="both"/>
        <w:rPr>
          <w:b/>
          <w:bCs/>
          <w:sz w:val="22"/>
          <w:szCs w:val="22"/>
          <w:lang w:val="fr-FR"/>
        </w:rPr>
      </w:pPr>
    </w:p>
    <w:p w:rsidR="00FD1D89" w:rsidRPr="00722894" w:rsidRDefault="00FD1D89" w:rsidP="00D83D84">
      <w:pPr>
        <w:jc w:val="both"/>
        <w:rPr>
          <w:sz w:val="22"/>
          <w:szCs w:val="22"/>
          <w:lang w:val="fr-FR"/>
        </w:rPr>
      </w:pPr>
    </w:p>
    <w:p w:rsidR="00FD1D89" w:rsidRPr="00722894" w:rsidRDefault="00FD1D89" w:rsidP="00D83D84">
      <w:pPr>
        <w:jc w:val="both"/>
        <w:rPr>
          <w:sz w:val="22"/>
          <w:szCs w:val="22"/>
          <w:lang w:val="fr-FR"/>
        </w:rPr>
      </w:pPr>
      <w:r w:rsidRPr="00722894">
        <w:rPr>
          <w:sz w:val="22"/>
          <w:szCs w:val="22"/>
          <w:lang w:val="fr-FR"/>
        </w:rPr>
        <w:t>1.</w:t>
      </w:r>
      <w:r w:rsidRPr="00722894">
        <w:rPr>
          <w:sz w:val="22"/>
          <w:szCs w:val="22"/>
          <w:lang w:val="fr-FR"/>
        </w:rPr>
        <w:tab/>
        <w:t>Prendre note de ce rapport et des progrès réalisés dans la mise en œuvre de la Stratégie de communication.</w:t>
      </w:r>
    </w:p>
    <w:p w:rsidR="00FD1D89" w:rsidRPr="00722894" w:rsidRDefault="00FD1D89" w:rsidP="00D83D84">
      <w:pPr>
        <w:jc w:val="both"/>
        <w:rPr>
          <w:sz w:val="22"/>
          <w:szCs w:val="22"/>
          <w:lang w:val="fr-FR"/>
        </w:rPr>
      </w:pPr>
    </w:p>
    <w:p w:rsidR="00FD1D89" w:rsidRPr="00722894" w:rsidRDefault="00FD1D89" w:rsidP="00D83D84">
      <w:pPr>
        <w:jc w:val="both"/>
        <w:rPr>
          <w:sz w:val="22"/>
          <w:szCs w:val="22"/>
          <w:lang w:val="fr-FR"/>
        </w:rPr>
      </w:pPr>
      <w:r w:rsidRPr="00722894">
        <w:rPr>
          <w:sz w:val="22"/>
          <w:szCs w:val="22"/>
          <w:lang w:val="fr-FR"/>
        </w:rPr>
        <w:t>2.</w:t>
      </w:r>
      <w:r w:rsidRPr="00722894">
        <w:rPr>
          <w:sz w:val="22"/>
          <w:szCs w:val="22"/>
          <w:lang w:val="fr-FR"/>
        </w:rPr>
        <w:tab/>
      </w:r>
      <w:r>
        <w:rPr>
          <w:sz w:val="22"/>
          <w:szCs w:val="22"/>
          <w:lang w:val="fr-FR"/>
        </w:rPr>
        <w:t>Examiner</w:t>
      </w:r>
      <w:r w:rsidRPr="00722894">
        <w:rPr>
          <w:sz w:val="22"/>
          <w:szCs w:val="22"/>
          <w:lang w:val="fr-FR"/>
        </w:rPr>
        <w:t xml:space="preserve"> </w:t>
      </w:r>
      <w:r>
        <w:rPr>
          <w:sz w:val="22"/>
          <w:szCs w:val="22"/>
          <w:lang w:val="fr-FR"/>
        </w:rPr>
        <w:t xml:space="preserve">et adopter </w:t>
      </w:r>
      <w:r w:rsidRPr="00722894">
        <w:rPr>
          <w:sz w:val="22"/>
          <w:szCs w:val="22"/>
          <w:lang w:val="fr-FR"/>
        </w:rPr>
        <w:t>l’avant-projet de Résolution sur la  « </w:t>
      </w:r>
      <w:r w:rsidRPr="00722894">
        <w:rPr>
          <w:i/>
          <w:iCs/>
          <w:sz w:val="22"/>
          <w:szCs w:val="22"/>
          <w:lang w:val="fr-FR"/>
        </w:rPr>
        <w:t>Mise en œuvre et révision de la Stratégie de communication</w:t>
      </w:r>
      <w:r w:rsidRPr="00722894">
        <w:rPr>
          <w:sz w:val="22"/>
          <w:szCs w:val="22"/>
          <w:lang w:val="fr-FR"/>
        </w:rPr>
        <w:t xml:space="preserve"> » (Doc. </w:t>
      </w:r>
      <w:r>
        <w:rPr>
          <w:sz w:val="22"/>
          <w:szCs w:val="22"/>
          <w:lang w:val="fr-FR"/>
        </w:rPr>
        <w:t>AEWA/MOP5 DR5)</w:t>
      </w:r>
      <w:r w:rsidRPr="00722894">
        <w:rPr>
          <w:sz w:val="22"/>
          <w:szCs w:val="22"/>
          <w:lang w:val="fr-FR"/>
        </w:rPr>
        <w:t>.</w:t>
      </w:r>
    </w:p>
    <w:p w:rsidR="00FD1D89" w:rsidRPr="00722894" w:rsidRDefault="00FD1D89" w:rsidP="00D83D84">
      <w:pPr>
        <w:jc w:val="both"/>
        <w:rPr>
          <w:sz w:val="22"/>
          <w:szCs w:val="22"/>
          <w:lang w:val="fr-FR"/>
        </w:rPr>
      </w:pPr>
      <w:r w:rsidRPr="00722894">
        <w:rPr>
          <w:sz w:val="22"/>
          <w:szCs w:val="22"/>
          <w:lang w:val="fr-FR"/>
        </w:rPr>
        <w:tab/>
      </w:r>
    </w:p>
    <w:p w:rsidR="00FD1D89" w:rsidRPr="00722894" w:rsidRDefault="00FD1D89" w:rsidP="00FA6D32">
      <w:pPr>
        <w:jc w:val="both"/>
        <w:rPr>
          <w:b/>
          <w:bCs/>
          <w:sz w:val="28"/>
          <w:szCs w:val="28"/>
          <w:lang w:val="fr-FR"/>
        </w:rPr>
      </w:pPr>
    </w:p>
    <w:p w:rsidR="00FD1D89" w:rsidRPr="00722894" w:rsidRDefault="00FD1D89" w:rsidP="00FA6D32">
      <w:pPr>
        <w:jc w:val="both"/>
        <w:rPr>
          <w:b/>
          <w:bCs/>
          <w:sz w:val="28"/>
          <w:szCs w:val="28"/>
          <w:lang w:val="fr-FR"/>
        </w:rPr>
      </w:pPr>
    </w:p>
    <w:p w:rsidR="00FD1D89" w:rsidRPr="00722894" w:rsidRDefault="00FD1D89" w:rsidP="00FA6D32">
      <w:pPr>
        <w:rPr>
          <w:b/>
          <w:bCs/>
          <w:sz w:val="28"/>
          <w:szCs w:val="28"/>
          <w:lang w:val="fr-FR"/>
        </w:rPr>
      </w:pPr>
    </w:p>
    <w:p w:rsidR="00FD1D89" w:rsidRPr="00722894" w:rsidRDefault="00FD1D89" w:rsidP="00FA6D32">
      <w:pPr>
        <w:rPr>
          <w:b/>
          <w:bCs/>
          <w:sz w:val="28"/>
          <w:szCs w:val="28"/>
          <w:lang w:val="fr-FR"/>
        </w:rPr>
      </w:pPr>
    </w:p>
    <w:sectPr w:rsidR="00FD1D89" w:rsidRPr="00722894" w:rsidSect="00214355">
      <w:pgSz w:w="11907" w:h="16840" w:code="9"/>
      <w:pgMar w:top="1701" w:right="1134" w:bottom="1440" w:left="1134"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10D" w:rsidRDefault="0057410D">
      <w:r>
        <w:separator/>
      </w:r>
    </w:p>
  </w:endnote>
  <w:endnote w:type="continuationSeparator" w:id="0">
    <w:p w:rsidR="0057410D" w:rsidRDefault="0057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10D" w:rsidRPr="00205D96" w:rsidRDefault="0057410D">
    <w:pPr>
      <w:pStyle w:val="Footer"/>
      <w:jc w:val="center"/>
      <w:rPr>
        <w:sz w:val="20"/>
        <w:szCs w:val="20"/>
      </w:rPr>
    </w:pPr>
    <w:r w:rsidRPr="00205D96">
      <w:rPr>
        <w:sz w:val="20"/>
        <w:szCs w:val="20"/>
      </w:rPr>
      <w:fldChar w:fldCharType="begin"/>
    </w:r>
    <w:r w:rsidRPr="00205D96">
      <w:rPr>
        <w:sz w:val="20"/>
        <w:szCs w:val="20"/>
      </w:rPr>
      <w:instrText xml:space="preserve"> PAGE   \* MERGEFORMAT </w:instrText>
    </w:r>
    <w:r w:rsidRPr="00205D96">
      <w:rPr>
        <w:sz w:val="20"/>
        <w:szCs w:val="20"/>
      </w:rPr>
      <w:fldChar w:fldCharType="separate"/>
    </w:r>
    <w:r w:rsidR="00C3302E">
      <w:rPr>
        <w:noProof/>
        <w:sz w:val="20"/>
        <w:szCs w:val="20"/>
      </w:rPr>
      <w:t>12</w:t>
    </w:r>
    <w:r w:rsidRPr="00205D96">
      <w:rPr>
        <w:sz w:val="20"/>
        <w:szCs w:val="20"/>
      </w:rPr>
      <w:fldChar w:fldCharType="end"/>
    </w:r>
  </w:p>
  <w:p w:rsidR="0057410D" w:rsidRDefault="005741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10D" w:rsidRPr="0044190E" w:rsidRDefault="0057410D" w:rsidP="0044190E">
    <w:pPr>
      <w:pStyle w:val="Footer"/>
      <w:tabs>
        <w:tab w:val="left" w:pos="4680"/>
        <w:tab w:val="left" w:pos="4860"/>
        <w:tab w:val="left" w:pos="4950"/>
      </w:tabs>
      <w:rPr>
        <w:sz w:val="20"/>
        <w:szCs w:val="20"/>
        <w:lang w:val="de-DE"/>
      </w:rPr>
    </w:pPr>
    <w:r w:rsidRPr="0044190E">
      <w:rPr>
        <w:sz w:val="20"/>
        <w:szCs w:val="20"/>
        <w:lang w:val="de-DE"/>
      </w:rPr>
      <w:t xml:space="preserve">                                                                                </w:t>
    </w:r>
    <w:r>
      <w:rPr>
        <w:sz w:val="20"/>
        <w:szCs w:val="20"/>
        <w:lang w:val="de-DE"/>
      </w:rPr>
      <w:t xml:space="preserve">              </w:t>
    </w:r>
    <w:r w:rsidRPr="0044190E">
      <w:rPr>
        <w:sz w:val="20"/>
        <w:szCs w:val="20"/>
        <w:lang w:val="de-DE"/>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10D" w:rsidRPr="00205D96" w:rsidRDefault="0057410D">
    <w:pPr>
      <w:pStyle w:val="Footer"/>
      <w:jc w:val="center"/>
      <w:rPr>
        <w:sz w:val="20"/>
        <w:szCs w:val="20"/>
      </w:rPr>
    </w:pPr>
    <w:r w:rsidRPr="00205D96">
      <w:rPr>
        <w:sz w:val="20"/>
        <w:szCs w:val="20"/>
      </w:rPr>
      <w:fldChar w:fldCharType="begin"/>
    </w:r>
    <w:r w:rsidRPr="00205D96">
      <w:rPr>
        <w:sz w:val="20"/>
        <w:szCs w:val="20"/>
      </w:rPr>
      <w:instrText xml:space="preserve"> PAGE   \* MERGEFORMAT </w:instrText>
    </w:r>
    <w:r w:rsidRPr="00205D96">
      <w:rPr>
        <w:sz w:val="20"/>
        <w:szCs w:val="20"/>
      </w:rPr>
      <w:fldChar w:fldCharType="separate"/>
    </w:r>
    <w:r w:rsidR="00C3302E">
      <w:rPr>
        <w:noProof/>
        <w:sz w:val="20"/>
        <w:szCs w:val="20"/>
      </w:rPr>
      <w:t>2</w:t>
    </w:r>
    <w:r w:rsidRPr="00205D96">
      <w:rPr>
        <w:sz w:val="20"/>
        <w:szCs w:val="20"/>
      </w:rPr>
      <w:fldChar w:fldCharType="end"/>
    </w:r>
  </w:p>
  <w:p w:rsidR="0057410D" w:rsidRDefault="005741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10D" w:rsidRDefault="0057410D">
      <w:r>
        <w:separator/>
      </w:r>
    </w:p>
  </w:footnote>
  <w:footnote w:type="continuationSeparator" w:id="0">
    <w:p w:rsidR="0057410D" w:rsidRDefault="0057410D">
      <w:r>
        <w:continuationSeparator/>
      </w:r>
    </w:p>
  </w:footnote>
  <w:footnote w:id="1">
    <w:p w:rsidR="0057410D" w:rsidRPr="0057410D" w:rsidRDefault="0057410D" w:rsidP="002C3717">
      <w:pPr>
        <w:pStyle w:val="FootnoteText"/>
        <w:rPr>
          <w:lang w:val="fr-FR"/>
        </w:rPr>
      </w:pPr>
      <w:r>
        <w:rPr>
          <w:rStyle w:val="FootnoteReference"/>
        </w:rPr>
        <w:footnoteRef/>
      </w:r>
      <w:r w:rsidRPr="0057410D">
        <w:rPr>
          <w:lang w:val="fr-FR"/>
        </w:rPr>
        <w:t xml:space="preserve"> Voir avant-projet de Résolution AEWA/MOP5 DR9 </w:t>
      </w:r>
      <w:r w:rsidRPr="0057410D">
        <w:rPr>
          <w:i/>
          <w:lang w:val="fr-FR"/>
        </w:rPr>
        <w:t>Mise en œuvre</w:t>
      </w:r>
      <w:r>
        <w:rPr>
          <w:i/>
          <w:lang w:val="fr-FR"/>
        </w:rPr>
        <w:t xml:space="preserve"> de l’initiative africaine pour la conservation des oiseaux d’eau migrateurs et de leurs habitats en Afrique</w:t>
      </w:r>
      <w:r>
        <w:rPr>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0" w:type="dxa"/>
      <w:tblInd w:w="-106" w:type="dxa"/>
      <w:tblBorders>
        <w:bottom w:val="single" w:sz="8" w:space="0" w:color="auto"/>
      </w:tblBorders>
      <w:tblLayout w:type="fixed"/>
      <w:tblLook w:val="0000" w:firstRow="0" w:lastRow="0" w:firstColumn="0" w:lastColumn="0" w:noHBand="0" w:noVBand="0"/>
    </w:tblPr>
    <w:tblGrid>
      <w:gridCol w:w="1980"/>
      <w:gridCol w:w="4897"/>
      <w:gridCol w:w="2693"/>
    </w:tblGrid>
    <w:tr w:rsidR="0057410D" w:rsidRPr="00E161B6" w:rsidTr="0022077A">
      <w:trPr>
        <w:trHeight w:val="1256"/>
      </w:trPr>
      <w:tc>
        <w:tcPr>
          <w:tcW w:w="1980" w:type="dxa"/>
        </w:tcPr>
        <w:p w:rsidR="0057410D" w:rsidRPr="00BA3AEC" w:rsidRDefault="0057410D" w:rsidP="00DD61ED">
          <w:pPr>
            <w:rPr>
              <w:lang w:val="fr-FR"/>
            </w:rPr>
          </w:pPr>
          <w:r>
            <w:rPr>
              <w:noProof/>
            </w:rPr>
            <mc:AlternateContent>
              <mc:Choice Requires="wps">
                <w:drawing>
                  <wp:anchor distT="0" distB="0" distL="114300" distR="114300" simplePos="0" relativeHeight="251660288" behindDoc="0" locked="0" layoutInCell="1" allowOverlap="1" wp14:anchorId="4F65C5E1" wp14:editId="0E653AEF">
                    <wp:simplePos x="0" y="0"/>
                    <wp:positionH relativeFrom="column">
                      <wp:posOffset>-102870</wp:posOffset>
                    </wp:positionH>
                    <wp:positionV relativeFrom="paragraph">
                      <wp:posOffset>-6985</wp:posOffset>
                    </wp:positionV>
                    <wp:extent cx="1111250" cy="927735"/>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927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10D" w:rsidRDefault="0057410D" w:rsidP="00205D96">
                                <w:pPr>
                                  <w:tabs>
                                    <w:tab w:val="left" w:pos="567"/>
                                    <w:tab w:val="left" w:pos="993"/>
                                  </w:tabs>
                                  <w:ind w:right="-218"/>
                                </w:pPr>
                                <w:r>
                                  <w:rPr>
                                    <w:noProof/>
                                  </w:rPr>
                                  <w:drawing>
                                    <wp:inline distT="0" distB="0" distL="0" distR="0" wp14:anchorId="57B8EF5F" wp14:editId="6CC3EA06">
                                      <wp:extent cx="723900" cy="723900"/>
                                      <wp:effectExtent l="0" t="0" r="0" b="0"/>
                                      <wp:docPr id="6" name="Picture 1" descr="Description: 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7410D" w:rsidRDefault="0057410D" w:rsidP="00205D96"/>
                              <w:p w:rsidR="0057410D" w:rsidRDefault="0057410D" w:rsidP="00205D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pt;margin-top:-.55pt;width:87.5pt;height:7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6PtsQIAALk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" filled="f" stroked="f">
                    <v:textbox>
                      <w:txbxContent>
                        <w:p w:rsidR="0057410D" w:rsidRDefault="0057410D" w:rsidP="00205D96">
                          <w:pPr>
                            <w:tabs>
                              <w:tab w:val="left" w:pos="567"/>
                              <w:tab w:val="left" w:pos="993"/>
                            </w:tabs>
                            <w:ind w:right="-218"/>
                          </w:pPr>
                          <w:r>
                            <w:rPr>
                              <w:noProof/>
                            </w:rPr>
                            <w:drawing>
                              <wp:inline distT="0" distB="0" distL="0" distR="0" wp14:anchorId="0FDFED4E" wp14:editId="1C9F76BF">
                                <wp:extent cx="723900" cy="723900"/>
                                <wp:effectExtent l="0" t="0" r="0" b="0"/>
                                <wp:docPr id="6" name="Picture 1" descr="Description: 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EWA_4Colou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7410D" w:rsidRDefault="0057410D" w:rsidP="00205D96"/>
                        <w:p w:rsidR="0057410D" w:rsidRDefault="0057410D" w:rsidP="00205D96"/>
                      </w:txbxContent>
                    </v:textbox>
                  </v:shape>
                </w:pict>
              </mc:Fallback>
            </mc:AlternateContent>
          </w:r>
        </w:p>
      </w:tc>
      <w:tc>
        <w:tcPr>
          <w:tcW w:w="4897" w:type="dxa"/>
        </w:tcPr>
        <w:p w:rsidR="0057410D" w:rsidRPr="004B7125" w:rsidRDefault="0057410D" w:rsidP="004B7125">
          <w:pPr>
            <w:tabs>
              <w:tab w:val="left" w:pos="2551"/>
            </w:tabs>
            <w:jc w:val="center"/>
            <w:rPr>
              <w:sz w:val="20"/>
              <w:szCs w:val="20"/>
              <w:lang w:val="fr-FR"/>
            </w:rPr>
          </w:pPr>
          <w:r w:rsidRPr="004B7125">
            <w:rPr>
              <w:i/>
              <w:caps/>
              <w:sz w:val="20"/>
              <w:szCs w:val="20"/>
              <w:lang w:val="fr-FR"/>
            </w:rPr>
            <w:t xml:space="preserve">ACCORD SUR LA CONSERVATION DES OISEAUX D’EAU MIGRATEURS </w:t>
          </w:r>
          <w:r w:rsidRPr="004B7125">
            <w:rPr>
              <w:i/>
              <w:sz w:val="20"/>
              <w:szCs w:val="20"/>
              <w:lang w:val="fr-FR"/>
            </w:rPr>
            <w:t>D’AFRIQUE-EURASIE</w:t>
          </w:r>
        </w:p>
      </w:tc>
      <w:tc>
        <w:tcPr>
          <w:tcW w:w="2693" w:type="dxa"/>
        </w:tcPr>
        <w:p w:rsidR="0057410D" w:rsidRPr="00A96FB4" w:rsidRDefault="0057410D" w:rsidP="006A3859">
          <w:pPr>
            <w:jc w:val="right"/>
            <w:rPr>
              <w:bCs/>
              <w:i/>
              <w:iCs/>
              <w:sz w:val="20"/>
              <w:szCs w:val="20"/>
              <w:lang w:val="fr-FR"/>
            </w:rPr>
          </w:pPr>
          <w:r w:rsidRPr="001860B9">
            <w:rPr>
              <w:i/>
              <w:iCs/>
              <w:sz w:val="20"/>
              <w:szCs w:val="20"/>
              <w:lang w:val="fr-FR"/>
            </w:rPr>
            <w:t>Doc :</w:t>
          </w:r>
          <w:r w:rsidRPr="00A96FB4">
            <w:rPr>
              <w:i/>
              <w:iCs/>
              <w:sz w:val="20"/>
              <w:szCs w:val="20"/>
              <w:lang w:val="fr-FR"/>
            </w:rPr>
            <w:t xml:space="preserve"> </w:t>
          </w:r>
          <w:r w:rsidRPr="001860B9">
            <w:rPr>
              <w:bCs/>
              <w:i/>
              <w:iCs/>
              <w:sz w:val="20"/>
              <w:szCs w:val="20"/>
              <w:lang w:val="fr-FR"/>
            </w:rPr>
            <w:t>AEWA/MOP5</w:t>
          </w:r>
          <w:r>
            <w:rPr>
              <w:bCs/>
              <w:i/>
              <w:iCs/>
              <w:sz w:val="20"/>
              <w:szCs w:val="20"/>
              <w:lang w:val="fr-FR"/>
            </w:rPr>
            <w:t xml:space="preserve"> 18</w:t>
          </w:r>
          <w:r w:rsidR="0022077A">
            <w:rPr>
              <w:bCs/>
              <w:i/>
              <w:iCs/>
              <w:sz w:val="20"/>
              <w:szCs w:val="20"/>
              <w:lang w:val="fr-FR"/>
            </w:rPr>
            <w:t xml:space="preserve"> Corr.1</w:t>
          </w:r>
        </w:p>
        <w:p w:rsidR="0057410D" w:rsidRPr="00A96FB4" w:rsidRDefault="0057410D" w:rsidP="006A3859">
          <w:pPr>
            <w:jc w:val="right"/>
            <w:rPr>
              <w:bCs/>
              <w:i/>
              <w:iCs/>
              <w:sz w:val="20"/>
              <w:szCs w:val="20"/>
              <w:lang w:val="fr-FR"/>
            </w:rPr>
          </w:pPr>
          <w:r w:rsidRPr="001860B9">
            <w:rPr>
              <w:i/>
              <w:iCs/>
              <w:sz w:val="20"/>
              <w:szCs w:val="20"/>
              <w:lang w:val="fr-FR"/>
            </w:rPr>
            <w:t>Point 1</w:t>
          </w:r>
          <w:r>
            <w:rPr>
              <w:i/>
              <w:iCs/>
              <w:sz w:val="20"/>
              <w:szCs w:val="20"/>
              <w:lang w:val="fr-FR"/>
            </w:rPr>
            <w:t>7</w:t>
          </w:r>
          <w:r w:rsidRPr="001860B9">
            <w:rPr>
              <w:i/>
              <w:iCs/>
              <w:sz w:val="20"/>
              <w:szCs w:val="20"/>
              <w:lang w:val="fr-FR"/>
            </w:rPr>
            <w:t xml:space="preserve"> de l’ordre du jour</w:t>
          </w:r>
          <w:r w:rsidRPr="00A96FB4">
            <w:rPr>
              <w:i/>
              <w:iCs/>
              <w:sz w:val="20"/>
              <w:szCs w:val="20"/>
              <w:lang w:val="fr-FR"/>
            </w:rPr>
            <w:t xml:space="preserve"> </w:t>
          </w:r>
        </w:p>
        <w:p w:rsidR="0057410D" w:rsidRDefault="0057410D" w:rsidP="006A3859">
          <w:pPr>
            <w:jc w:val="right"/>
            <w:rPr>
              <w:i/>
              <w:iCs/>
              <w:sz w:val="20"/>
              <w:szCs w:val="20"/>
            </w:rPr>
          </w:pPr>
          <w:r w:rsidRPr="001860B9">
            <w:rPr>
              <w:i/>
              <w:iCs/>
              <w:sz w:val="20"/>
              <w:szCs w:val="20"/>
            </w:rPr>
            <w:t xml:space="preserve">Original : </w:t>
          </w:r>
          <w:proofErr w:type="spellStart"/>
          <w:r w:rsidRPr="001860B9">
            <w:rPr>
              <w:i/>
              <w:iCs/>
              <w:sz w:val="20"/>
              <w:szCs w:val="20"/>
            </w:rPr>
            <w:t>Anglais</w:t>
          </w:r>
          <w:proofErr w:type="spellEnd"/>
        </w:p>
        <w:p w:rsidR="0057410D" w:rsidRDefault="0057410D" w:rsidP="006A3859">
          <w:pPr>
            <w:jc w:val="right"/>
            <w:rPr>
              <w:i/>
              <w:iCs/>
              <w:sz w:val="20"/>
              <w:szCs w:val="20"/>
            </w:rPr>
          </w:pPr>
        </w:p>
        <w:p w:rsidR="0057410D" w:rsidRPr="001860B9" w:rsidRDefault="0057410D" w:rsidP="006A3859">
          <w:pPr>
            <w:jc w:val="right"/>
            <w:rPr>
              <w:bCs/>
              <w:i/>
              <w:iCs/>
              <w:sz w:val="20"/>
              <w:szCs w:val="20"/>
            </w:rPr>
          </w:pPr>
          <w:r>
            <w:rPr>
              <w:i/>
              <w:iCs/>
              <w:sz w:val="20"/>
              <w:szCs w:val="20"/>
            </w:rPr>
            <w:t>Date: 1</w:t>
          </w:r>
          <w:r w:rsidR="000B1F85">
            <w:rPr>
              <w:i/>
              <w:iCs/>
              <w:sz w:val="20"/>
              <w:szCs w:val="20"/>
            </w:rPr>
            <w:t>1</w:t>
          </w:r>
          <w:r>
            <w:rPr>
              <w:i/>
              <w:iCs/>
              <w:sz w:val="20"/>
              <w:szCs w:val="20"/>
            </w:rPr>
            <w:t xml:space="preserve"> </w:t>
          </w:r>
          <w:proofErr w:type="spellStart"/>
          <w:r>
            <w:rPr>
              <w:i/>
              <w:iCs/>
              <w:sz w:val="20"/>
              <w:szCs w:val="20"/>
            </w:rPr>
            <w:t>avril</w:t>
          </w:r>
          <w:proofErr w:type="spellEnd"/>
          <w:r>
            <w:rPr>
              <w:i/>
              <w:iCs/>
              <w:sz w:val="20"/>
              <w:szCs w:val="20"/>
            </w:rPr>
            <w:t xml:space="preserve"> 2012</w:t>
          </w:r>
        </w:p>
        <w:p w:rsidR="0057410D" w:rsidRPr="00BA3AEC" w:rsidRDefault="0057410D" w:rsidP="000C172D">
          <w:pPr>
            <w:jc w:val="right"/>
            <w:rPr>
              <w:lang w:val="fr-FR"/>
            </w:rPr>
          </w:pPr>
        </w:p>
      </w:tc>
    </w:tr>
    <w:tr w:rsidR="0057410D" w:rsidRPr="001331B4" w:rsidTr="0022077A">
      <w:trPr>
        <w:trHeight w:val="730"/>
      </w:trPr>
      <w:tc>
        <w:tcPr>
          <w:tcW w:w="9570" w:type="dxa"/>
          <w:gridSpan w:val="3"/>
          <w:tcBorders>
            <w:bottom w:val="single" w:sz="8" w:space="0" w:color="auto"/>
          </w:tcBorders>
        </w:tcPr>
        <w:p w:rsidR="0057410D" w:rsidRPr="00A96FB4" w:rsidRDefault="0057410D" w:rsidP="006A3859">
          <w:pPr>
            <w:pStyle w:val="BodyText2"/>
            <w:jc w:val="center"/>
            <w:rPr>
              <w:b/>
              <w:bCs/>
              <w:caps/>
              <w:sz w:val="26"/>
              <w:szCs w:val="26"/>
              <w:lang w:val="fr-FR"/>
            </w:rPr>
          </w:pPr>
          <w:r w:rsidRPr="00C46B0D">
            <w:rPr>
              <w:b/>
              <w:bCs/>
              <w:sz w:val="26"/>
              <w:szCs w:val="26"/>
              <w:lang w:val="fr-FR"/>
            </w:rPr>
            <w:t>5</w:t>
          </w:r>
          <w:r w:rsidRPr="00C46B0D">
            <w:rPr>
              <w:b/>
              <w:bCs/>
              <w:sz w:val="26"/>
              <w:szCs w:val="26"/>
              <w:vertAlign w:val="superscript"/>
              <w:lang w:val="fr-FR"/>
            </w:rPr>
            <w:t>ème</w:t>
          </w:r>
          <w:r w:rsidRPr="00C46B0D">
            <w:rPr>
              <w:b/>
              <w:bCs/>
              <w:sz w:val="26"/>
              <w:szCs w:val="26"/>
              <w:lang w:val="fr-FR"/>
            </w:rPr>
            <w:t xml:space="preserve"> SE</w:t>
          </w:r>
          <w:r>
            <w:rPr>
              <w:b/>
              <w:bCs/>
              <w:sz w:val="26"/>
              <w:szCs w:val="26"/>
              <w:lang w:val="fr-FR"/>
            </w:rPr>
            <w:t>S</w:t>
          </w:r>
          <w:r w:rsidRPr="00C46B0D">
            <w:rPr>
              <w:b/>
              <w:bCs/>
              <w:sz w:val="26"/>
              <w:szCs w:val="26"/>
              <w:lang w:val="fr-FR"/>
            </w:rPr>
            <w:t xml:space="preserve">SION DE </w:t>
          </w:r>
          <w:smartTag w:uri="urn:schemas-microsoft-com:office:smarttags" w:element="PersonName">
            <w:smartTagPr>
              <w:attr w:name="ProductID" w:val="LA RÉUNION DES PARTIES"/>
            </w:smartTagPr>
            <w:r w:rsidRPr="00C46B0D">
              <w:rPr>
                <w:b/>
                <w:bCs/>
                <w:sz w:val="26"/>
                <w:szCs w:val="26"/>
                <w:lang w:val="fr-FR"/>
              </w:rPr>
              <w:t>LA RÉUNION DES PARTIES</w:t>
            </w:r>
          </w:smartTag>
        </w:p>
        <w:p w:rsidR="0057410D" w:rsidRDefault="0057410D" w:rsidP="006A3859">
          <w:pPr>
            <w:jc w:val="center"/>
            <w:rPr>
              <w:i/>
              <w:iCs/>
              <w:lang w:val="fr-FR"/>
            </w:rPr>
          </w:pPr>
          <w:r w:rsidRPr="00C46B0D">
            <w:rPr>
              <w:i/>
              <w:iCs/>
              <w:lang w:val="fr-FR"/>
            </w:rPr>
            <w:t xml:space="preserve">14 – 18 </w:t>
          </w:r>
          <w:proofErr w:type="gramStart"/>
          <w:r w:rsidRPr="00C46B0D">
            <w:rPr>
              <w:i/>
              <w:iCs/>
              <w:lang w:val="fr-FR"/>
            </w:rPr>
            <w:t>mai</w:t>
          </w:r>
          <w:proofErr w:type="gramEnd"/>
          <w:r w:rsidRPr="00C46B0D">
            <w:rPr>
              <w:i/>
              <w:iCs/>
              <w:lang w:val="fr-FR"/>
            </w:rPr>
            <w:t xml:space="preserve"> 2012, La Rochelle, </w:t>
          </w:r>
          <w:r>
            <w:rPr>
              <w:i/>
              <w:iCs/>
              <w:lang w:val="fr-FR"/>
            </w:rPr>
            <w:t>France</w:t>
          </w:r>
        </w:p>
        <w:p w:rsidR="0057410D" w:rsidRDefault="0057410D" w:rsidP="006A3859">
          <w:pPr>
            <w:jc w:val="center"/>
            <w:rPr>
              <w:i/>
              <w:iCs/>
              <w:lang w:val="fr-FR"/>
            </w:rPr>
          </w:pPr>
        </w:p>
        <w:p w:rsidR="0057410D" w:rsidRDefault="0057410D" w:rsidP="006A3859">
          <w:pPr>
            <w:jc w:val="center"/>
            <w:rPr>
              <w:i/>
              <w:lang w:val="fr-FR"/>
            </w:rPr>
          </w:pPr>
          <w:r w:rsidRPr="00C46B0D">
            <w:rPr>
              <w:i/>
              <w:lang w:val="fr-FR"/>
            </w:rPr>
            <w:t>« Les oiseau</w:t>
          </w:r>
          <w:r>
            <w:rPr>
              <w:i/>
              <w:lang w:val="fr-FR"/>
            </w:rPr>
            <w:t>x</w:t>
          </w:r>
          <w:r w:rsidRPr="00C46B0D">
            <w:rPr>
              <w:i/>
              <w:lang w:val="fr-FR"/>
            </w:rPr>
            <w:t xml:space="preserve"> d</w:t>
          </w:r>
          <w:r>
            <w:rPr>
              <w:i/>
              <w:lang w:val="fr-FR"/>
            </w:rPr>
            <w:t>’</w:t>
          </w:r>
          <w:r w:rsidRPr="00C46B0D">
            <w:rPr>
              <w:i/>
              <w:lang w:val="fr-FR"/>
            </w:rPr>
            <w:t>eau migrateurs et l</w:t>
          </w:r>
          <w:r>
            <w:rPr>
              <w:i/>
              <w:lang w:val="fr-FR"/>
            </w:rPr>
            <w:t xml:space="preserve">es </w:t>
          </w:r>
          <w:r w:rsidRPr="00C46B0D">
            <w:rPr>
              <w:i/>
              <w:lang w:val="fr-FR"/>
            </w:rPr>
            <w:t>homme</w:t>
          </w:r>
          <w:r>
            <w:rPr>
              <w:i/>
              <w:lang w:val="fr-FR"/>
            </w:rPr>
            <w:t>s</w:t>
          </w:r>
          <w:r w:rsidRPr="00C46B0D">
            <w:rPr>
              <w:i/>
              <w:lang w:val="fr-FR"/>
            </w:rPr>
            <w:t xml:space="preserve"> – </w:t>
          </w:r>
          <w:r>
            <w:rPr>
              <w:i/>
              <w:lang w:val="fr-FR"/>
            </w:rPr>
            <w:t>d</w:t>
          </w:r>
          <w:r w:rsidRPr="00C46B0D">
            <w:rPr>
              <w:i/>
              <w:lang w:val="fr-FR"/>
            </w:rPr>
            <w:t>es zones humides en partage »</w:t>
          </w:r>
        </w:p>
        <w:p w:rsidR="0057410D" w:rsidRPr="00BA3AEC" w:rsidRDefault="0057410D" w:rsidP="006A3859">
          <w:pPr>
            <w:jc w:val="center"/>
            <w:rPr>
              <w:i/>
              <w:iCs/>
              <w:lang w:val="fr-FR"/>
            </w:rPr>
          </w:pPr>
        </w:p>
      </w:tc>
    </w:tr>
  </w:tbl>
  <w:p w:rsidR="0057410D" w:rsidRPr="00BA3AEC" w:rsidRDefault="0057410D">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10D" w:rsidRPr="00BA3AEC" w:rsidRDefault="0057410D">
    <w:pPr>
      <w:pStyle w:val="Heade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10D" w:rsidRDefault="005741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1F1"/>
    <w:multiLevelType w:val="hybridMultilevel"/>
    <w:tmpl w:val="AB5A26F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A65685A"/>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2">
    <w:nsid w:val="0B2B3513"/>
    <w:multiLevelType w:val="hybridMultilevel"/>
    <w:tmpl w:val="77A21066"/>
    <w:lvl w:ilvl="0" w:tplc="985C9592">
      <w:start w:val="1"/>
      <w:numFmt w:val="lowerLetter"/>
      <w:lvlText w:val="%1)"/>
      <w:lvlJc w:val="left"/>
      <w:pPr>
        <w:ind w:left="862" w:hanging="360"/>
      </w:pPr>
      <w:rPr>
        <w:rFonts w:cs="Times New Roman" w:hint="default"/>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3">
    <w:nsid w:val="0CB07FD6"/>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4">
    <w:nsid w:val="0D482CEE"/>
    <w:multiLevelType w:val="hybridMultilevel"/>
    <w:tmpl w:val="8D16043A"/>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7162453E">
      <w:start w:val="3"/>
      <w:numFmt w:val="lowerLetter"/>
      <w:lvlText w:val="%3)"/>
      <w:lvlJc w:val="left"/>
      <w:pPr>
        <w:tabs>
          <w:tab w:val="num" w:pos="1980"/>
        </w:tabs>
        <w:ind w:left="1980" w:hanging="360"/>
      </w:pPr>
      <w:rPr>
        <w:rFonts w:cs="Times New Roman" w:hint="default"/>
        <w:b w:val="0"/>
        <w:bCs w:val="0"/>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11702557"/>
    <w:multiLevelType w:val="hybridMultilevel"/>
    <w:tmpl w:val="65AAB55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1F75EB5"/>
    <w:multiLevelType w:val="hybridMultilevel"/>
    <w:tmpl w:val="0492BDB4"/>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7">
    <w:nsid w:val="17DD3609"/>
    <w:multiLevelType w:val="hybridMultilevel"/>
    <w:tmpl w:val="41D27626"/>
    <w:lvl w:ilvl="0" w:tplc="04090019">
      <w:start w:val="1"/>
      <w:numFmt w:val="lowerLetter"/>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8">
    <w:nsid w:val="1D4D4F4B"/>
    <w:multiLevelType w:val="hybridMultilevel"/>
    <w:tmpl w:val="6F5CB430"/>
    <w:lvl w:ilvl="0" w:tplc="E1422156">
      <w:start w:val="1"/>
      <w:numFmt w:val="decimal"/>
      <w:lvlText w:val="%1."/>
      <w:lvlJc w:val="left"/>
      <w:pPr>
        <w:tabs>
          <w:tab w:val="num" w:pos="735"/>
        </w:tabs>
        <w:ind w:left="735" w:hanging="375"/>
      </w:pPr>
      <w:rPr>
        <w:rFonts w:ascii="Times New Roman" w:hAnsi="Times New Roman" w:cs="Times New Roman" w:hint="default"/>
        <w:sz w:val="24"/>
        <w:szCs w:val="24"/>
      </w:rPr>
    </w:lvl>
    <w:lvl w:ilvl="1" w:tplc="04090017">
      <w:start w:val="1"/>
      <w:numFmt w:val="lowerLetter"/>
      <w:lvlText w:val="%2)"/>
      <w:lvlJc w:val="left"/>
      <w:pPr>
        <w:tabs>
          <w:tab w:val="num" w:pos="1440"/>
        </w:tabs>
        <w:ind w:left="1440" w:hanging="360"/>
      </w:pPr>
      <w:rPr>
        <w:rFonts w:cs="Times New Roman" w:hint="default"/>
      </w:rPr>
    </w:lvl>
    <w:lvl w:ilvl="2" w:tplc="04090017">
      <w:start w:val="1"/>
      <w:numFmt w:val="lowerLetter"/>
      <w:lvlText w:val="%3)"/>
      <w:lvlJc w:val="left"/>
      <w:pPr>
        <w:tabs>
          <w:tab w:val="num" w:pos="2340"/>
        </w:tabs>
        <w:ind w:left="2340" w:hanging="360"/>
      </w:pPr>
      <w:rPr>
        <w:rFonts w:cs="Times New Roman" w:hint="default"/>
        <w:sz w:val="24"/>
        <w:szCs w:val="24"/>
      </w:rPr>
    </w:lvl>
    <w:lvl w:ilvl="3" w:tplc="04090017">
      <w:start w:val="1"/>
      <w:numFmt w:val="lowerLetter"/>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5BA0A0F2">
      <w:start w:val="1"/>
      <w:numFmt w:val="lowerLetter"/>
      <w:lvlText w:val="%6)"/>
      <w:lvlJc w:val="left"/>
      <w:pPr>
        <w:tabs>
          <w:tab w:val="num" w:pos="4500"/>
        </w:tabs>
        <w:ind w:left="4500" w:hanging="360"/>
      </w:pPr>
      <w:rPr>
        <w:rFonts w:cs="Times New Roman" w:hint="default"/>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0785CCB"/>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10">
    <w:nsid w:val="223515BE"/>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11">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A874954"/>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13">
    <w:nsid w:val="2BD959A9"/>
    <w:multiLevelType w:val="hybridMultilevel"/>
    <w:tmpl w:val="679C57A4"/>
    <w:lvl w:ilvl="0" w:tplc="40A422C0">
      <w:start w:val="1"/>
      <w:numFmt w:val="lowerLetter"/>
      <w:lvlText w:val="%1)"/>
      <w:lvlJc w:val="left"/>
      <w:pPr>
        <w:ind w:left="502" w:hanging="360"/>
      </w:pPr>
      <w:rPr>
        <w:rFonts w:cs="Times New Roman" w:hint="default"/>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14">
    <w:nsid w:val="2E47045F"/>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15">
    <w:nsid w:val="41477899"/>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16">
    <w:nsid w:val="424F2516"/>
    <w:multiLevelType w:val="hybridMultilevel"/>
    <w:tmpl w:val="9CC6E06A"/>
    <w:lvl w:ilvl="0" w:tplc="04090017">
      <w:start w:val="1"/>
      <w:numFmt w:val="lowerLetter"/>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17">
    <w:nsid w:val="433913B8"/>
    <w:multiLevelType w:val="hybridMultilevel"/>
    <w:tmpl w:val="6DB076C2"/>
    <w:lvl w:ilvl="0" w:tplc="15B2C078">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7162453E">
      <w:start w:val="3"/>
      <w:numFmt w:val="lowerLetter"/>
      <w:lvlText w:val="%3)"/>
      <w:lvlJc w:val="left"/>
      <w:pPr>
        <w:tabs>
          <w:tab w:val="num" w:pos="2340"/>
        </w:tabs>
        <w:ind w:left="2340" w:hanging="360"/>
      </w:pPr>
      <w:rPr>
        <w:rFonts w:cs="Times New Roman" w:hint="default"/>
        <w:b w:val="0"/>
        <w:bCs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48616A0D"/>
    <w:multiLevelType w:val="hybridMultilevel"/>
    <w:tmpl w:val="98A450BA"/>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9">
    <w:nsid w:val="4C7F705A"/>
    <w:multiLevelType w:val="hybridMultilevel"/>
    <w:tmpl w:val="F59C16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4D4234D5"/>
    <w:multiLevelType w:val="multilevel"/>
    <w:tmpl w:val="31421284"/>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60"/>
        </w:tabs>
        <w:ind w:left="1260" w:hanging="54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nsid w:val="4EF30BA1"/>
    <w:multiLevelType w:val="hybridMultilevel"/>
    <w:tmpl w:val="B3FAF030"/>
    <w:lvl w:ilvl="0" w:tplc="4CB885E8">
      <w:start w:val="1"/>
      <w:numFmt w:val="lowerLetter"/>
      <w:lvlText w:val="%1."/>
      <w:lvlJc w:val="left"/>
      <w:pPr>
        <w:ind w:left="1222" w:hanging="360"/>
      </w:pPr>
      <w:rPr>
        <w:rFonts w:cs="Times New Roman" w:hint="default"/>
      </w:rPr>
    </w:lvl>
    <w:lvl w:ilvl="1" w:tplc="04090019">
      <w:start w:val="1"/>
      <w:numFmt w:val="lowerLetter"/>
      <w:lvlText w:val="%2."/>
      <w:lvlJc w:val="left"/>
      <w:pPr>
        <w:ind w:left="1942" w:hanging="360"/>
      </w:pPr>
      <w:rPr>
        <w:rFonts w:cs="Times New Roman"/>
      </w:rPr>
    </w:lvl>
    <w:lvl w:ilvl="2" w:tplc="0409001B">
      <w:start w:val="1"/>
      <w:numFmt w:val="lowerRoman"/>
      <w:lvlText w:val="%3."/>
      <w:lvlJc w:val="right"/>
      <w:pPr>
        <w:ind w:left="2662" w:hanging="180"/>
      </w:pPr>
      <w:rPr>
        <w:rFonts w:cs="Times New Roman"/>
      </w:rPr>
    </w:lvl>
    <w:lvl w:ilvl="3" w:tplc="0409000F">
      <w:start w:val="1"/>
      <w:numFmt w:val="decimal"/>
      <w:lvlText w:val="%4."/>
      <w:lvlJc w:val="left"/>
      <w:pPr>
        <w:ind w:left="3382" w:hanging="360"/>
      </w:pPr>
      <w:rPr>
        <w:rFonts w:cs="Times New Roman"/>
      </w:rPr>
    </w:lvl>
    <w:lvl w:ilvl="4" w:tplc="04090019">
      <w:start w:val="1"/>
      <w:numFmt w:val="lowerLetter"/>
      <w:lvlText w:val="%5."/>
      <w:lvlJc w:val="left"/>
      <w:pPr>
        <w:ind w:left="4102" w:hanging="360"/>
      </w:pPr>
      <w:rPr>
        <w:rFonts w:cs="Times New Roman"/>
      </w:rPr>
    </w:lvl>
    <w:lvl w:ilvl="5" w:tplc="0409001B">
      <w:start w:val="1"/>
      <w:numFmt w:val="lowerRoman"/>
      <w:lvlText w:val="%6."/>
      <w:lvlJc w:val="right"/>
      <w:pPr>
        <w:ind w:left="4822" w:hanging="180"/>
      </w:pPr>
      <w:rPr>
        <w:rFonts w:cs="Times New Roman"/>
      </w:rPr>
    </w:lvl>
    <w:lvl w:ilvl="6" w:tplc="0409000F">
      <w:start w:val="1"/>
      <w:numFmt w:val="decimal"/>
      <w:lvlText w:val="%7."/>
      <w:lvlJc w:val="left"/>
      <w:pPr>
        <w:ind w:left="5542" w:hanging="360"/>
      </w:pPr>
      <w:rPr>
        <w:rFonts w:cs="Times New Roman"/>
      </w:rPr>
    </w:lvl>
    <w:lvl w:ilvl="7" w:tplc="04090019">
      <w:start w:val="1"/>
      <w:numFmt w:val="lowerLetter"/>
      <w:lvlText w:val="%8."/>
      <w:lvlJc w:val="left"/>
      <w:pPr>
        <w:ind w:left="6262" w:hanging="360"/>
      </w:pPr>
      <w:rPr>
        <w:rFonts w:cs="Times New Roman"/>
      </w:rPr>
    </w:lvl>
    <w:lvl w:ilvl="8" w:tplc="0409001B">
      <w:start w:val="1"/>
      <w:numFmt w:val="lowerRoman"/>
      <w:lvlText w:val="%9."/>
      <w:lvlJc w:val="right"/>
      <w:pPr>
        <w:ind w:left="6982" w:hanging="180"/>
      </w:pPr>
      <w:rPr>
        <w:rFonts w:cs="Times New Roman"/>
      </w:rPr>
    </w:lvl>
  </w:abstractNum>
  <w:abstractNum w:abstractNumId="22">
    <w:nsid w:val="4FDA1CCA"/>
    <w:multiLevelType w:val="hybridMultilevel"/>
    <w:tmpl w:val="78B88C5C"/>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526B104D"/>
    <w:multiLevelType w:val="multilevel"/>
    <w:tmpl w:val="31421284"/>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60"/>
        </w:tabs>
        <w:ind w:left="1260" w:hanging="54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nsid w:val="53F402A2"/>
    <w:multiLevelType w:val="hybridMultilevel"/>
    <w:tmpl w:val="765AF30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56316D0E"/>
    <w:multiLevelType w:val="multilevel"/>
    <w:tmpl w:val="32566F1E"/>
    <w:lvl w:ilvl="0">
      <w:start w:val="1"/>
      <w:numFmt w:val="decimal"/>
      <w:lvlRestart w:val="0"/>
      <w:pStyle w:val="Heading1"/>
      <w:lvlText w:val="%1"/>
      <w:lvlJc w:val="left"/>
      <w:pPr>
        <w:tabs>
          <w:tab w:val="num" w:pos="360"/>
        </w:tabs>
      </w:pPr>
      <w:rPr>
        <w:rFonts w:ascii="Garamond" w:hAnsi="Garamond" w:cs="Garamond" w:hint="default"/>
        <w:b/>
        <w:bCs/>
        <w:i w:val="0"/>
        <w:iCs w:val="0"/>
        <w:sz w:val="24"/>
        <w:szCs w:val="24"/>
      </w:rPr>
    </w:lvl>
    <w:lvl w:ilvl="1">
      <w:start w:val="1"/>
      <w:numFmt w:val="decimal"/>
      <w:pStyle w:val="Heading2"/>
      <w:lvlText w:val="%1.%2"/>
      <w:lvlJc w:val="left"/>
      <w:pPr>
        <w:tabs>
          <w:tab w:val="num" w:pos="720"/>
        </w:tabs>
        <w:ind w:left="360" w:hanging="360"/>
      </w:pPr>
      <w:rPr>
        <w:rFonts w:ascii="Garamond" w:hAnsi="Garamond" w:cs="Garamond" w:hint="default"/>
        <w:b/>
        <w:bCs/>
        <w:i w:val="0"/>
        <w:iCs w:val="0"/>
        <w:sz w:val="24"/>
        <w:szCs w:val="24"/>
      </w:rPr>
    </w:lvl>
    <w:lvl w:ilvl="2">
      <w:start w:val="1"/>
      <w:numFmt w:val="decimal"/>
      <w:lvlText w:val="%1.%2.%3"/>
      <w:lvlJc w:val="left"/>
      <w:pPr>
        <w:tabs>
          <w:tab w:val="num" w:pos="1080"/>
        </w:tabs>
        <w:ind w:left="720" w:hanging="360"/>
      </w:pPr>
      <w:rPr>
        <w:rFonts w:ascii="Garamond" w:hAnsi="Garamond" w:cs="Garamond" w:hint="default"/>
        <w:b w:val="0"/>
        <w:bCs w:val="0"/>
        <w:i w:val="0"/>
        <w:iCs w:val="0"/>
        <w:sz w:val="24"/>
        <w:szCs w:val="24"/>
      </w:rPr>
    </w:lvl>
    <w:lvl w:ilvl="3">
      <w:start w:val="1"/>
      <w:numFmt w:val="decimal"/>
      <w:lvlText w:val="%1.%2.%3.%4"/>
      <w:lvlJc w:val="left"/>
      <w:pPr>
        <w:tabs>
          <w:tab w:val="num" w:pos="180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88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6">
    <w:nsid w:val="5A3A2F80"/>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27">
    <w:nsid w:val="5CBB3AAE"/>
    <w:multiLevelType w:val="hybridMultilevel"/>
    <w:tmpl w:val="DD1E8AE6"/>
    <w:lvl w:ilvl="0" w:tplc="0409000F">
      <w:start w:val="1"/>
      <w:numFmt w:val="decimal"/>
      <w:lvlText w:val="%1."/>
      <w:lvlJc w:val="left"/>
      <w:pPr>
        <w:ind w:left="1582" w:hanging="360"/>
      </w:pPr>
      <w:rPr>
        <w:rFonts w:cs="Times New Roman"/>
      </w:rPr>
    </w:lvl>
    <w:lvl w:ilvl="1" w:tplc="04090019">
      <w:start w:val="1"/>
      <w:numFmt w:val="lowerLetter"/>
      <w:lvlText w:val="%2."/>
      <w:lvlJc w:val="left"/>
      <w:pPr>
        <w:ind w:left="2302" w:hanging="360"/>
      </w:pPr>
      <w:rPr>
        <w:rFonts w:cs="Times New Roman"/>
      </w:rPr>
    </w:lvl>
    <w:lvl w:ilvl="2" w:tplc="0409001B">
      <w:start w:val="1"/>
      <w:numFmt w:val="lowerRoman"/>
      <w:lvlText w:val="%3."/>
      <w:lvlJc w:val="right"/>
      <w:pPr>
        <w:ind w:left="3022" w:hanging="180"/>
      </w:pPr>
      <w:rPr>
        <w:rFonts w:cs="Times New Roman"/>
      </w:rPr>
    </w:lvl>
    <w:lvl w:ilvl="3" w:tplc="0409000F">
      <w:start w:val="1"/>
      <w:numFmt w:val="decimal"/>
      <w:lvlText w:val="%4."/>
      <w:lvlJc w:val="left"/>
      <w:pPr>
        <w:ind w:left="3742" w:hanging="360"/>
      </w:pPr>
      <w:rPr>
        <w:rFonts w:cs="Times New Roman"/>
      </w:rPr>
    </w:lvl>
    <w:lvl w:ilvl="4" w:tplc="04090019">
      <w:start w:val="1"/>
      <w:numFmt w:val="lowerLetter"/>
      <w:lvlText w:val="%5."/>
      <w:lvlJc w:val="left"/>
      <w:pPr>
        <w:ind w:left="4462" w:hanging="360"/>
      </w:pPr>
      <w:rPr>
        <w:rFonts w:cs="Times New Roman"/>
      </w:rPr>
    </w:lvl>
    <w:lvl w:ilvl="5" w:tplc="0409001B">
      <w:start w:val="1"/>
      <w:numFmt w:val="lowerRoman"/>
      <w:lvlText w:val="%6."/>
      <w:lvlJc w:val="right"/>
      <w:pPr>
        <w:ind w:left="5182" w:hanging="180"/>
      </w:pPr>
      <w:rPr>
        <w:rFonts w:cs="Times New Roman"/>
      </w:rPr>
    </w:lvl>
    <w:lvl w:ilvl="6" w:tplc="0409000F">
      <w:start w:val="1"/>
      <w:numFmt w:val="decimal"/>
      <w:lvlText w:val="%7."/>
      <w:lvlJc w:val="left"/>
      <w:pPr>
        <w:ind w:left="5902" w:hanging="360"/>
      </w:pPr>
      <w:rPr>
        <w:rFonts w:cs="Times New Roman"/>
      </w:rPr>
    </w:lvl>
    <w:lvl w:ilvl="7" w:tplc="04090019">
      <w:start w:val="1"/>
      <w:numFmt w:val="lowerLetter"/>
      <w:lvlText w:val="%8."/>
      <w:lvlJc w:val="left"/>
      <w:pPr>
        <w:ind w:left="6622" w:hanging="360"/>
      </w:pPr>
      <w:rPr>
        <w:rFonts w:cs="Times New Roman"/>
      </w:rPr>
    </w:lvl>
    <w:lvl w:ilvl="8" w:tplc="0409001B">
      <w:start w:val="1"/>
      <w:numFmt w:val="lowerRoman"/>
      <w:lvlText w:val="%9."/>
      <w:lvlJc w:val="right"/>
      <w:pPr>
        <w:ind w:left="7342" w:hanging="180"/>
      </w:pPr>
      <w:rPr>
        <w:rFonts w:cs="Times New Roman"/>
      </w:rPr>
    </w:lvl>
  </w:abstractNum>
  <w:abstractNum w:abstractNumId="28">
    <w:nsid w:val="5D0B3D3B"/>
    <w:multiLevelType w:val="hybridMultilevel"/>
    <w:tmpl w:val="10445DFA"/>
    <w:lvl w:ilvl="0" w:tplc="04090019">
      <w:start w:val="1"/>
      <w:numFmt w:val="lowerLetter"/>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29">
    <w:nsid w:val="60277BDB"/>
    <w:multiLevelType w:val="hybridMultilevel"/>
    <w:tmpl w:val="38B4A0A4"/>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4835189"/>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31">
    <w:nsid w:val="6A8B1CE1"/>
    <w:multiLevelType w:val="hybridMultilevel"/>
    <w:tmpl w:val="61D48DD6"/>
    <w:lvl w:ilvl="0" w:tplc="2622324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70193602"/>
    <w:multiLevelType w:val="hybridMultilevel"/>
    <w:tmpl w:val="7020DF7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nsid w:val="725921F0"/>
    <w:multiLevelType w:val="hybridMultilevel"/>
    <w:tmpl w:val="152464A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522AC60">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74140190"/>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36">
    <w:nsid w:val="7C6E5258"/>
    <w:multiLevelType w:val="hybridMultilevel"/>
    <w:tmpl w:val="7DD287FE"/>
    <w:lvl w:ilvl="0" w:tplc="15B2C078">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7162453E">
      <w:start w:val="3"/>
      <w:numFmt w:val="lowerLetter"/>
      <w:lvlText w:val="%3)"/>
      <w:lvlJc w:val="left"/>
      <w:pPr>
        <w:tabs>
          <w:tab w:val="num" w:pos="2340"/>
        </w:tabs>
        <w:ind w:left="2340" w:hanging="360"/>
      </w:pPr>
      <w:rPr>
        <w:rFonts w:cs="Times New Roman" w:hint="default"/>
        <w:b w:val="0"/>
        <w:bCs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7D51579C"/>
    <w:multiLevelType w:val="multilevel"/>
    <w:tmpl w:val="8FF64E04"/>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60"/>
        </w:tabs>
        <w:ind w:left="1260" w:hanging="54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4"/>
  </w:num>
  <w:num w:numId="4">
    <w:abstractNumId w:val="32"/>
  </w:num>
  <w:num w:numId="5">
    <w:abstractNumId w:val="25"/>
  </w:num>
  <w:num w:numId="6">
    <w:abstractNumId w:val="4"/>
  </w:num>
  <w:num w:numId="7">
    <w:abstractNumId w:val="36"/>
  </w:num>
  <w:num w:numId="8">
    <w:abstractNumId w:val="17"/>
  </w:num>
  <w:num w:numId="9">
    <w:abstractNumId w:val="10"/>
  </w:num>
  <w:num w:numId="10">
    <w:abstractNumId w:val="7"/>
  </w:num>
  <w:num w:numId="11">
    <w:abstractNumId w:val="6"/>
  </w:num>
  <w:num w:numId="12">
    <w:abstractNumId w:val="28"/>
  </w:num>
  <w:num w:numId="13">
    <w:abstractNumId w:val="16"/>
  </w:num>
  <w:num w:numId="14">
    <w:abstractNumId w:val="27"/>
  </w:num>
  <w:num w:numId="15">
    <w:abstractNumId w:val="21"/>
  </w:num>
  <w:num w:numId="16">
    <w:abstractNumId w:val="8"/>
  </w:num>
  <w:num w:numId="17">
    <w:abstractNumId w:val="29"/>
  </w:num>
  <w:num w:numId="18">
    <w:abstractNumId w:val="18"/>
  </w:num>
  <w:num w:numId="19">
    <w:abstractNumId w:val="13"/>
  </w:num>
  <w:num w:numId="20">
    <w:abstractNumId w:val="2"/>
  </w:num>
  <w:num w:numId="21">
    <w:abstractNumId w:val="22"/>
  </w:num>
  <w:num w:numId="22">
    <w:abstractNumId w:val="34"/>
  </w:num>
  <w:num w:numId="23">
    <w:abstractNumId w:val="30"/>
  </w:num>
  <w:num w:numId="24">
    <w:abstractNumId w:val="35"/>
  </w:num>
  <w:num w:numId="25">
    <w:abstractNumId w:val="9"/>
  </w:num>
  <w:num w:numId="26">
    <w:abstractNumId w:val="12"/>
  </w:num>
  <w:num w:numId="27">
    <w:abstractNumId w:val="26"/>
  </w:num>
  <w:num w:numId="28">
    <w:abstractNumId w:val="15"/>
  </w:num>
  <w:num w:numId="29">
    <w:abstractNumId w:val="14"/>
  </w:num>
  <w:num w:numId="30">
    <w:abstractNumId w:val="1"/>
  </w:num>
  <w:num w:numId="31">
    <w:abstractNumId w:val="3"/>
  </w:num>
  <w:num w:numId="32">
    <w:abstractNumId w:val="0"/>
  </w:num>
  <w:num w:numId="33">
    <w:abstractNumId w:val="5"/>
  </w:num>
  <w:num w:numId="34">
    <w:abstractNumId w:val="20"/>
  </w:num>
  <w:num w:numId="35">
    <w:abstractNumId w:val="23"/>
  </w:num>
  <w:num w:numId="36">
    <w:abstractNumId w:val="37"/>
  </w:num>
  <w:num w:numId="37">
    <w:abstractNumId w:val="19"/>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Graphics" w:val="X"/>
    <w:docVar w:name="WfJumps" w:val="no"/>
    <w:docVar w:name="WfLastSegment" w:val=" 3975"/>
    <w:docVar w:name="WfRevTM" w:val="C:\Documents and Settings\Brigitte\Mijn documenten\AEWA\Wordfast\TM-AEWA.txt"/>
    <w:docVar w:name="WfStyleNames" w:val=",1 / 1.1 / 1.1.1,1 / a / i,3D-effecten voor tabel 1,3D-effecten voor tabel 2,3D-effecten voor tabel 3,Aanhef,Adres envelop,Afsluiting,Afzender,Artikel/sectie,Ballontekst,Balloon Text Char,Berichtkop,Bijschrift,Bloktekst,Body Text 2 Char,Body Text Indent 2 Char,Body Text Indent Char,Bronvermelding,Comment Subject Char,Comment Text Char,Datum,Documentstructuur,Eenvoudige tabel 1,Eenvoudige tabel 2,Eenvoudige tabel 3,Eigentijdse tabel,Eindnootmarkering,Eindnoottekst,Elegante tabel,E-mailhandtekening,Footer Char,Footnote Text Char,Geen lijst,GevolgdeHyperlink,Handtekening,Header Char,Heading 1 Char,Heading 2 Char,HTML - vooraf opgemaakt,HTML Code,HTML Definition,HTML Variable,HTML-acroniem,HTML-adres,HTML-citaat,HTML-schrijfmachine,HTML-toetsenbord,HTML-voorbeeld,Hyperlink,Index 1,Index 2,Index 3,Index 4,Index 5,Index 6,Index 7,Index 8,Index 9,Indexkop,Inhopg 1,Inhopg 2,Inhopg 3,Inhopg 4,Inhopg 5,Inhopg 6,Inhopg 7,Inhopg 8,Inhopg 9,Klassieke tabel 1,Klassieke tabel 2,Klassieke tabel 3,Klassieke tabel 4,Kleurrijke tabel 1,Kleurrijke tabel 2,Kleurrijke tabel 3,Kop 1,Kop 2,Kop 3,Kop 4,Kop 5,Kop 6,Kop 7,Kop 8,Kop 9,Kop bronvermelding,Koptekst,Lijst,Lijst 2,Lijst 3,Lijst 4,Lijst 5,Lijst met afbeeldingen,Lijst opsom.teken,Lijst opsom.teken 2,Lijst opsom.teken 3,Lijst opsom.teken 4,Lijst opsom.teken 5,Lijstnummering,Lijstnummering 2,Lijstnummering 3,Lijstnummering 4,Lijstnummering 5,Lijstvoortzetting,Lijstvoortzetting 2,Lijstvoortzetting 3,Lijstvoortzetting 4,Lijstvoortzetting 5,List Paragraph,Macrotekst,Nadruk,Normaal (web),Notitiekop,Onderwerp van opmerking,Paginanummer,Platte tekst,Platte tekst 2,Platte tekst 3,Platte tekst eerste inspringing,Platte tekst eerste inspringing 2,Platte tekst inspringen,Platte tekst inspringen 2,Platte tekst inspringen 3,Professionele tabel,Regelnummer,Standaard,Standaardalinea-lettertype,Standaardinspringing,Standaardtabel,Subtitel,Tabelkolommen 1,Tabelkolommen 2,Tabelkolommen 3,Tabelkolommen 4,Tabelkolommen 5,Tabellijst 1,Tabellijst 2,Tabellijst 3,Tabellijst 4,Tabellijst 5,Tabellijst 6,Tabellijst 7,Tabellijst 8,Tabelraster,Tabelraster 1,Tabelraster 2,Tabelraster 3,Tabelraster 4,Tabelraster 5,Tabelraster 6,Tabelraster 7,Tabelraster 8,Tabelthema,Tekst opmerking,Tekst zonder opmaak,Titel,tw4winMark,Verfijnde tabel 1,Verfijnde tabel 2,Verwijzing opmerking,Voetnootmarkering,Voetnoottekst,Voettekst,Webtabel 1,Webtabel 2,Webtabel 3,Zwaar,"/>
    <w:docVar w:name="WfStyles" w:val="167"/>
    <w:docVar w:name="WfTags" w:val="no00"/>
  </w:docVars>
  <w:rsids>
    <w:rsidRoot w:val="00B61FA1"/>
    <w:rsid w:val="00001541"/>
    <w:rsid w:val="00003C54"/>
    <w:rsid w:val="0000420C"/>
    <w:rsid w:val="00005DC8"/>
    <w:rsid w:val="00007E82"/>
    <w:rsid w:val="00012B42"/>
    <w:rsid w:val="0001561A"/>
    <w:rsid w:val="00016612"/>
    <w:rsid w:val="00016E7B"/>
    <w:rsid w:val="00020758"/>
    <w:rsid w:val="000269B7"/>
    <w:rsid w:val="00032958"/>
    <w:rsid w:val="00035E17"/>
    <w:rsid w:val="000375C2"/>
    <w:rsid w:val="000429F8"/>
    <w:rsid w:val="000437CA"/>
    <w:rsid w:val="0004437F"/>
    <w:rsid w:val="000443DD"/>
    <w:rsid w:val="00046066"/>
    <w:rsid w:val="00056E79"/>
    <w:rsid w:val="00060494"/>
    <w:rsid w:val="0006129C"/>
    <w:rsid w:val="00062E18"/>
    <w:rsid w:val="00065914"/>
    <w:rsid w:val="000666BF"/>
    <w:rsid w:val="0007677D"/>
    <w:rsid w:val="00081AFB"/>
    <w:rsid w:val="00081E82"/>
    <w:rsid w:val="00082F7B"/>
    <w:rsid w:val="000831C0"/>
    <w:rsid w:val="00086A00"/>
    <w:rsid w:val="0009186C"/>
    <w:rsid w:val="00093141"/>
    <w:rsid w:val="000977BB"/>
    <w:rsid w:val="000A2F0B"/>
    <w:rsid w:val="000A5A47"/>
    <w:rsid w:val="000B1F85"/>
    <w:rsid w:val="000B21E3"/>
    <w:rsid w:val="000C136A"/>
    <w:rsid w:val="000C172D"/>
    <w:rsid w:val="000C60DF"/>
    <w:rsid w:val="000D3009"/>
    <w:rsid w:val="000D4F56"/>
    <w:rsid w:val="000D729E"/>
    <w:rsid w:val="000D754E"/>
    <w:rsid w:val="000D7552"/>
    <w:rsid w:val="000E0796"/>
    <w:rsid w:val="000E153E"/>
    <w:rsid w:val="000E3E3B"/>
    <w:rsid w:val="000E6AD4"/>
    <w:rsid w:val="000E7202"/>
    <w:rsid w:val="000E723F"/>
    <w:rsid w:val="001009FE"/>
    <w:rsid w:val="0010184A"/>
    <w:rsid w:val="001024AC"/>
    <w:rsid w:val="00103FD3"/>
    <w:rsid w:val="00104C13"/>
    <w:rsid w:val="001061BC"/>
    <w:rsid w:val="00110A1C"/>
    <w:rsid w:val="00120CEE"/>
    <w:rsid w:val="00124081"/>
    <w:rsid w:val="00127260"/>
    <w:rsid w:val="0013166E"/>
    <w:rsid w:val="001331B4"/>
    <w:rsid w:val="0013480C"/>
    <w:rsid w:val="00135299"/>
    <w:rsid w:val="0014138D"/>
    <w:rsid w:val="00145E99"/>
    <w:rsid w:val="001466F1"/>
    <w:rsid w:val="001471A0"/>
    <w:rsid w:val="00147B09"/>
    <w:rsid w:val="00147DF3"/>
    <w:rsid w:val="00151551"/>
    <w:rsid w:val="001524B5"/>
    <w:rsid w:val="00167D59"/>
    <w:rsid w:val="00174F9D"/>
    <w:rsid w:val="00180411"/>
    <w:rsid w:val="00182DCC"/>
    <w:rsid w:val="001831C1"/>
    <w:rsid w:val="001860B9"/>
    <w:rsid w:val="001863A7"/>
    <w:rsid w:val="00186687"/>
    <w:rsid w:val="0018695A"/>
    <w:rsid w:val="0018769D"/>
    <w:rsid w:val="0019217E"/>
    <w:rsid w:val="00196E67"/>
    <w:rsid w:val="001A00B6"/>
    <w:rsid w:val="001B0A15"/>
    <w:rsid w:val="001B186D"/>
    <w:rsid w:val="001B3358"/>
    <w:rsid w:val="001C07F4"/>
    <w:rsid w:val="001C23A8"/>
    <w:rsid w:val="001D21F7"/>
    <w:rsid w:val="001D511A"/>
    <w:rsid w:val="001D7C9B"/>
    <w:rsid w:val="001E03E1"/>
    <w:rsid w:val="001E6E5B"/>
    <w:rsid w:val="001E72CB"/>
    <w:rsid w:val="001E7474"/>
    <w:rsid w:val="001F1D9A"/>
    <w:rsid w:val="001F4316"/>
    <w:rsid w:val="001F6783"/>
    <w:rsid w:val="00201371"/>
    <w:rsid w:val="002039A6"/>
    <w:rsid w:val="00204B88"/>
    <w:rsid w:val="00205D96"/>
    <w:rsid w:val="00207325"/>
    <w:rsid w:val="00214355"/>
    <w:rsid w:val="0021643B"/>
    <w:rsid w:val="0022077A"/>
    <w:rsid w:val="002303AF"/>
    <w:rsid w:val="002318FA"/>
    <w:rsid w:val="002324AC"/>
    <w:rsid w:val="0023436A"/>
    <w:rsid w:val="00236A80"/>
    <w:rsid w:val="0024024F"/>
    <w:rsid w:val="0025297E"/>
    <w:rsid w:val="00252BD6"/>
    <w:rsid w:val="0025685C"/>
    <w:rsid w:val="002730EF"/>
    <w:rsid w:val="002733C4"/>
    <w:rsid w:val="00276BD2"/>
    <w:rsid w:val="00280C80"/>
    <w:rsid w:val="00282C68"/>
    <w:rsid w:val="00286103"/>
    <w:rsid w:val="0028636B"/>
    <w:rsid w:val="00286F44"/>
    <w:rsid w:val="002932C1"/>
    <w:rsid w:val="00295462"/>
    <w:rsid w:val="002962F8"/>
    <w:rsid w:val="002A0125"/>
    <w:rsid w:val="002A0A9C"/>
    <w:rsid w:val="002A3D00"/>
    <w:rsid w:val="002A4AAF"/>
    <w:rsid w:val="002B1A4A"/>
    <w:rsid w:val="002C0332"/>
    <w:rsid w:val="002C3717"/>
    <w:rsid w:val="002C646F"/>
    <w:rsid w:val="002C7A3D"/>
    <w:rsid w:val="002D0F07"/>
    <w:rsid w:val="002D0F40"/>
    <w:rsid w:val="002D1CC3"/>
    <w:rsid w:val="002D3407"/>
    <w:rsid w:val="002D3C0E"/>
    <w:rsid w:val="002D699D"/>
    <w:rsid w:val="002D76DC"/>
    <w:rsid w:val="002E4C1F"/>
    <w:rsid w:val="002E6092"/>
    <w:rsid w:val="002F0141"/>
    <w:rsid w:val="002F17A0"/>
    <w:rsid w:val="002F2F5A"/>
    <w:rsid w:val="002F5B70"/>
    <w:rsid w:val="002F708E"/>
    <w:rsid w:val="002F7147"/>
    <w:rsid w:val="003011BF"/>
    <w:rsid w:val="00302258"/>
    <w:rsid w:val="00303606"/>
    <w:rsid w:val="00303A58"/>
    <w:rsid w:val="003072A9"/>
    <w:rsid w:val="00312BA0"/>
    <w:rsid w:val="003209C2"/>
    <w:rsid w:val="00320F6C"/>
    <w:rsid w:val="003412DF"/>
    <w:rsid w:val="00343971"/>
    <w:rsid w:val="00346504"/>
    <w:rsid w:val="00351DE8"/>
    <w:rsid w:val="00352B28"/>
    <w:rsid w:val="00353767"/>
    <w:rsid w:val="0036191D"/>
    <w:rsid w:val="00363840"/>
    <w:rsid w:val="00365117"/>
    <w:rsid w:val="00367E20"/>
    <w:rsid w:val="00374364"/>
    <w:rsid w:val="00383FCF"/>
    <w:rsid w:val="0038538C"/>
    <w:rsid w:val="003973CA"/>
    <w:rsid w:val="003A4E89"/>
    <w:rsid w:val="003A55E3"/>
    <w:rsid w:val="003A596F"/>
    <w:rsid w:val="003A611F"/>
    <w:rsid w:val="003A6C16"/>
    <w:rsid w:val="003A7E7A"/>
    <w:rsid w:val="003B05C0"/>
    <w:rsid w:val="003B2918"/>
    <w:rsid w:val="003B4398"/>
    <w:rsid w:val="003B5315"/>
    <w:rsid w:val="003C320A"/>
    <w:rsid w:val="003C5B75"/>
    <w:rsid w:val="003C6D9E"/>
    <w:rsid w:val="003D434A"/>
    <w:rsid w:val="003E0DB9"/>
    <w:rsid w:val="003E2C1C"/>
    <w:rsid w:val="003E541A"/>
    <w:rsid w:val="0040490B"/>
    <w:rsid w:val="00405DAB"/>
    <w:rsid w:val="00407D1C"/>
    <w:rsid w:val="00410112"/>
    <w:rsid w:val="00416D63"/>
    <w:rsid w:val="00420658"/>
    <w:rsid w:val="00423F79"/>
    <w:rsid w:val="00424674"/>
    <w:rsid w:val="004313BF"/>
    <w:rsid w:val="00433C71"/>
    <w:rsid w:val="00435106"/>
    <w:rsid w:val="00436FF1"/>
    <w:rsid w:val="004370A6"/>
    <w:rsid w:val="0044190E"/>
    <w:rsid w:val="00443B2F"/>
    <w:rsid w:val="00444A2F"/>
    <w:rsid w:val="0046215D"/>
    <w:rsid w:val="004623B2"/>
    <w:rsid w:val="00463C05"/>
    <w:rsid w:val="004705D7"/>
    <w:rsid w:val="00471EB7"/>
    <w:rsid w:val="00472453"/>
    <w:rsid w:val="004820D4"/>
    <w:rsid w:val="00491A1F"/>
    <w:rsid w:val="00497689"/>
    <w:rsid w:val="004A389B"/>
    <w:rsid w:val="004A43AA"/>
    <w:rsid w:val="004A64C8"/>
    <w:rsid w:val="004B57A6"/>
    <w:rsid w:val="004B698D"/>
    <w:rsid w:val="004B7125"/>
    <w:rsid w:val="004B75C0"/>
    <w:rsid w:val="004C5E5B"/>
    <w:rsid w:val="004C5FE4"/>
    <w:rsid w:val="004C741D"/>
    <w:rsid w:val="004C7E00"/>
    <w:rsid w:val="004E1B95"/>
    <w:rsid w:val="004E739F"/>
    <w:rsid w:val="004F3C21"/>
    <w:rsid w:val="004F4E6A"/>
    <w:rsid w:val="004F71B1"/>
    <w:rsid w:val="00500F13"/>
    <w:rsid w:val="00512435"/>
    <w:rsid w:val="00514F6E"/>
    <w:rsid w:val="00517C62"/>
    <w:rsid w:val="00536EF5"/>
    <w:rsid w:val="005426DD"/>
    <w:rsid w:val="0054365C"/>
    <w:rsid w:val="00545304"/>
    <w:rsid w:val="005507DE"/>
    <w:rsid w:val="00562ED2"/>
    <w:rsid w:val="00564170"/>
    <w:rsid w:val="00567628"/>
    <w:rsid w:val="00567C8B"/>
    <w:rsid w:val="005702D0"/>
    <w:rsid w:val="0057410D"/>
    <w:rsid w:val="00575367"/>
    <w:rsid w:val="005816D2"/>
    <w:rsid w:val="0058253D"/>
    <w:rsid w:val="00586EFA"/>
    <w:rsid w:val="00595FCD"/>
    <w:rsid w:val="005970C7"/>
    <w:rsid w:val="005A3CF6"/>
    <w:rsid w:val="005B3B45"/>
    <w:rsid w:val="005C65D3"/>
    <w:rsid w:val="005D310B"/>
    <w:rsid w:val="005D4501"/>
    <w:rsid w:val="005D54ED"/>
    <w:rsid w:val="005F11C9"/>
    <w:rsid w:val="005F420E"/>
    <w:rsid w:val="00601FA0"/>
    <w:rsid w:val="006029C5"/>
    <w:rsid w:val="0060313F"/>
    <w:rsid w:val="006033FC"/>
    <w:rsid w:val="006075EE"/>
    <w:rsid w:val="00607D15"/>
    <w:rsid w:val="006120A0"/>
    <w:rsid w:val="006122CD"/>
    <w:rsid w:val="00614C8C"/>
    <w:rsid w:val="006204C7"/>
    <w:rsid w:val="00624230"/>
    <w:rsid w:val="00624EA5"/>
    <w:rsid w:val="00625983"/>
    <w:rsid w:val="00626973"/>
    <w:rsid w:val="00630325"/>
    <w:rsid w:val="006316D6"/>
    <w:rsid w:val="00642915"/>
    <w:rsid w:val="0064694C"/>
    <w:rsid w:val="00650283"/>
    <w:rsid w:val="00657848"/>
    <w:rsid w:val="00657A1D"/>
    <w:rsid w:val="00661EAE"/>
    <w:rsid w:val="00667466"/>
    <w:rsid w:val="00672D61"/>
    <w:rsid w:val="0069010A"/>
    <w:rsid w:val="006A224D"/>
    <w:rsid w:val="006A3859"/>
    <w:rsid w:val="006A4A6F"/>
    <w:rsid w:val="006A6B51"/>
    <w:rsid w:val="006A7D26"/>
    <w:rsid w:val="006A7E60"/>
    <w:rsid w:val="006B1B42"/>
    <w:rsid w:val="006B3A45"/>
    <w:rsid w:val="006B6B98"/>
    <w:rsid w:val="006B6BFF"/>
    <w:rsid w:val="006C0A5C"/>
    <w:rsid w:val="006C4AD5"/>
    <w:rsid w:val="006D1AE1"/>
    <w:rsid w:val="006D28F3"/>
    <w:rsid w:val="006D416C"/>
    <w:rsid w:val="006D5B59"/>
    <w:rsid w:val="006D7A0C"/>
    <w:rsid w:val="006E20CC"/>
    <w:rsid w:val="006F7C1C"/>
    <w:rsid w:val="00700300"/>
    <w:rsid w:val="00701DBB"/>
    <w:rsid w:val="0070257F"/>
    <w:rsid w:val="00703647"/>
    <w:rsid w:val="00704B4A"/>
    <w:rsid w:val="0070587B"/>
    <w:rsid w:val="00713754"/>
    <w:rsid w:val="00713898"/>
    <w:rsid w:val="00714E9A"/>
    <w:rsid w:val="00717CB9"/>
    <w:rsid w:val="00721616"/>
    <w:rsid w:val="00721E31"/>
    <w:rsid w:val="007220FE"/>
    <w:rsid w:val="00722894"/>
    <w:rsid w:val="00734459"/>
    <w:rsid w:val="00734F17"/>
    <w:rsid w:val="0074769B"/>
    <w:rsid w:val="00757F46"/>
    <w:rsid w:val="0076106B"/>
    <w:rsid w:val="00776964"/>
    <w:rsid w:val="00776D32"/>
    <w:rsid w:val="00786AF1"/>
    <w:rsid w:val="00787F5E"/>
    <w:rsid w:val="007967F7"/>
    <w:rsid w:val="0079698D"/>
    <w:rsid w:val="007A7DEC"/>
    <w:rsid w:val="007C4122"/>
    <w:rsid w:val="007C48E8"/>
    <w:rsid w:val="007C719A"/>
    <w:rsid w:val="007E054A"/>
    <w:rsid w:val="007E1121"/>
    <w:rsid w:val="007E5503"/>
    <w:rsid w:val="007F29A1"/>
    <w:rsid w:val="007F4965"/>
    <w:rsid w:val="007F621C"/>
    <w:rsid w:val="00806BB8"/>
    <w:rsid w:val="00806BF4"/>
    <w:rsid w:val="0081098F"/>
    <w:rsid w:val="008115B4"/>
    <w:rsid w:val="0081237A"/>
    <w:rsid w:val="008133AF"/>
    <w:rsid w:val="00813B49"/>
    <w:rsid w:val="0082215E"/>
    <w:rsid w:val="008235E1"/>
    <w:rsid w:val="00826587"/>
    <w:rsid w:val="00836FBA"/>
    <w:rsid w:val="00846896"/>
    <w:rsid w:val="00850BD3"/>
    <w:rsid w:val="0085306B"/>
    <w:rsid w:val="008650A4"/>
    <w:rsid w:val="008733C2"/>
    <w:rsid w:val="00873A73"/>
    <w:rsid w:val="0087707B"/>
    <w:rsid w:val="00881383"/>
    <w:rsid w:val="00891380"/>
    <w:rsid w:val="00893870"/>
    <w:rsid w:val="008A2D39"/>
    <w:rsid w:val="008A64D7"/>
    <w:rsid w:val="008B3285"/>
    <w:rsid w:val="008C477F"/>
    <w:rsid w:val="008C5B08"/>
    <w:rsid w:val="008C664C"/>
    <w:rsid w:val="008C671E"/>
    <w:rsid w:val="008D305B"/>
    <w:rsid w:val="008D5EA5"/>
    <w:rsid w:val="008E7C55"/>
    <w:rsid w:val="008F01CF"/>
    <w:rsid w:val="008F0DEA"/>
    <w:rsid w:val="008F1A13"/>
    <w:rsid w:val="008F3F56"/>
    <w:rsid w:val="008F4E75"/>
    <w:rsid w:val="008F5793"/>
    <w:rsid w:val="008F673B"/>
    <w:rsid w:val="00903E6E"/>
    <w:rsid w:val="00910E42"/>
    <w:rsid w:val="00915632"/>
    <w:rsid w:val="00915974"/>
    <w:rsid w:val="009164F2"/>
    <w:rsid w:val="00917145"/>
    <w:rsid w:val="00920D9E"/>
    <w:rsid w:val="00926BD3"/>
    <w:rsid w:val="009317D9"/>
    <w:rsid w:val="00933BC3"/>
    <w:rsid w:val="00936377"/>
    <w:rsid w:val="009368C6"/>
    <w:rsid w:val="00942B3F"/>
    <w:rsid w:val="00946F71"/>
    <w:rsid w:val="009536B0"/>
    <w:rsid w:val="0095479F"/>
    <w:rsid w:val="0095597C"/>
    <w:rsid w:val="00960705"/>
    <w:rsid w:val="0096231C"/>
    <w:rsid w:val="009651FA"/>
    <w:rsid w:val="0096554E"/>
    <w:rsid w:val="0096757D"/>
    <w:rsid w:val="0096780E"/>
    <w:rsid w:val="009762B5"/>
    <w:rsid w:val="00983A12"/>
    <w:rsid w:val="009862C9"/>
    <w:rsid w:val="00990AB9"/>
    <w:rsid w:val="009939C4"/>
    <w:rsid w:val="009A1226"/>
    <w:rsid w:val="009A4182"/>
    <w:rsid w:val="009A7F89"/>
    <w:rsid w:val="009D6B38"/>
    <w:rsid w:val="009E320C"/>
    <w:rsid w:val="009E6879"/>
    <w:rsid w:val="009E710E"/>
    <w:rsid w:val="009F08B0"/>
    <w:rsid w:val="009F14D3"/>
    <w:rsid w:val="009F1DEA"/>
    <w:rsid w:val="009F213E"/>
    <w:rsid w:val="009F3CBB"/>
    <w:rsid w:val="009F47B1"/>
    <w:rsid w:val="009F48A3"/>
    <w:rsid w:val="009F59F9"/>
    <w:rsid w:val="009F6DE5"/>
    <w:rsid w:val="00A0506F"/>
    <w:rsid w:val="00A055F2"/>
    <w:rsid w:val="00A1148E"/>
    <w:rsid w:val="00A13B54"/>
    <w:rsid w:val="00A14715"/>
    <w:rsid w:val="00A14C83"/>
    <w:rsid w:val="00A2006D"/>
    <w:rsid w:val="00A30CC7"/>
    <w:rsid w:val="00A323A2"/>
    <w:rsid w:val="00A325A1"/>
    <w:rsid w:val="00A36A12"/>
    <w:rsid w:val="00A43C8F"/>
    <w:rsid w:val="00A449A8"/>
    <w:rsid w:val="00A50574"/>
    <w:rsid w:val="00A63850"/>
    <w:rsid w:val="00A64117"/>
    <w:rsid w:val="00A73552"/>
    <w:rsid w:val="00A82912"/>
    <w:rsid w:val="00A83B49"/>
    <w:rsid w:val="00A84DF2"/>
    <w:rsid w:val="00A86EF9"/>
    <w:rsid w:val="00A9285C"/>
    <w:rsid w:val="00A96A93"/>
    <w:rsid w:val="00A96FB4"/>
    <w:rsid w:val="00AA1593"/>
    <w:rsid w:val="00AA21C6"/>
    <w:rsid w:val="00AB3961"/>
    <w:rsid w:val="00AB4BCB"/>
    <w:rsid w:val="00AC338D"/>
    <w:rsid w:val="00AC55DC"/>
    <w:rsid w:val="00AD1C9B"/>
    <w:rsid w:val="00AD54DA"/>
    <w:rsid w:val="00AD7CD1"/>
    <w:rsid w:val="00AE0F75"/>
    <w:rsid w:val="00AE4F2F"/>
    <w:rsid w:val="00AE7556"/>
    <w:rsid w:val="00B033C2"/>
    <w:rsid w:val="00B04408"/>
    <w:rsid w:val="00B04954"/>
    <w:rsid w:val="00B07DB1"/>
    <w:rsid w:val="00B10D26"/>
    <w:rsid w:val="00B10E59"/>
    <w:rsid w:val="00B2188E"/>
    <w:rsid w:val="00B233AA"/>
    <w:rsid w:val="00B254B6"/>
    <w:rsid w:val="00B27356"/>
    <w:rsid w:val="00B27C2A"/>
    <w:rsid w:val="00B30BE0"/>
    <w:rsid w:val="00B37692"/>
    <w:rsid w:val="00B37E95"/>
    <w:rsid w:val="00B50634"/>
    <w:rsid w:val="00B56DEB"/>
    <w:rsid w:val="00B5726C"/>
    <w:rsid w:val="00B61FA1"/>
    <w:rsid w:val="00B71F68"/>
    <w:rsid w:val="00B755DB"/>
    <w:rsid w:val="00B80F7C"/>
    <w:rsid w:val="00B838D0"/>
    <w:rsid w:val="00B8682C"/>
    <w:rsid w:val="00B86871"/>
    <w:rsid w:val="00B87239"/>
    <w:rsid w:val="00B874D1"/>
    <w:rsid w:val="00B92E67"/>
    <w:rsid w:val="00B9317B"/>
    <w:rsid w:val="00B93199"/>
    <w:rsid w:val="00B931AF"/>
    <w:rsid w:val="00B93DD8"/>
    <w:rsid w:val="00BA2318"/>
    <w:rsid w:val="00BA2946"/>
    <w:rsid w:val="00BA2B02"/>
    <w:rsid w:val="00BA32C6"/>
    <w:rsid w:val="00BA3AEC"/>
    <w:rsid w:val="00BA790F"/>
    <w:rsid w:val="00BB1FB6"/>
    <w:rsid w:val="00BB448C"/>
    <w:rsid w:val="00BB60C5"/>
    <w:rsid w:val="00BB60D2"/>
    <w:rsid w:val="00BC159D"/>
    <w:rsid w:val="00BC1F70"/>
    <w:rsid w:val="00BC59CD"/>
    <w:rsid w:val="00BC6B20"/>
    <w:rsid w:val="00BD17AE"/>
    <w:rsid w:val="00BD55FA"/>
    <w:rsid w:val="00BE634D"/>
    <w:rsid w:val="00BE7D81"/>
    <w:rsid w:val="00BF02B0"/>
    <w:rsid w:val="00BF1422"/>
    <w:rsid w:val="00BF1C7E"/>
    <w:rsid w:val="00BF56EC"/>
    <w:rsid w:val="00BF69C2"/>
    <w:rsid w:val="00BF6A3E"/>
    <w:rsid w:val="00BF6F6E"/>
    <w:rsid w:val="00C01060"/>
    <w:rsid w:val="00C01A0A"/>
    <w:rsid w:val="00C061F0"/>
    <w:rsid w:val="00C10107"/>
    <w:rsid w:val="00C115C9"/>
    <w:rsid w:val="00C152CC"/>
    <w:rsid w:val="00C17DCC"/>
    <w:rsid w:val="00C243E0"/>
    <w:rsid w:val="00C259B5"/>
    <w:rsid w:val="00C25EAD"/>
    <w:rsid w:val="00C307B3"/>
    <w:rsid w:val="00C31A30"/>
    <w:rsid w:val="00C3302E"/>
    <w:rsid w:val="00C34B19"/>
    <w:rsid w:val="00C363C7"/>
    <w:rsid w:val="00C37179"/>
    <w:rsid w:val="00C46B0D"/>
    <w:rsid w:val="00C626A7"/>
    <w:rsid w:val="00C645F5"/>
    <w:rsid w:val="00C66A97"/>
    <w:rsid w:val="00C700E5"/>
    <w:rsid w:val="00C7265B"/>
    <w:rsid w:val="00C72EF1"/>
    <w:rsid w:val="00C80D6A"/>
    <w:rsid w:val="00C8213D"/>
    <w:rsid w:val="00C83EC9"/>
    <w:rsid w:val="00CA29A4"/>
    <w:rsid w:val="00CA4959"/>
    <w:rsid w:val="00CB09EB"/>
    <w:rsid w:val="00CB1CAA"/>
    <w:rsid w:val="00CB4559"/>
    <w:rsid w:val="00CB5BC7"/>
    <w:rsid w:val="00CB78AA"/>
    <w:rsid w:val="00CC0413"/>
    <w:rsid w:val="00CC3D4A"/>
    <w:rsid w:val="00CC3F9D"/>
    <w:rsid w:val="00CC509F"/>
    <w:rsid w:val="00CC642D"/>
    <w:rsid w:val="00CD5DC5"/>
    <w:rsid w:val="00CE532C"/>
    <w:rsid w:val="00CF1B02"/>
    <w:rsid w:val="00CF5F07"/>
    <w:rsid w:val="00CF700D"/>
    <w:rsid w:val="00D07098"/>
    <w:rsid w:val="00D070CF"/>
    <w:rsid w:val="00D10B85"/>
    <w:rsid w:val="00D16EA3"/>
    <w:rsid w:val="00D17F2F"/>
    <w:rsid w:val="00D20BFF"/>
    <w:rsid w:val="00D21818"/>
    <w:rsid w:val="00D25931"/>
    <w:rsid w:val="00D31CD3"/>
    <w:rsid w:val="00D34E04"/>
    <w:rsid w:val="00D42017"/>
    <w:rsid w:val="00D42B9C"/>
    <w:rsid w:val="00D431EE"/>
    <w:rsid w:val="00D452FD"/>
    <w:rsid w:val="00D5283A"/>
    <w:rsid w:val="00D64496"/>
    <w:rsid w:val="00D651C8"/>
    <w:rsid w:val="00D66D39"/>
    <w:rsid w:val="00D675DE"/>
    <w:rsid w:val="00D67635"/>
    <w:rsid w:val="00D73CF9"/>
    <w:rsid w:val="00D75AF7"/>
    <w:rsid w:val="00D801A7"/>
    <w:rsid w:val="00D83D84"/>
    <w:rsid w:val="00D8637F"/>
    <w:rsid w:val="00D90E89"/>
    <w:rsid w:val="00D96ABD"/>
    <w:rsid w:val="00DA2E04"/>
    <w:rsid w:val="00DA5452"/>
    <w:rsid w:val="00DB4C8B"/>
    <w:rsid w:val="00DB6FF8"/>
    <w:rsid w:val="00DC27FB"/>
    <w:rsid w:val="00DC2858"/>
    <w:rsid w:val="00DC2CD3"/>
    <w:rsid w:val="00DC3105"/>
    <w:rsid w:val="00DC3B8C"/>
    <w:rsid w:val="00DD42FD"/>
    <w:rsid w:val="00DD61ED"/>
    <w:rsid w:val="00DE32ED"/>
    <w:rsid w:val="00DE3DCA"/>
    <w:rsid w:val="00DE4993"/>
    <w:rsid w:val="00DE5932"/>
    <w:rsid w:val="00DE6C76"/>
    <w:rsid w:val="00DE7AEB"/>
    <w:rsid w:val="00DE7D6E"/>
    <w:rsid w:val="00DF26A5"/>
    <w:rsid w:val="00DF587D"/>
    <w:rsid w:val="00E01832"/>
    <w:rsid w:val="00E02643"/>
    <w:rsid w:val="00E043A4"/>
    <w:rsid w:val="00E06866"/>
    <w:rsid w:val="00E10ABE"/>
    <w:rsid w:val="00E146C3"/>
    <w:rsid w:val="00E150EF"/>
    <w:rsid w:val="00E161B6"/>
    <w:rsid w:val="00E20554"/>
    <w:rsid w:val="00E227CD"/>
    <w:rsid w:val="00E319E0"/>
    <w:rsid w:val="00E37418"/>
    <w:rsid w:val="00E47B31"/>
    <w:rsid w:val="00E55F1B"/>
    <w:rsid w:val="00E62103"/>
    <w:rsid w:val="00E66F3D"/>
    <w:rsid w:val="00E719DA"/>
    <w:rsid w:val="00E7226C"/>
    <w:rsid w:val="00E75172"/>
    <w:rsid w:val="00E75B9E"/>
    <w:rsid w:val="00E776C6"/>
    <w:rsid w:val="00E80962"/>
    <w:rsid w:val="00E84870"/>
    <w:rsid w:val="00E84D98"/>
    <w:rsid w:val="00E925D5"/>
    <w:rsid w:val="00E965A8"/>
    <w:rsid w:val="00EA1BA4"/>
    <w:rsid w:val="00EA33FD"/>
    <w:rsid w:val="00EA648C"/>
    <w:rsid w:val="00EB04C8"/>
    <w:rsid w:val="00EB2B1A"/>
    <w:rsid w:val="00EB2FF9"/>
    <w:rsid w:val="00EB38A4"/>
    <w:rsid w:val="00EB53B1"/>
    <w:rsid w:val="00EB782E"/>
    <w:rsid w:val="00EC038F"/>
    <w:rsid w:val="00EC19F9"/>
    <w:rsid w:val="00ED4C80"/>
    <w:rsid w:val="00ED570E"/>
    <w:rsid w:val="00EE02FE"/>
    <w:rsid w:val="00EE6F23"/>
    <w:rsid w:val="00EE7CEB"/>
    <w:rsid w:val="00F02E1D"/>
    <w:rsid w:val="00F060C6"/>
    <w:rsid w:val="00F133FB"/>
    <w:rsid w:val="00F174AF"/>
    <w:rsid w:val="00F17509"/>
    <w:rsid w:val="00F20F60"/>
    <w:rsid w:val="00F21174"/>
    <w:rsid w:val="00F22382"/>
    <w:rsid w:val="00F30C52"/>
    <w:rsid w:val="00F35296"/>
    <w:rsid w:val="00F42807"/>
    <w:rsid w:val="00F4641F"/>
    <w:rsid w:val="00F46B48"/>
    <w:rsid w:val="00F47272"/>
    <w:rsid w:val="00F51048"/>
    <w:rsid w:val="00F549FA"/>
    <w:rsid w:val="00F57D13"/>
    <w:rsid w:val="00F615D7"/>
    <w:rsid w:val="00F627A7"/>
    <w:rsid w:val="00F627E9"/>
    <w:rsid w:val="00F65449"/>
    <w:rsid w:val="00F81B26"/>
    <w:rsid w:val="00F81EEA"/>
    <w:rsid w:val="00F85886"/>
    <w:rsid w:val="00F87A0B"/>
    <w:rsid w:val="00F93F2F"/>
    <w:rsid w:val="00FA313F"/>
    <w:rsid w:val="00FA6D32"/>
    <w:rsid w:val="00FB1E11"/>
    <w:rsid w:val="00FB606F"/>
    <w:rsid w:val="00FB7DD3"/>
    <w:rsid w:val="00FC2B6A"/>
    <w:rsid w:val="00FD081E"/>
    <w:rsid w:val="00FD1D89"/>
    <w:rsid w:val="00FE0BD0"/>
    <w:rsid w:val="00FE4106"/>
    <w:rsid w:val="00FE48D6"/>
    <w:rsid w:val="00FF1858"/>
    <w:rsid w:val="00FF414C"/>
    <w:rsid w:val="00FF60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F89"/>
    <w:rPr>
      <w:sz w:val="24"/>
      <w:szCs w:val="24"/>
      <w:lang w:val="en-US" w:eastAsia="en-US"/>
    </w:rPr>
  </w:style>
  <w:style w:type="paragraph" w:styleId="Heading1">
    <w:name w:val="heading 1"/>
    <w:basedOn w:val="Normal"/>
    <w:next w:val="Normal"/>
    <w:link w:val="Heading1Char"/>
    <w:uiPriority w:val="99"/>
    <w:qFormat/>
    <w:rsid w:val="008F0DEA"/>
    <w:pPr>
      <w:keepNext/>
      <w:numPr>
        <w:numId w:val="5"/>
      </w:numPr>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8F0DEA"/>
    <w:pPr>
      <w:keepNext/>
      <w:numPr>
        <w:ilvl w:val="1"/>
        <w:numId w:val="5"/>
      </w:numPr>
      <w:spacing w:before="240" w:after="60"/>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17A0"/>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sid w:val="002F17A0"/>
    <w:rPr>
      <w:rFonts w:ascii="Cambria" w:hAnsi="Cambria" w:cs="Cambria"/>
      <w:b/>
      <w:bCs/>
      <w:i/>
      <w:iCs/>
      <w:sz w:val="28"/>
      <w:szCs w:val="28"/>
      <w:lang w:val="en-US" w:eastAsia="en-US"/>
    </w:rPr>
  </w:style>
  <w:style w:type="paragraph" w:styleId="BalloonText">
    <w:name w:val="Balloon Text"/>
    <w:basedOn w:val="Normal"/>
    <w:link w:val="BalloonTextChar"/>
    <w:uiPriority w:val="99"/>
    <w:semiHidden/>
    <w:rsid w:val="00B61FA1"/>
    <w:rPr>
      <w:rFonts w:ascii="Tahoma" w:hAnsi="Tahoma" w:cs="Tahoma"/>
      <w:sz w:val="16"/>
      <w:szCs w:val="16"/>
    </w:rPr>
  </w:style>
  <w:style w:type="character" w:customStyle="1" w:styleId="BalloonTextChar">
    <w:name w:val="Balloon Text Char"/>
    <w:basedOn w:val="DefaultParagraphFont"/>
    <w:link w:val="BalloonText"/>
    <w:uiPriority w:val="99"/>
    <w:locked/>
    <w:rsid w:val="00B61FA1"/>
    <w:rPr>
      <w:rFonts w:ascii="Tahoma" w:hAnsi="Tahoma" w:cs="Tahoma"/>
      <w:sz w:val="16"/>
      <w:szCs w:val="16"/>
    </w:rPr>
  </w:style>
  <w:style w:type="paragraph" w:styleId="Header">
    <w:name w:val="header"/>
    <w:basedOn w:val="Normal"/>
    <w:link w:val="HeaderChar"/>
    <w:uiPriority w:val="99"/>
    <w:rsid w:val="00F627E9"/>
    <w:pPr>
      <w:tabs>
        <w:tab w:val="center" w:pos="4320"/>
        <w:tab w:val="right" w:pos="8640"/>
      </w:tabs>
    </w:pPr>
  </w:style>
  <w:style w:type="character" w:customStyle="1" w:styleId="HeaderChar">
    <w:name w:val="Header Char"/>
    <w:basedOn w:val="DefaultParagraphFont"/>
    <w:link w:val="Header"/>
    <w:uiPriority w:val="99"/>
    <w:locked/>
    <w:rsid w:val="002F17A0"/>
    <w:rPr>
      <w:rFonts w:cs="Times New Roman"/>
      <w:sz w:val="24"/>
      <w:szCs w:val="24"/>
      <w:lang w:val="en-US" w:eastAsia="en-US"/>
    </w:rPr>
  </w:style>
  <w:style w:type="paragraph" w:styleId="Footer">
    <w:name w:val="footer"/>
    <w:basedOn w:val="Normal"/>
    <w:link w:val="FooterChar"/>
    <w:uiPriority w:val="99"/>
    <w:rsid w:val="00F627E9"/>
    <w:pPr>
      <w:tabs>
        <w:tab w:val="center" w:pos="4320"/>
        <w:tab w:val="right" w:pos="8640"/>
      </w:tabs>
    </w:pPr>
  </w:style>
  <w:style w:type="character" w:customStyle="1" w:styleId="FooterChar">
    <w:name w:val="Footer Char"/>
    <w:basedOn w:val="DefaultParagraphFont"/>
    <w:link w:val="Footer"/>
    <w:uiPriority w:val="99"/>
    <w:locked/>
    <w:rsid w:val="002F17A0"/>
    <w:rPr>
      <w:rFonts w:cs="Times New Roman"/>
      <w:sz w:val="24"/>
      <w:szCs w:val="24"/>
      <w:lang w:val="en-US" w:eastAsia="en-US"/>
    </w:rPr>
  </w:style>
  <w:style w:type="paragraph" w:styleId="BodyText2">
    <w:name w:val="Body Text 2"/>
    <w:basedOn w:val="Normal"/>
    <w:link w:val="BodyText2Char"/>
    <w:uiPriority w:val="99"/>
    <w:rsid w:val="00F627E9"/>
  </w:style>
  <w:style w:type="character" w:customStyle="1" w:styleId="BodyText2Char">
    <w:name w:val="Body Text 2 Char"/>
    <w:basedOn w:val="DefaultParagraphFont"/>
    <w:link w:val="BodyText2"/>
    <w:uiPriority w:val="99"/>
    <w:semiHidden/>
    <w:locked/>
    <w:rsid w:val="002F17A0"/>
    <w:rPr>
      <w:rFonts w:cs="Times New Roman"/>
      <w:sz w:val="24"/>
      <w:szCs w:val="24"/>
      <w:lang w:val="en-US" w:eastAsia="en-US"/>
    </w:rPr>
  </w:style>
  <w:style w:type="table" w:styleId="TableGrid">
    <w:name w:val="Table Grid"/>
    <w:basedOn w:val="TableNormal"/>
    <w:uiPriority w:val="99"/>
    <w:rsid w:val="008F0D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F0DEA"/>
    <w:rPr>
      <w:sz w:val="20"/>
      <w:szCs w:val="20"/>
    </w:rPr>
  </w:style>
  <w:style w:type="character" w:customStyle="1" w:styleId="FootnoteTextChar">
    <w:name w:val="Footnote Text Char"/>
    <w:basedOn w:val="DefaultParagraphFont"/>
    <w:link w:val="FootnoteText"/>
    <w:uiPriority w:val="99"/>
    <w:semiHidden/>
    <w:locked/>
    <w:rsid w:val="002F17A0"/>
    <w:rPr>
      <w:rFonts w:cs="Times New Roman"/>
      <w:sz w:val="20"/>
      <w:szCs w:val="20"/>
      <w:lang w:val="en-US" w:eastAsia="en-US"/>
    </w:rPr>
  </w:style>
  <w:style w:type="character" w:styleId="FootnoteReference">
    <w:name w:val="footnote reference"/>
    <w:basedOn w:val="DefaultParagraphFont"/>
    <w:uiPriority w:val="99"/>
    <w:semiHidden/>
    <w:rsid w:val="008F0DEA"/>
    <w:rPr>
      <w:rFonts w:cs="Times New Roman"/>
      <w:vertAlign w:val="superscript"/>
    </w:rPr>
  </w:style>
  <w:style w:type="character" w:styleId="PageNumber">
    <w:name w:val="page number"/>
    <w:basedOn w:val="DefaultParagraphFont"/>
    <w:uiPriority w:val="99"/>
    <w:rsid w:val="008F0DEA"/>
    <w:rPr>
      <w:rFonts w:cs="Times New Roman"/>
    </w:rPr>
  </w:style>
  <w:style w:type="paragraph" w:styleId="ListParagraph">
    <w:name w:val="List Paragraph"/>
    <w:basedOn w:val="Normal"/>
    <w:uiPriority w:val="99"/>
    <w:qFormat/>
    <w:rsid w:val="0070257F"/>
    <w:pPr>
      <w:ind w:left="720"/>
    </w:pPr>
  </w:style>
  <w:style w:type="paragraph" w:styleId="BodyTextIndent2">
    <w:name w:val="Body Text Indent 2"/>
    <w:basedOn w:val="Normal"/>
    <w:link w:val="BodyTextIndent2Char"/>
    <w:uiPriority w:val="99"/>
    <w:rsid w:val="0024024F"/>
    <w:pPr>
      <w:spacing w:after="120" w:line="480" w:lineRule="auto"/>
      <w:ind w:left="360"/>
    </w:pPr>
  </w:style>
  <w:style w:type="character" w:customStyle="1" w:styleId="BodyTextIndent2Char">
    <w:name w:val="Body Text Indent 2 Char"/>
    <w:basedOn w:val="DefaultParagraphFont"/>
    <w:link w:val="BodyTextIndent2"/>
    <w:uiPriority w:val="99"/>
    <w:locked/>
    <w:rsid w:val="0024024F"/>
    <w:rPr>
      <w:rFonts w:cs="Times New Roman"/>
      <w:sz w:val="24"/>
      <w:szCs w:val="24"/>
    </w:rPr>
  </w:style>
  <w:style w:type="paragraph" w:styleId="BodyTextIndent">
    <w:name w:val="Body Text Indent"/>
    <w:basedOn w:val="Normal"/>
    <w:link w:val="BodyTextIndentChar"/>
    <w:uiPriority w:val="99"/>
    <w:rsid w:val="00147DF3"/>
    <w:pPr>
      <w:spacing w:after="120"/>
      <w:ind w:left="360"/>
    </w:pPr>
  </w:style>
  <w:style w:type="character" w:customStyle="1" w:styleId="BodyTextIndentChar">
    <w:name w:val="Body Text Indent Char"/>
    <w:basedOn w:val="DefaultParagraphFont"/>
    <w:link w:val="BodyTextIndent"/>
    <w:uiPriority w:val="99"/>
    <w:locked/>
    <w:rsid w:val="00147DF3"/>
    <w:rPr>
      <w:rFonts w:cs="Times New Roman"/>
      <w:sz w:val="24"/>
      <w:szCs w:val="24"/>
    </w:rPr>
  </w:style>
  <w:style w:type="character" w:styleId="Hyperlink">
    <w:name w:val="Hyperlink"/>
    <w:basedOn w:val="DefaultParagraphFont"/>
    <w:uiPriority w:val="99"/>
    <w:rsid w:val="00FA6D32"/>
    <w:rPr>
      <w:rFonts w:cs="Times New Roman"/>
      <w:color w:val="0000FF"/>
      <w:u w:val="single"/>
    </w:rPr>
  </w:style>
  <w:style w:type="character" w:styleId="CommentReference">
    <w:name w:val="annotation reference"/>
    <w:basedOn w:val="DefaultParagraphFont"/>
    <w:uiPriority w:val="99"/>
    <w:semiHidden/>
    <w:rsid w:val="004820D4"/>
    <w:rPr>
      <w:rFonts w:cs="Times New Roman"/>
      <w:sz w:val="16"/>
      <w:szCs w:val="16"/>
    </w:rPr>
  </w:style>
  <w:style w:type="paragraph" w:styleId="CommentText">
    <w:name w:val="annotation text"/>
    <w:basedOn w:val="Normal"/>
    <w:link w:val="CommentTextChar"/>
    <w:uiPriority w:val="99"/>
    <w:semiHidden/>
    <w:rsid w:val="004820D4"/>
    <w:rPr>
      <w:sz w:val="20"/>
      <w:szCs w:val="20"/>
    </w:rPr>
  </w:style>
  <w:style w:type="character" w:customStyle="1" w:styleId="CommentTextChar">
    <w:name w:val="Comment Text Char"/>
    <w:basedOn w:val="DefaultParagraphFont"/>
    <w:link w:val="CommentText"/>
    <w:uiPriority w:val="99"/>
    <w:semiHidden/>
    <w:locked/>
    <w:rsid w:val="00E47B31"/>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4820D4"/>
    <w:rPr>
      <w:b/>
      <w:bCs/>
    </w:rPr>
  </w:style>
  <w:style w:type="character" w:customStyle="1" w:styleId="CommentSubjectChar">
    <w:name w:val="Comment Subject Char"/>
    <w:basedOn w:val="CommentTextChar"/>
    <w:link w:val="CommentSubject"/>
    <w:uiPriority w:val="99"/>
    <w:semiHidden/>
    <w:locked/>
    <w:rsid w:val="00E47B31"/>
    <w:rPr>
      <w:rFonts w:cs="Times New Roman"/>
      <w:b/>
      <w:bCs/>
      <w:sz w:val="20"/>
      <w:szCs w:val="20"/>
      <w:lang w:val="en-US" w:eastAsia="en-US"/>
    </w:rPr>
  </w:style>
  <w:style w:type="character" w:customStyle="1" w:styleId="tw4winMark">
    <w:name w:val="tw4winMark"/>
    <w:basedOn w:val="DefaultParagraphFont"/>
    <w:uiPriority w:val="99"/>
    <w:rsid w:val="002C646F"/>
    <w:rPr>
      <w:rFonts w:ascii="Courier New" w:hAnsi="Courier New" w:cs="Courier New"/>
      <w:bCs/>
      <w:noProof/>
      <w:vanish/>
      <w:color w:val="800080"/>
      <w:sz w:val="22"/>
      <w:szCs w:val="22"/>
      <w:effect w:val="none"/>
      <w:vertAlign w:val="subscript"/>
    </w:rPr>
  </w:style>
  <w:style w:type="character" w:styleId="Emphasis">
    <w:name w:val="Emphasis"/>
    <w:basedOn w:val="DefaultParagraphFont"/>
    <w:qFormat/>
    <w:locked/>
    <w:rsid w:val="00F654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F89"/>
    <w:rPr>
      <w:sz w:val="24"/>
      <w:szCs w:val="24"/>
      <w:lang w:val="en-US" w:eastAsia="en-US"/>
    </w:rPr>
  </w:style>
  <w:style w:type="paragraph" w:styleId="Heading1">
    <w:name w:val="heading 1"/>
    <w:basedOn w:val="Normal"/>
    <w:next w:val="Normal"/>
    <w:link w:val="Heading1Char"/>
    <w:uiPriority w:val="99"/>
    <w:qFormat/>
    <w:rsid w:val="008F0DEA"/>
    <w:pPr>
      <w:keepNext/>
      <w:numPr>
        <w:numId w:val="5"/>
      </w:numPr>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8F0DEA"/>
    <w:pPr>
      <w:keepNext/>
      <w:numPr>
        <w:ilvl w:val="1"/>
        <w:numId w:val="5"/>
      </w:numPr>
      <w:spacing w:before="240" w:after="60"/>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17A0"/>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sid w:val="002F17A0"/>
    <w:rPr>
      <w:rFonts w:ascii="Cambria" w:hAnsi="Cambria" w:cs="Cambria"/>
      <w:b/>
      <w:bCs/>
      <w:i/>
      <w:iCs/>
      <w:sz w:val="28"/>
      <w:szCs w:val="28"/>
      <w:lang w:val="en-US" w:eastAsia="en-US"/>
    </w:rPr>
  </w:style>
  <w:style w:type="paragraph" w:styleId="BalloonText">
    <w:name w:val="Balloon Text"/>
    <w:basedOn w:val="Normal"/>
    <w:link w:val="BalloonTextChar"/>
    <w:uiPriority w:val="99"/>
    <w:semiHidden/>
    <w:rsid w:val="00B61FA1"/>
    <w:rPr>
      <w:rFonts w:ascii="Tahoma" w:hAnsi="Tahoma" w:cs="Tahoma"/>
      <w:sz w:val="16"/>
      <w:szCs w:val="16"/>
    </w:rPr>
  </w:style>
  <w:style w:type="character" w:customStyle="1" w:styleId="BalloonTextChar">
    <w:name w:val="Balloon Text Char"/>
    <w:basedOn w:val="DefaultParagraphFont"/>
    <w:link w:val="BalloonText"/>
    <w:uiPriority w:val="99"/>
    <w:locked/>
    <w:rsid w:val="00B61FA1"/>
    <w:rPr>
      <w:rFonts w:ascii="Tahoma" w:hAnsi="Tahoma" w:cs="Tahoma"/>
      <w:sz w:val="16"/>
      <w:szCs w:val="16"/>
    </w:rPr>
  </w:style>
  <w:style w:type="paragraph" w:styleId="Header">
    <w:name w:val="header"/>
    <w:basedOn w:val="Normal"/>
    <w:link w:val="HeaderChar"/>
    <w:uiPriority w:val="99"/>
    <w:rsid w:val="00F627E9"/>
    <w:pPr>
      <w:tabs>
        <w:tab w:val="center" w:pos="4320"/>
        <w:tab w:val="right" w:pos="8640"/>
      </w:tabs>
    </w:pPr>
  </w:style>
  <w:style w:type="character" w:customStyle="1" w:styleId="HeaderChar">
    <w:name w:val="Header Char"/>
    <w:basedOn w:val="DefaultParagraphFont"/>
    <w:link w:val="Header"/>
    <w:uiPriority w:val="99"/>
    <w:locked/>
    <w:rsid w:val="002F17A0"/>
    <w:rPr>
      <w:rFonts w:cs="Times New Roman"/>
      <w:sz w:val="24"/>
      <w:szCs w:val="24"/>
      <w:lang w:val="en-US" w:eastAsia="en-US"/>
    </w:rPr>
  </w:style>
  <w:style w:type="paragraph" w:styleId="Footer">
    <w:name w:val="footer"/>
    <w:basedOn w:val="Normal"/>
    <w:link w:val="FooterChar"/>
    <w:uiPriority w:val="99"/>
    <w:rsid w:val="00F627E9"/>
    <w:pPr>
      <w:tabs>
        <w:tab w:val="center" w:pos="4320"/>
        <w:tab w:val="right" w:pos="8640"/>
      </w:tabs>
    </w:pPr>
  </w:style>
  <w:style w:type="character" w:customStyle="1" w:styleId="FooterChar">
    <w:name w:val="Footer Char"/>
    <w:basedOn w:val="DefaultParagraphFont"/>
    <w:link w:val="Footer"/>
    <w:uiPriority w:val="99"/>
    <w:locked/>
    <w:rsid w:val="002F17A0"/>
    <w:rPr>
      <w:rFonts w:cs="Times New Roman"/>
      <w:sz w:val="24"/>
      <w:szCs w:val="24"/>
      <w:lang w:val="en-US" w:eastAsia="en-US"/>
    </w:rPr>
  </w:style>
  <w:style w:type="paragraph" w:styleId="BodyText2">
    <w:name w:val="Body Text 2"/>
    <w:basedOn w:val="Normal"/>
    <w:link w:val="BodyText2Char"/>
    <w:uiPriority w:val="99"/>
    <w:rsid w:val="00F627E9"/>
  </w:style>
  <w:style w:type="character" w:customStyle="1" w:styleId="BodyText2Char">
    <w:name w:val="Body Text 2 Char"/>
    <w:basedOn w:val="DefaultParagraphFont"/>
    <w:link w:val="BodyText2"/>
    <w:uiPriority w:val="99"/>
    <w:semiHidden/>
    <w:locked/>
    <w:rsid w:val="002F17A0"/>
    <w:rPr>
      <w:rFonts w:cs="Times New Roman"/>
      <w:sz w:val="24"/>
      <w:szCs w:val="24"/>
      <w:lang w:val="en-US" w:eastAsia="en-US"/>
    </w:rPr>
  </w:style>
  <w:style w:type="table" w:styleId="TableGrid">
    <w:name w:val="Table Grid"/>
    <w:basedOn w:val="TableNormal"/>
    <w:uiPriority w:val="99"/>
    <w:rsid w:val="008F0D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F0DEA"/>
    <w:rPr>
      <w:sz w:val="20"/>
      <w:szCs w:val="20"/>
    </w:rPr>
  </w:style>
  <w:style w:type="character" w:customStyle="1" w:styleId="FootnoteTextChar">
    <w:name w:val="Footnote Text Char"/>
    <w:basedOn w:val="DefaultParagraphFont"/>
    <w:link w:val="FootnoteText"/>
    <w:uiPriority w:val="99"/>
    <w:semiHidden/>
    <w:locked/>
    <w:rsid w:val="002F17A0"/>
    <w:rPr>
      <w:rFonts w:cs="Times New Roman"/>
      <w:sz w:val="20"/>
      <w:szCs w:val="20"/>
      <w:lang w:val="en-US" w:eastAsia="en-US"/>
    </w:rPr>
  </w:style>
  <w:style w:type="character" w:styleId="FootnoteReference">
    <w:name w:val="footnote reference"/>
    <w:basedOn w:val="DefaultParagraphFont"/>
    <w:uiPriority w:val="99"/>
    <w:semiHidden/>
    <w:rsid w:val="008F0DEA"/>
    <w:rPr>
      <w:rFonts w:cs="Times New Roman"/>
      <w:vertAlign w:val="superscript"/>
    </w:rPr>
  </w:style>
  <w:style w:type="character" w:styleId="PageNumber">
    <w:name w:val="page number"/>
    <w:basedOn w:val="DefaultParagraphFont"/>
    <w:uiPriority w:val="99"/>
    <w:rsid w:val="008F0DEA"/>
    <w:rPr>
      <w:rFonts w:cs="Times New Roman"/>
    </w:rPr>
  </w:style>
  <w:style w:type="paragraph" w:styleId="ListParagraph">
    <w:name w:val="List Paragraph"/>
    <w:basedOn w:val="Normal"/>
    <w:uiPriority w:val="99"/>
    <w:qFormat/>
    <w:rsid w:val="0070257F"/>
    <w:pPr>
      <w:ind w:left="720"/>
    </w:pPr>
  </w:style>
  <w:style w:type="paragraph" w:styleId="BodyTextIndent2">
    <w:name w:val="Body Text Indent 2"/>
    <w:basedOn w:val="Normal"/>
    <w:link w:val="BodyTextIndent2Char"/>
    <w:uiPriority w:val="99"/>
    <w:rsid w:val="0024024F"/>
    <w:pPr>
      <w:spacing w:after="120" w:line="480" w:lineRule="auto"/>
      <w:ind w:left="360"/>
    </w:pPr>
  </w:style>
  <w:style w:type="character" w:customStyle="1" w:styleId="BodyTextIndent2Char">
    <w:name w:val="Body Text Indent 2 Char"/>
    <w:basedOn w:val="DefaultParagraphFont"/>
    <w:link w:val="BodyTextIndent2"/>
    <w:uiPriority w:val="99"/>
    <w:locked/>
    <w:rsid w:val="0024024F"/>
    <w:rPr>
      <w:rFonts w:cs="Times New Roman"/>
      <w:sz w:val="24"/>
      <w:szCs w:val="24"/>
    </w:rPr>
  </w:style>
  <w:style w:type="paragraph" w:styleId="BodyTextIndent">
    <w:name w:val="Body Text Indent"/>
    <w:basedOn w:val="Normal"/>
    <w:link w:val="BodyTextIndentChar"/>
    <w:uiPriority w:val="99"/>
    <w:rsid w:val="00147DF3"/>
    <w:pPr>
      <w:spacing w:after="120"/>
      <w:ind w:left="360"/>
    </w:pPr>
  </w:style>
  <w:style w:type="character" w:customStyle="1" w:styleId="BodyTextIndentChar">
    <w:name w:val="Body Text Indent Char"/>
    <w:basedOn w:val="DefaultParagraphFont"/>
    <w:link w:val="BodyTextIndent"/>
    <w:uiPriority w:val="99"/>
    <w:locked/>
    <w:rsid w:val="00147DF3"/>
    <w:rPr>
      <w:rFonts w:cs="Times New Roman"/>
      <w:sz w:val="24"/>
      <w:szCs w:val="24"/>
    </w:rPr>
  </w:style>
  <w:style w:type="character" w:styleId="Hyperlink">
    <w:name w:val="Hyperlink"/>
    <w:basedOn w:val="DefaultParagraphFont"/>
    <w:uiPriority w:val="99"/>
    <w:rsid w:val="00FA6D32"/>
    <w:rPr>
      <w:rFonts w:cs="Times New Roman"/>
      <w:color w:val="0000FF"/>
      <w:u w:val="single"/>
    </w:rPr>
  </w:style>
  <w:style w:type="character" w:styleId="CommentReference">
    <w:name w:val="annotation reference"/>
    <w:basedOn w:val="DefaultParagraphFont"/>
    <w:uiPriority w:val="99"/>
    <w:semiHidden/>
    <w:rsid w:val="004820D4"/>
    <w:rPr>
      <w:rFonts w:cs="Times New Roman"/>
      <w:sz w:val="16"/>
      <w:szCs w:val="16"/>
    </w:rPr>
  </w:style>
  <w:style w:type="paragraph" w:styleId="CommentText">
    <w:name w:val="annotation text"/>
    <w:basedOn w:val="Normal"/>
    <w:link w:val="CommentTextChar"/>
    <w:uiPriority w:val="99"/>
    <w:semiHidden/>
    <w:rsid w:val="004820D4"/>
    <w:rPr>
      <w:sz w:val="20"/>
      <w:szCs w:val="20"/>
    </w:rPr>
  </w:style>
  <w:style w:type="character" w:customStyle="1" w:styleId="CommentTextChar">
    <w:name w:val="Comment Text Char"/>
    <w:basedOn w:val="DefaultParagraphFont"/>
    <w:link w:val="CommentText"/>
    <w:uiPriority w:val="99"/>
    <w:semiHidden/>
    <w:locked/>
    <w:rsid w:val="00E47B31"/>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4820D4"/>
    <w:rPr>
      <w:b/>
      <w:bCs/>
    </w:rPr>
  </w:style>
  <w:style w:type="character" w:customStyle="1" w:styleId="CommentSubjectChar">
    <w:name w:val="Comment Subject Char"/>
    <w:basedOn w:val="CommentTextChar"/>
    <w:link w:val="CommentSubject"/>
    <w:uiPriority w:val="99"/>
    <w:semiHidden/>
    <w:locked/>
    <w:rsid w:val="00E47B31"/>
    <w:rPr>
      <w:rFonts w:cs="Times New Roman"/>
      <w:b/>
      <w:bCs/>
      <w:sz w:val="20"/>
      <w:szCs w:val="20"/>
      <w:lang w:val="en-US" w:eastAsia="en-US"/>
    </w:rPr>
  </w:style>
  <w:style w:type="character" w:customStyle="1" w:styleId="tw4winMark">
    <w:name w:val="tw4winMark"/>
    <w:basedOn w:val="DefaultParagraphFont"/>
    <w:uiPriority w:val="99"/>
    <w:rsid w:val="002C646F"/>
    <w:rPr>
      <w:rFonts w:ascii="Courier New" w:hAnsi="Courier New" w:cs="Courier New"/>
      <w:bCs/>
      <w:noProof/>
      <w:vanish/>
      <w:color w:val="800080"/>
      <w:sz w:val="22"/>
      <w:szCs w:val="22"/>
      <w:effect w:val="none"/>
      <w:vertAlign w:val="subscript"/>
    </w:rPr>
  </w:style>
  <w:style w:type="character" w:styleId="Emphasis">
    <w:name w:val="Emphasis"/>
    <w:basedOn w:val="DefaultParagraphFont"/>
    <w:qFormat/>
    <w:locked/>
    <w:rsid w:val="00F654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477857">
      <w:marLeft w:val="0"/>
      <w:marRight w:val="0"/>
      <w:marTop w:val="0"/>
      <w:marBottom w:val="0"/>
      <w:divBdr>
        <w:top w:val="none" w:sz="0" w:space="0" w:color="auto"/>
        <w:left w:val="none" w:sz="0" w:space="0" w:color="auto"/>
        <w:bottom w:val="none" w:sz="0" w:space="0" w:color="auto"/>
        <w:right w:val="none" w:sz="0" w:space="0" w:color="auto"/>
      </w:divBdr>
    </w:div>
    <w:div w:id="183752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orldmigratorybirdday.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6975</Words>
  <Characters>36944</Characters>
  <Application>Microsoft Office Word</Application>
  <DocSecurity>0</DocSecurity>
  <Lines>307</Lines>
  <Paragraphs>87</Paragraphs>
  <ScaleCrop>false</ScaleCrop>
  <HeadingPairs>
    <vt:vector size="2" baseType="variant">
      <vt:variant>
        <vt:lpstr>Title</vt:lpstr>
      </vt:variant>
      <vt:variant>
        <vt:i4>1</vt:i4>
      </vt:variant>
    </vt:vector>
  </HeadingPairs>
  <TitlesOfParts>
    <vt:vector size="1" baseType="lpstr">
      <vt:lpstr>The quick brown fox jumps over the lazy dog</vt:lpstr>
    </vt:vector>
  </TitlesOfParts>
  <Company>aewa</Company>
  <LinksUpToDate>false</LinksUpToDate>
  <CharactersWithSpaces>43832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Dunia Sforzin (UNEP/AEWA Secretariat)</dc:creator>
  <cp:lastModifiedBy>Jolanta Kremer (UNEP/AEWA Secretariat)</cp:lastModifiedBy>
  <cp:revision>2</cp:revision>
  <cp:lastPrinted>2012-04-11T08:22:00Z</cp:lastPrinted>
  <dcterms:created xsi:type="dcterms:W3CDTF">2012-05-08T12:26:00Z</dcterms:created>
  <dcterms:modified xsi:type="dcterms:W3CDTF">2012-05-08T12:26:00Z</dcterms:modified>
</cp:coreProperties>
</file>