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DD" w:rsidRDefault="00DC0EDD" w:rsidP="00DC0EDD">
      <w:pPr>
        <w:rPr>
          <w:rFonts w:ascii="Arial" w:hAnsi="Arial"/>
        </w:rPr>
      </w:pPr>
    </w:p>
    <w:p w:rsidR="0042566D" w:rsidRDefault="0042566D" w:rsidP="00DC0EDD">
      <w:pPr>
        <w:rPr>
          <w:rFonts w:ascii="Arial" w:hAnsi="Arial"/>
        </w:rPr>
      </w:pPr>
    </w:p>
    <w:p w:rsidR="0042566D" w:rsidRDefault="00755F5A" w:rsidP="00755F5A">
      <w:pPr>
        <w:pStyle w:val="Heading3"/>
        <w:jc w:val="center"/>
        <w:rPr>
          <w:rFonts w:ascii="Times New Roman" w:hAnsi="Times New Roman"/>
          <w:sz w:val="24"/>
          <w:szCs w:val="24"/>
        </w:rPr>
      </w:pPr>
      <w:r w:rsidRPr="00755F5A">
        <w:rPr>
          <w:rFonts w:ascii="Times New Roman" w:hAnsi="Times New Roman"/>
          <w:sz w:val="24"/>
          <w:szCs w:val="24"/>
        </w:rPr>
        <w:t xml:space="preserve">DELINEATION OF BIOGEOGRAPHIC POPULATIONS OF THE </w:t>
      </w:r>
    </w:p>
    <w:p w:rsidR="0028195C" w:rsidRDefault="00755F5A" w:rsidP="00755F5A">
      <w:pPr>
        <w:pStyle w:val="Heading3"/>
        <w:jc w:val="center"/>
        <w:rPr>
          <w:rFonts w:ascii="Times New Roman" w:hAnsi="Times New Roman"/>
          <w:sz w:val="24"/>
          <w:szCs w:val="24"/>
        </w:rPr>
      </w:pPr>
      <w:r w:rsidRPr="00755F5A">
        <w:rPr>
          <w:rFonts w:ascii="Times New Roman" w:hAnsi="Times New Roman"/>
          <w:sz w:val="24"/>
          <w:szCs w:val="24"/>
        </w:rPr>
        <w:t>BLACK-LEGGED KITTIWAKE (</w:t>
      </w:r>
      <w:r w:rsidRPr="00755F5A">
        <w:rPr>
          <w:rFonts w:ascii="Times New Roman" w:hAnsi="Times New Roman"/>
          <w:i/>
          <w:sz w:val="24"/>
          <w:szCs w:val="24"/>
        </w:rPr>
        <w:t>RISSA TRIDACTYLA TRIDACTYLA</w:t>
      </w:r>
      <w:r w:rsidRPr="00755F5A">
        <w:rPr>
          <w:rFonts w:ascii="Times New Roman" w:hAnsi="Times New Roman"/>
          <w:sz w:val="24"/>
          <w:szCs w:val="24"/>
        </w:rPr>
        <w:t>), THE COMMON MURRE (</w:t>
      </w:r>
      <w:r w:rsidRPr="00755F5A">
        <w:rPr>
          <w:rFonts w:ascii="Times New Roman" w:hAnsi="Times New Roman"/>
          <w:i/>
          <w:sz w:val="24"/>
          <w:szCs w:val="24"/>
        </w:rPr>
        <w:t xml:space="preserve">URIA AALGE </w:t>
      </w:r>
      <w:proofErr w:type="spellStart"/>
      <w:r w:rsidRPr="00755F5A">
        <w:rPr>
          <w:rFonts w:ascii="Times New Roman" w:hAnsi="Times New Roman"/>
          <w:i/>
          <w:sz w:val="24"/>
          <w:szCs w:val="24"/>
        </w:rPr>
        <w:t>AALGE</w:t>
      </w:r>
      <w:proofErr w:type="spellEnd"/>
      <w:r w:rsidRPr="00755F5A">
        <w:rPr>
          <w:rFonts w:ascii="Times New Roman" w:hAnsi="Times New Roman"/>
          <w:sz w:val="24"/>
          <w:szCs w:val="24"/>
        </w:rPr>
        <w:t xml:space="preserve"> AND </w:t>
      </w:r>
      <w:r w:rsidRPr="00755F5A">
        <w:rPr>
          <w:rFonts w:ascii="Times New Roman" w:hAnsi="Times New Roman"/>
          <w:i/>
          <w:sz w:val="24"/>
          <w:szCs w:val="24"/>
        </w:rPr>
        <w:t>U. A. ALBIONIS</w:t>
      </w:r>
      <w:r w:rsidRPr="00755F5A">
        <w:rPr>
          <w:rFonts w:ascii="Times New Roman" w:hAnsi="Times New Roman"/>
          <w:sz w:val="24"/>
          <w:szCs w:val="24"/>
        </w:rPr>
        <w:t xml:space="preserve">) AND THE </w:t>
      </w:r>
    </w:p>
    <w:p w:rsidR="00DC0EDD" w:rsidRPr="00755F5A" w:rsidRDefault="00755F5A" w:rsidP="00755F5A">
      <w:pPr>
        <w:pStyle w:val="Heading3"/>
        <w:jc w:val="center"/>
        <w:rPr>
          <w:rFonts w:ascii="Times New Roman" w:hAnsi="Times New Roman"/>
          <w:sz w:val="24"/>
          <w:szCs w:val="24"/>
        </w:rPr>
      </w:pPr>
      <w:r w:rsidRPr="00755F5A">
        <w:rPr>
          <w:rFonts w:ascii="Times New Roman" w:hAnsi="Times New Roman"/>
          <w:sz w:val="24"/>
          <w:szCs w:val="24"/>
        </w:rPr>
        <w:t>ATLANTIC PUFFIN (</w:t>
      </w:r>
      <w:r w:rsidRPr="00755F5A">
        <w:rPr>
          <w:rFonts w:ascii="Times New Roman" w:hAnsi="Times New Roman"/>
          <w:i/>
          <w:sz w:val="24"/>
          <w:szCs w:val="24"/>
        </w:rPr>
        <w:t>FRATERCULA ARCTICA</w:t>
      </w:r>
      <w:r w:rsidRPr="00755F5A">
        <w:rPr>
          <w:rFonts w:ascii="Times New Roman" w:hAnsi="Times New Roman"/>
          <w:sz w:val="24"/>
          <w:szCs w:val="24"/>
        </w:rPr>
        <w:t>)</w:t>
      </w:r>
    </w:p>
    <w:p w:rsidR="00DC0EDD" w:rsidRPr="00755F5A" w:rsidRDefault="00DC0EDD" w:rsidP="00755F5A">
      <w:pPr>
        <w:jc w:val="center"/>
        <w:rPr>
          <w:sz w:val="24"/>
          <w:szCs w:val="24"/>
        </w:rPr>
      </w:pPr>
    </w:p>
    <w:p w:rsidR="00887ABD" w:rsidRDefault="00887ABD" w:rsidP="00415CFC">
      <w:pPr>
        <w:jc w:val="center"/>
        <w:rPr>
          <w:i/>
          <w:sz w:val="22"/>
          <w:szCs w:val="22"/>
        </w:rPr>
      </w:pPr>
      <w:r w:rsidRPr="00415CFC">
        <w:rPr>
          <w:i/>
          <w:sz w:val="22"/>
          <w:szCs w:val="22"/>
        </w:rPr>
        <w:t>Prepared by David Stroud (UK observer to the Technical Committee)</w:t>
      </w:r>
    </w:p>
    <w:p w:rsidR="0028195C" w:rsidRPr="00415CFC" w:rsidRDefault="0028195C" w:rsidP="0028195C">
      <w:pPr>
        <w:jc w:val="center"/>
        <w:rPr>
          <w:i/>
          <w:sz w:val="22"/>
          <w:szCs w:val="22"/>
        </w:rPr>
      </w:pPr>
      <w:bookmarkStart w:id="0" w:name="_GoBack"/>
      <w:bookmarkEnd w:id="0"/>
    </w:p>
    <w:p w:rsidR="005B5466" w:rsidRDefault="005B5466" w:rsidP="00DD1948"/>
    <w:p w:rsidR="0042566D" w:rsidRDefault="0042566D" w:rsidP="00DD1948"/>
    <w:p w:rsidR="0042566D" w:rsidRPr="00755F5A" w:rsidRDefault="0042566D" w:rsidP="00DD1948"/>
    <w:p w:rsidR="00DC0EDD" w:rsidRPr="00755F5A" w:rsidRDefault="00887ABD" w:rsidP="00693D2E">
      <w:pPr>
        <w:pStyle w:val="Heading2"/>
        <w:spacing w:after="120"/>
        <w:rPr>
          <w:rFonts w:ascii="Times New Roman" w:hAnsi="Times New Roman"/>
          <w:sz w:val="24"/>
          <w:szCs w:val="24"/>
        </w:rPr>
      </w:pPr>
      <w:bookmarkStart w:id="1" w:name="OLE_LINK1"/>
      <w:bookmarkStart w:id="2" w:name="OLE_LINK3"/>
      <w:r w:rsidRPr="00755F5A">
        <w:rPr>
          <w:rFonts w:ascii="Times New Roman" w:hAnsi="Times New Roman"/>
          <w:sz w:val="24"/>
          <w:szCs w:val="24"/>
        </w:rPr>
        <w:t xml:space="preserve">Black-legged </w:t>
      </w:r>
      <w:proofErr w:type="gramStart"/>
      <w:r w:rsidR="00DC0EDD" w:rsidRPr="00755F5A">
        <w:rPr>
          <w:rFonts w:ascii="Times New Roman" w:hAnsi="Times New Roman"/>
          <w:sz w:val="24"/>
          <w:szCs w:val="24"/>
        </w:rPr>
        <w:t>Kittiwake</w:t>
      </w:r>
      <w:r w:rsidR="00DD1948" w:rsidRPr="00755F5A">
        <w:rPr>
          <w:rFonts w:ascii="Times New Roman" w:hAnsi="Times New Roman"/>
          <w:sz w:val="24"/>
          <w:szCs w:val="24"/>
        </w:rPr>
        <w:t xml:space="preserve">  </w:t>
      </w:r>
      <w:r w:rsidR="00DD1948" w:rsidRPr="00755F5A">
        <w:rPr>
          <w:rFonts w:ascii="Times New Roman" w:hAnsi="Times New Roman"/>
          <w:i/>
          <w:sz w:val="24"/>
          <w:szCs w:val="24"/>
        </w:rPr>
        <w:t>Rissa</w:t>
      </w:r>
      <w:proofErr w:type="gramEnd"/>
      <w:r w:rsidR="00DD1948" w:rsidRPr="00755F5A">
        <w:rPr>
          <w:rFonts w:ascii="Times New Roman" w:hAnsi="Times New Roman"/>
          <w:i/>
          <w:sz w:val="24"/>
          <w:szCs w:val="24"/>
        </w:rPr>
        <w:t xml:space="preserve"> </w:t>
      </w:r>
      <w:proofErr w:type="spellStart"/>
      <w:r w:rsidR="00DD1948" w:rsidRPr="00755F5A">
        <w:rPr>
          <w:rFonts w:ascii="Times New Roman" w:hAnsi="Times New Roman"/>
          <w:i/>
          <w:sz w:val="24"/>
          <w:szCs w:val="24"/>
        </w:rPr>
        <w:t>tridactyla</w:t>
      </w:r>
      <w:proofErr w:type="spellEnd"/>
      <w:r w:rsidRPr="00755F5A">
        <w:rPr>
          <w:rFonts w:ascii="Times New Roman" w:hAnsi="Times New Roman"/>
          <w:i/>
          <w:sz w:val="24"/>
          <w:szCs w:val="24"/>
        </w:rPr>
        <w:t xml:space="preserve"> </w:t>
      </w:r>
      <w:proofErr w:type="spellStart"/>
      <w:r w:rsidRPr="00755F5A">
        <w:rPr>
          <w:rFonts w:ascii="Times New Roman" w:hAnsi="Times New Roman"/>
          <w:i/>
          <w:sz w:val="24"/>
          <w:szCs w:val="24"/>
        </w:rPr>
        <w:t>tridactyla</w:t>
      </w:r>
      <w:proofErr w:type="spellEnd"/>
    </w:p>
    <w:bookmarkEnd w:id="1"/>
    <w:bookmarkEnd w:id="2"/>
    <w:p w:rsidR="00D1694D" w:rsidRPr="00755F5A" w:rsidRDefault="00D1694D" w:rsidP="00DC0EDD"/>
    <w:p w:rsidR="00D1694D" w:rsidRPr="008839DF" w:rsidRDefault="00D1694D" w:rsidP="008839DF">
      <w:pPr>
        <w:pBdr>
          <w:top w:val="single" w:sz="4" w:space="1" w:color="auto"/>
          <w:left w:val="single" w:sz="4" w:space="4" w:color="auto"/>
          <w:bottom w:val="single" w:sz="4" w:space="1" w:color="auto"/>
          <w:right w:val="single" w:sz="4" w:space="4" w:color="auto"/>
        </w:pBdr>
        <w:ind w:left="426" w:right="379"/>
        <w:rPr>
          <w:b/>
          <w:sz w:val="22"/>
          <w:szCs w:val="22"/>
        </w:rPr>
      </w:pPr>
      <w:r w:rsidRPr="008839DF">
        <w:rPr>
          <w:b/>
          <w:sz w:val="22"/>
          <w:szCs w:val="22"/>
        </w:rPr>
        <w:t>ISSUE</w:t>
      </w:r>
    </w:p>
    <w:p w:rsidR="00D1694D" w:rsidRPr="008839DF" w:rsidRDefault="00D1694D" w:rsidP="008839DF">
      <w:pPr>
        <w:pBdr>
          <w:top w:val="single" w:sz="4" w:space="1" w:color="auto"/>
          <w:left w:val="single" w:sz="4" w:space="4" w:color="auto"/>
          <w:bottom w:val="single" w:sz="4" w:space="1" w:color="auto"/>
          <w:right w:val="single" w:sz="4" w:space="4" w:color="auto"/>
        </w:pBdr>
        <w:ind w:left="426" w:right="379"/>
        <w:rPr>
          <w:sz w:val="22"/>
          <w:szCs w:val="22"/>
        </w:rPr>
      </w:pPr>
    </w:p>
    <w:p w:rsidR="00D1694D" w:rsidRDefault="005B5466" w:rsidP="008839DF">
      <w:pPr>
        <w:pBdr>
          <w:top w:val="single" w:sz="4" w:space="1" w:color="auto"/>
          <w:left w:val="single" w:sz="4" w:space="4" w:color="auto"/>
          <w:bottom w:val="single" w:sz="4" w:space="1" w:color="auto"/>
          <w:right w:val="single" w:sz="4" w:space="4" w:color="auto"/>
        </w:pBdr>
        <w:ind w:left="426" w:right="379"/>
        <w:rPr>
          <w:sz w:val="22"/>
          <w:szCs w:val="22"/>
        </w:rPr>
      </w:pPr>
      <w:r w:rsidRPr="008839DF">
        <w:rPr>
          <w:sz w:val="22"/>
          <w:szCs w:val="22"/>
        </w:rPr>
        <w:t xml:space="preserve">East Atlantic population of </w:t>
      </w:r>
      <w:r w:rsidRPr="008839DF">
        <w:rPr>
          <w:i/>
          <w:sz w:val="22"/>
          <w:szCs w:val="22"/>
        </w:rPr>
        <w:t xml:space="preserve">R. t. </w:t>
      </w:r>
      <w:proofErr w:type="spellStart"/>
      <w:r w:rsidRPr="008839DF">
        <w:rPr>
          <w:i/>
          <w:sz w:val="22"/>
          <w:szCs w:val="22"/>
        </w:rPr>
        <w:t>tridactyla</w:t>
      </w:r>
      <w:proofErr w:type="spellEnd"/>
      <w:r w:rsidRPr="008839DF">
        <w:rPr>
          <w:sz w:val="22"/>
          <w:szCs w:val="22"/>
        </w:rPr>
        <w:t xml:space="preserve"> should include birds breeding in Greenland (and possibly also Canada) on the basis of ringing data which shows clear movements across the northern Atlantic.</w:t>
      </w:r>
    </w:p>
    <w:p w:rsidR="0028195C" w:rsidRPr="008839DF" w:rsidRDefault="0028195C" w:rsidP="008839DF">
      <w:pPr>
        <w:pBdr>
          <w:top w:val="single" w:sz="4" w:space="1" w:color="auto"/>
          <w:left w:val="single" w:sz="4" w:space="4" w:color="auto"/>
          <w:bottom w:val="single" w:sz="4" w:space="1" w:color="auto"/>
          <w:right w:val="single" w:sz="4" w:space="4" w:color="auto"/>
        </w:pBdr>
        <w:ind w:left="426" w:right="379"/>
        <w:rPr>
          <w:sz w:val="22"/>
          <w:szCs w:val="22"/>
        </w:rPr>
      </w:pPr>
    </w:p>
    <w:p w:rsidR="00D1694D" w:rsidRPr="008839DF" w:rsidRDefault="00D1694D" w:rsidP="008839DF">
      <w:pPr>
        <w:ind w:left="567"/>
        <w:rPr>
          <w:sz w:val="22"/>
          <w:szCs w:val="22"/>
        </w:rPr>
      </w:pPr>
    </w:p>
    <w:p w:rsidR="00D1694D" w:rsidRPr="00755F5A" w:rsidRDefault="00D1694D" w:rsidP="00DC0EDD"/>
    <w:p w:rsidR="00D1694D" w:rsidRDefault="005B5466" w:rsidP="008839DF">
      <w:pPr>
        <w:jc w:val="both"/>
        <w:rPr>
          <w:i/>
          <w:iCs/>
          <w:sz w:val="22"/>
          <w:szCs w:val="22"/>
        </w:rPr>
      </w:pPr>
      <w:proofErr w:type="spellStart"/>
      <w:r w:rsidRPr="008839DF">
        <w:rPr>
          <w:i/>
          <w:sz w:val="22"/>
          <w:szCs w:val="22"/>
        </w:rPr>
        <w:t>Waterbird</w:t>
      </w:r>
      <w:proofErr w:type="spellEnd"/>
      <w:r w:rsidRPr="008839DF">
        <w:rPr>
          <w:i/>
          <w:sz w:val="22"/>
          <w:szCs w:val="22"/>
        </w:rPr>
        <w:t xml:space="preserve"> Population Estimates</w:t>
      </w:r>
      <w:r w:rsidRPr="008839DF">
        <w:rPr>
          <w:sz w:val="22"/>
          <w:szCs w:val="22"/>
        </w:rPr>
        <w:t xml:space="preserve"> 5 (WPE5)</w:t>
      </w:r>
      <w:r w:rsidR="00DC0EDD" w:rsidRPr="008839DF">
        <w:rPr>
          <w:sz w:val="22"/>
          <w:szCs w:val="22"/>
        </w:rPr>
        <w:t xml:space="preserve"> </w:t>
      </w:r>
      <w:r w:rsidR="00D1694D" w:rsidRPr="008839DF">
        <w:rPr>
          <w:sz w:val="22"/>
          <w:szCs w:val="22"/>
        </w:rPr>
        <w:t>considers there to be three populations of the nominate race</w:t>
      </w:r>
      <w:r w:rsidR="00DC0EDD" w:rsidRPr="008839DF">
        <w:rPr>
          <w:sz w:val="22"/>
          <w:szCs w:val="22"/>
        </w:rPr>
        <w:t xml:space="preserve"> ‘</w:t>
      </w:r>
      <w:proofErr w:type="spellStart"/>
      <w:r w:rsidR="00DC0EDD" w:rsidRPr="008839DF">
        <w:rPr>
          <w:i/>
          <w:iCs/>
          <w:sz w:val="22"/>
          <w:szCs w:val="22"/>
        </w:rPr>
        <w:t>tridactyla</w:t>
      </w:r>
      <w:proofErr w:type="spellEnd"/>
      <w:r w:rsidR="00DC0EDD" w:rsidRPr="008839DF">
        <w:rPr>
          <w:i/>
          <w:iCs/>
          <w:sz w:val="22"/>
          <w:szCs w:val="22"/>
        </w:rPr>
        <w:t>’</w:t>
      </w:r>
      <w:r w:rsidR="00D1694D" w:rsidRPr="008839DF">
        <w:rPr>
          <w:i/>
          <w:iCs/>
          <w:sz w:val="22"/>
          <w:szCs w:val="22"/>
        </w:rPr>
        <w:t>:</w:t>
      </w:r>
    </w:p>
    <w:p w:rsidR="0028195C" w:rsidRPr="008839DF" w:rsidRDefault="0028195C" w:rsidP="008839DF">
      <w:pPr>
        <w:jc w:val="both"/>
        <w:rPr>
          <w:sz w:val="22"/>
          <w:szCs w:val="22"/>
        </w:rPr>
      </w:pPr>
    </w:p>
    <w:p w:rsidR="005B5466" w:rsidRPr="008839DF" w:rsidRDefault="005B5466" w:rsidP="008839DF">
      <w:pPr>
        <w:pStyle w:val="ListParagraph"/>
        <w:numPr>
          <w:ilvl w:val="0"/>
          <w:numId w:val="4"/>
        </w:numPr>
        <w:jc w:val="both"/>
        <w:rPr>
          <w:sz w:val="22"/>
          <w:szCs w:val="22"/>
        </w:rPr>
      </w:pPr>
      <w:r w:rsidRPr="008839DF">
        <w:rPr>
          <w:sz w:val="22"/>
          <w:szCs w:val="22"/>
        </w:rPr>
        <w:t>East Atlantic</w:t>
      </w:r>
      <w:r w:rsidRPr="008839DF">
        <w:rPr>
          <w:sz w:val="22"/>
          <w:szCs w:val="22"/>
        </w:rPr>
        <w:tab/>
        <w:t>6,600,000 individuals</w:t>
      </w:r>
    </w:p>
    <w:p w:rsidR="005B5466" w:rsidRPr="008839DF" w:rsidRDefault="005B5466" w:rsidP="008839DF">
      <w:pPr>
        <w:pStyle w:val="ListParagraph"/>
        <w:numPr>
          <w:ilvl w:val="0"/>
          <w:numId w:val="4"/>
        </w:numPr>
        <w:jc w:val="both"/>
        <w:rPr>
          <w:sz w:val="22"/>
          <w:szCs w:val="22"/>
        </w:rPr>
      </w:pPr>
      <w:r w:rsidRPr="008839DF">
        <w:rPr>
          <w:sz w:val="22"/>
          <w:szCs w:val="22"/>
        </w:rPr>
        <w:t>Greenland</w:t>
      </w:r>
      <w:r w:rsidRPr="008839DF">
        <w:rPr>
          <w:sz w:val="22"/>
          <w:szCs w:val="22"/>
        </w:rPr>
        <w:tab/>
        <w:t>100,000 – 1,000,000 individuals</w:t>
      </w:r>
    </w:p>
    <w:p w:rsidR="00DC0EDD" w:rsidRPr="008839DF" w:rsidRDefault="005B5466" w:rsidP="008839DF">
      <w:pPr>
        <w:pStyle w:val="ListParagraph"/>
        <w:numPr>
          <w:ilvl w:val="0"/>
          <w:numId w:val="4"/>
        </w:numPr>
        <w:jc w:val="both"/>
        <w:rPr>
          <w:sz w:val="22"/>
          <w:szCs w:val="22"/>
        </w:rPr>
      </w:pPr>
      <w:r w:rsidRPr="008839DF">
        <w:rPr>
          <w:sz w:val="22"/>
          <w:szCs w:val="22"/>
        </w:rPr>
        <w:t>West Atlantic</w:t>
      </w:r>
      <w:r w:rsidRPr="008839DF">
        <w:rPr>
          <w:sz w:val="22"/>
          <w:szCs w:val="22"/>
        </w:rPr>
        <w:tab/>
        <w:t>600,000 – 750,000 individuals</w:t>
      </w:r>
    </w:p>
    <w:p w:rsidR="00DC0EDD" w:rsidRPr="008839DF" w:rsidRDefault="00DC0EDD" w:rsidP="008839DF">
      <w:pPr>
        <w:jc w:val="both"/>
        <w:rPr>
          <w:sz w:val="22"/>
          <w:szCs w:val="22"/>
        </w:rPr>
      </w:pPr>
    </w:p>
    <w:p w:rsidR="005B5466" w:rsidRPr="008839DF" w:rsidRDefault="005B5466" w:rsidP="008839DF">
      <w:pPr>
        <w:jc w:val="both"/>
        <w:rPr>
          <w:sz w:val="22"/>
          <w:szCs w:val="22"/>
        </w:rPr>
      </w:pPr>
      <w:r w:rsidRPr="008839DF">
        <w:rPr>
          <w:i/>
          <w:sz w:val="22"/>
          <w:szCs w:val="22"/>
        </w:rPr>
        <w:t>Conservation Status Review</w:t>
      </w:r>
      <w:r w:rsidRPr="008839DF">
        <w:rPr>
          <w:sz w:val="22"/>
          <w:szCs w:val="22"/>
        </w:rPr>
        <w:t xml:space="preserve"> 6 (CSR6) gives a single East Atlantic population of </w:t>
      </w:r>
      <w:proofErr w:type="spellStart"/>
      <w:r w:rsidRPr="008839DF">
        <w:rPr>
          <w:i/>
          <w:sz w:val="22"/>
          <w:szCs w:val="22"/>
        </w:rPr>
        <w:t>tridactyla</w:t>
      </w:r>
      <w:proofErr w:type="spellEnd"/>
      <w:r w:rsidRPr="008839DF">
        <w:rPr>
          <w:i/>
          <w:sz w:val="22"/>
          <w:szCs w:val="22"/>
        </w:rPr>
        <w:t xml:space="preserve"> </w:t>
      </w:r>
      <w:r w:rsidRPr="008839DF">
        <w:rPr>
          <w:sz w:val="22"/>
          <w:szCs w:val="22"/>
        </w:rPr>
        <w:t>(6,400,000 – 7,600,000) as occurring in the Agreement area.  Presumably this relates to the East Atlantic population of WPE5.</w:t>
      </w:r>
    </w:p>
    <w:p w:rsidR="005B5466" w:rsidRPr="008839DF" w:rsidRDefault="005B5466" w:rsidP="008839DF">
      <w:pPr>
        <w:jc w:val="both"/>
        <w:rPr>
          <w:sz w:val="22"/>
          <w:szCs w:val="22"/>
        </w:rPr>
      </w:pPr>
    </w:p>
    <w:p w:rsidR="002B571F" w:rsidRDefault="00B84CB6" w:rsidP="008839DF">
      <w:pPr>
        <w:jc w:val="both"/>
        <w:rPr>
          <w:sz w:val="22"/>
          <w:szCs w:val="22"/>
        </w:rPr>
        <w:sectPr w:rsidR="002B571F" w:rsidSect="00ED6959">
          <w:headerReference w:type="default" r:id="rId8"/>
          <w:footerReference w:type="default" r:id="rId9"/>
          <w:pgSz w:w="11906" w:h="16838"/>
          <w:pgMar w:top="1440" w:right="1440" w:bottom="1440" w:left="1440" w:header="708" w:footer="708" w:gutter="0"/>
          <w:cols w:space="708"/>
          <w:docGrid w:linePitch="360"/>
        </w:sectPr>
      </w:pPr>
      <w:r w:rsidRPr="008839DF">
        <w:rPr>
          <w:sz w:val="22"/>
          <w:szCs w:val="22"/>
        </w:rPr>
        <w:t>The world population</w:t>
      </w:r>
      <w:r w:rsidR="00DC0EDD" w:rsidRPr="008839DF">
        <w:rPr>
          <w:sz w:val="22"/>
          <w:szCs w:val="22"/>
        </w:rPr>
        <w:t xml:space="preserve"> of </w:t>
      </w:r>
      <w:r w:rsidR="00DD1948" w:rsidRPr="008839DF">
        <w:rPr>
          <w:i/>
          <w:sz w:val="22"/>
          <w:szCs w:val="22"/>
        </w:rPr>
        <w:t xml:space="preserve">R. t. </w:t>
      </w:r>
      <w:proofErr w:type="spellStart"/>
      <w:r w:rsidR="00DC0EDD" w:rsidRPr="008839DF">
        <w:rPr>
          <w:i/>
          <w:iCs/>
          <w:sz w:val="22"/>
          <w:szCs w:val="22"/>
        </w:rPr>
        <w:t>tridactyla</w:t>
      </w:r>
      <w:proofErr w:type="spellEnd"/>
      <w:r w:rsidR="00DC0EDD" w:rsidRPr="008839DF">
        <w:rPr>
          <w:i/>
          <w:iCs/>
          <w:sz w:val="22"/>
          <w:szCs w:val="22"/>
        </w:rPr>
        <w:t xml:space="preserve"> </w:t>
      </w:r>
      <w:r w:rsidR="00DC0EDD" w:rsidRPr="008839DF">
        <w:rPr>
          <w:sz w:val="22"/>
          <w:szCs w:val="22"/>
        </w:rPr>
        <w:t>includes Greenland and Canada –</w:t>
      </w:r>
      <w:r w:rsidR="00DD1948" w:rsidRPr="008839DF">
        <w:rPr>
          <w:sz w:val="22"/>
          <w:szCs w:val="22"/>
        </w:rPr>
        <w:t xml:space="preserve"> </w:t>
      </w:r>
      <w:r w:rsidR="00DC0EDD" w:rsidRPr="008839DF">
        <w:rPr>
          <w:sz w:val="22"/>
          <w:szCs w:val="22"/>
        </w:rPr>
        <w:t>but there are recoveries of Greenland-ringed Kittiwake in Europe and a considerable number of recoveries of birds ringed in UK and other NE Atlantic countries in Gr</w:t>
      </w:r>
      <w:r w:rsidR="00832ADE" w:rsidRPr="008839DF">
        <w:rPr>
          <w:sz w:val="22"/>
          <w:szCs w:val="22"/>
        </w:rPr>
        <w:t>eenland (</w:t>
      </w:r>
      <w:proofErr w:type="spellStart"/>
      <w:r w:rsidR="00832ADE" w:rsidRPr="008839DF">
        <w:rPr>
          <w:sz w:val="22"/>
          <w:szCs w:val="22"/>
        </w:rPr>
        <w:t>Lyngs</w:t>
      </w:r>
      <w:proofErr w:type="spellEnd"/>
      <w:r w:rsidR="00832ADE" w:rsidRPr="008839DF">
        <w:rPr>
          <w:sz w:val="22"/>
          <w:szCs w:val="22"/>
        </w:rPr>
        <w:t xml:space="preserve"> 2003</w:t>
      </w:r>
      <w:r w:rsidR="00257DC0" w:rsidRPr="008839DF">
        <w:rPr>
          <w:sz w:val="22"/>
          <w:szCs w:val="22"/>
        </w:rPr>
        <w:t>, below</w:t>
      </w:r>
      <w:r w:rsidR="00DC0EDD" w:rsidRPr="008839DF">
        <w:rPr>
          <w:sz w:val="22"/>
          <w:szCs w:val="22"/>
        </w:rPr>
        <w:t>), so it seems reasonable to continue to treat birds in NE &amp; NW Atlantic as comprising a single population</w:t>
      </w:r>
      <w:r w:rsidR="0010071B" w:rsidRPr="008839DF">
        <w:rPr>
          <w:sz w:val="22"/>
          <w:szCs w:val="22"/>
        </w:rPr>
        <w:t xml:space="preserve"> given this clear evidence of exchange across the Atlantic</w:t>
      </w:r>
      <w:r w:rsidR="005B5466" w:rsidRPr="008839DF">
        <w:rPr>
          <w:sz w:val="22"/>
          <w:szCs w:val="22"/>
        </w:rPr>
        <w:t xml:space="preserve"> (or at least the Greenland and East Atlantic populations are clearly linked)</w:t>
      </w:r>
      <w:r w:rsidR="00DC0EDD" w:rsidRPr="008839DF">
        <w:rPr>
          <w:sz w:val="22"/>
          <w:szCs w:val="22"/>
        </w:rPr>
        <w:t>.</w:t>
      </w:r>
    </w:p>
    <w:p w:rsidR="00A22566" w:rsidRPr="00755F5A" w:rsidRDefault="00257DC0" w:rsidP="00257DC0">
      <w:pPr>
        <w:jc w:val="center"/>
      </w:pPr>
      <w:r w:rsidRPr="00755F5A">
        <w:rPr>
          <w:noProof/>
          <w:lang w:val="en-US" w:eastAsia="en-US"/>
        </w:rPr>
        <w:lastRenderedPageBreak/>
        <w:drawing>
          <wp:inline distT="0" distB="0" distL="0" distR="0" wp14:anchorId="62B77E97" wp14:editId="34805680">
            <wp:extent cx="3326130" cy="3722884"/>
            <wp:effectExtent l="0" t="0" r="7620" b="0"/>
            <wp:docPr id="2" name="Picture 2" descr="C:\Documents and Settings\David Stroud\Local Settings\Temporary Internet Files\Content.Word\david stroud_02-06-2014_16-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avid Stroud\Local Settings\Temporary Internet Files\Content.Word\david stroud_02-06-2014_16-15-50.jpg"/>
                    <pic:cNvPicPr>
                      <a:picLocks noChangeAspect="1" noChangeArrowheads="1"/>
                    </pic:cNvPicPr>
                  </pic:nvPicPr>
                  <pic:blipFill>
                    <a:blip r:embed="rId10" cstate="print"/>
                    <a:srcRect/>
                    <a:stretch>
                      <a:fillRect/>
                    </a:stretch>
                  </pic:blipFill>
                  <pic:spPr bwMode="auto">
                    <a:xfrm>
                      <a:off x="0" y="0"/>
                      <a:ext cx="3341963" cy="3740605"/>
                    </a:xfrm>
                    <a:prstGeom prst="rect">
                      <a:avLst/>
                    </a:prstGeom>
                    <a:noFill/>
                    <a:ln w="9525">
                      <a:noFill/>
                      <a:miter lim="800000"/>
                      <a:headEnd/>
                      <a:tailEnd/>
                    </a:ln>
                  </pic:spPr>
                </pic:pic>
              </a:graphicData>
            </a:graphic>
          </wp:inline>
        </w:drawing>
      </w:r>
    </w:p>
    <w:p w:rsidR="00832ADE" w:rsidRPr="00755F5A" w:rsidRDefault="00832ADE" w:rsidP="00DC0EDD">
      <w:bookmarkStart w:id="3" w:name="OLE_LINK4"/>
      <w:bookmarkStart w:id="4" w:name="OLE_LINK6"/>
    </w:p>
    <w:p w:rsidR="00887ABD" w:rsidRPr="00755F5A" w:rsidRDefault="00887ABD" w:rsidP="00DC0EDD"/>
    <w:bookmarkEnd w:id="3"/>
    <w:bookmarkEnd w:id="4"/>
    <w:p w:rsidR="00196F65" w:rsidRPr="00755F5A" w:rsidRDefault="00196F65" w:rsidP="00DC0EDD"/>
    <w:p w:rsidR="00DC0EDD" w:rsidRPr="00755F5A" w:rsidRDefault="00887ABD" w:rsidP="00832ADE">
      <w:pPr>
        <w:pStyle w:val="Heading2"/>
        <w:spacing w:after="120"/>
        <w:rPr>
          <w:rFonts w:ascii="Times New Roman" w:hAnsi="Times New Roman"/>
          <w:sz w:val="24"/>
          <w:szCs w:val="24"/>
        </w:rPr>
      </w:pPr>
      <w:r w:rsidRPr="00755F5A">
        <w:rPr>
          <w:rFonts w:ascii="Times New Roman" w:hAnsi="Times New Roman"/>
          <w:sz w:val="24"/>
          <w:szCs w:val="24"/>
        </w:rPr>
        <w:t xml:space="preserve">Common </w:t>
      </w:r>
      <w:proofErr w:type="spellStart"/>
      <w:r w:rsidRPr="00755F5A">
        <w:rPr>
          <w:rFonts w:ascii="Times New Roman" w:hAnsi="Times New Roman"/>
          <w:sz w:val="24"/>
          <w:szCs w:val="24"/>
        </w:rPr>
        <w:t>Murre</w:t>
      </w:r>
      <w:proofErr w:type="spellEnd"/>
      <w:r w:rsidRPr="00755F5A">
        <w:rPr>
          <w:rFonts w:ascii="Times New Roman" w:hAnsi="Times New Roman"/>
          <w:sz w:val="24"/>
          <w:szCs w:val="24"/>
        </w:rPr>
        <w:t xml:space="preserve"> </w:t>
      </w:r>
      <w:proofErr w:type="spellStart"/>
      <w:r w:rsidR="007C049D" w:rsidRPr="00755F5A">
        <w:rPr>
          <w:rFonts w:ascii="Times New Roman" w:hAnsi="Times New Roman"/>
          <w:i/>
          <w:sz w:val="24"/>
          <w:szCs w:val="24"/>
        </w:rPr>
        <w:t>Uria</w:t>
      </w:r>
      <w:proofErr w:type="spellEnd"/>
      <w:r w:rsidR="007C049D" w:rsidRPr="00755F5A">
        <w:rPr>
          <w:rFonts w:ascii="Times New Roman" w:hAnsi="Times New Roman"/>
          <w:i/>
          <w:sz w:val="24"/>
          <w:szCs w:val="24"/>
        </w:rPr>
        <w:t xml:space="preserve"> </w:t>
      </w:r>
      <w:proofErr w:type="spellStart"/>
      <w:r w:rsidR="007C049D" w:rsidRPr="00755F5A">
        <w:rPr>
          <w:rFonts w:ascii="Times New Roman" w:hAnsi="Times New Roman"/>
          <w:i/>
          <w:sz w:val="24"/>
          <w:szCs w:val="24"/>
        </w:rPr>
        <w:t>aalge</w:t>
      </w:r>
      <w:proofErr w:type="spellEnd"/>
      <w:r w:rsidRPr="00755F5A">
        <w:rPr>
          <w:rFonts w:ascii="Times New Roman" w:hAnsi="Times New Roman"/>
          <w:i/>
          <w:sz w:val="24"/>
          <w:szCs w:val="24"/>
        </w:rPr>
        <w:t xml:space="preserve"> </w:t>
      </w:r>
      <w:proofErr w:type="spellStart"/>
      <w:r w:rsidRPr="00755F5A">
        <w:rPr>
          <w:rFonts w:ascii="Times New Roman" w:hAnsi="Times New Roman"/>
          <w:i/>
          <w:sz w:val="24"/>
          <w:szCs w:val="24"/>
        </w:rPr>
        <w:t>aalge</w:t>
      </w:r>
      <w:proofErr w:type="spellEnd"/>
      <w:r w:rsidRPr="00755F5A">
        <w:rPr>
          <w:rFonts w:ascii="Times New Roman" w:hAnsi="Times New Roman"/>
          <w:i/>
          <w:sz w:val="24"/>
          <w:szCs w:val="24"/>
        </w:rPr>
        <w:t xml:space="preserve"> </w:t>
      </w:r>
      <w:r w:rsidRPr="00415CFC">
        <w:rPr>
          <w:rFonts w:ascii="Times New Roman" w:hAnsi="Times New Roman"/>
          <w:sz w:val="24"/>
          <w:szCs w:val="24"/>
        </w:rPr>
        <w:t>and</w:t>
      </w:r>
      <w:r w:rsidRPr="00755F5A">
        <w:rPr>
          <w:rFonts w:ascii="Times New Roman" w:hAnsi="Times New Roman"/>
          <w:i/>
          <w:sz w:val="24"/>
          <w:szCs w:val="24"/>
        </w:rPr>
        <w:t xml:space="preserve"> U. a. </w:t>
      </w:r>
      <w:proofErr w:type="spellStart"/>
      <w:r w:rsidRPr="00755F5A">
        <w:rPr>
          <w:rFonts w:ascii="Times New Roman" w:hAnsi="Times New Roman"/>
          <w:i/>
          <w:sz w:val="24"/>
          <w:szCs w:val="24"/>
        </w:rPr>
        <w:t>albionis</w:t>
      </w:r>
      <w:proofErr w:type="spellEnd"/>
    </w:p>
    <w:p w:rsidR="00B0405D" w:rsidRPr="00755F5A" w:rsidRDefault="00B0405D" w:rsidP="00B70460"/>
    <w:p w:rsidR="00B0405D" w:rsidRPr="00755F5A" w:rsidRDefault="00B0405D" w:rsidP="00B0405D">
      <w:pPr>
        <w:pBdr>
          <w:top w:val="single" w:sz="12" w:space="1" w:color="auto"/>
          <w:left w:val="single" w:sz="12" w:space="4" w:color="auto"/>
          <w:bottom w:val="single" w:sz="12" w:space="1" w:color="auto"/>
          <w:right w:val="single" w:sz="12" w:space="4" w:color="auto"/>
        </w:pBdr>
        <w:ind w:left="851"/>
        <w:rPr>
          <w:b/>
          <w:sz w:val="24"/>
          <w:szCs w:val="24"/>
        </w:rPr>
      </w:pPr>
      <w:r w:rsidRPr="00755F5A">
        <w:rPr>
          <w:b/>
          <w:sz w:val="24"/>
          <w:szCs w:val="24"/>
        </w:rPr>
        <w:t>ISSUE</w:t>
      </w:r>
    </w:p>
    <w:p w:rsidR="00B0405D" w:rsidRPr="00755F5A" w:rsidRDefault="00B0405D" w:rsidP="00B0405D">
      <w:pPr>
        <w:pBdr>
          <w:top w:val="single" w:sz="12" w:space="1" w:color="auto"/>
          <w:left w:val="single" w:sz="12" w:space="4" w:color="auto"/>
          <w:bottom w:val="single" w:sz="12" w:space="1" w:color="auto"/>
          <w:right w:val="single" w:sz="12" w:space="4" w:color="auto"/>
        </w:pBdr>
        <w:ind w:left="851"/>
        <w:rPr>
          <w:sz w:val="24"/>
          <w:szCs w:val="24"/>
        </w:rPr>
      </w:pPr>
    </w:p>
    <w:p w:rsidR="00B0405D" w:rsidRPr="00755F5A" w:rsidRDefault="00B0405D" w:rsidP="00B0405D">
      <w:pPr>
        <w:pBdr>
          <w:top w:val="single" w:sz="12" w:space="1" w:color="auto"/>
          <w:left w:val="single" w:sz="12" w:space="4" w:color="auto"/>
          <w:bottom w:val="single" w:sz="12" w:space="1" w:color="auto"/>
          <w:right w:val="single" w:sz="12" w:space="4" w:color="auto"/>
        </w:pBdr>
        <w:ind w:left="851"/>
        <w:rPr>
          <w:sz w:val="24"/>
          <w:szCs w:val="24"/>
        </w:rPr>
      </w:pPr>
      <w:r w:rsidRPr="00755F5A">
        <w:rPr>
          <w:sz w:val="24"/>
          <w:szCs w:val="24"/>
        </w:rPr>
        <w:t xml:space="preserve">The population of </w:t>
      </w:r>
      <w:r w:rsidRPr="00755F5A">
        <w:rPr>
          <w:i/>
          <w:sz w:val="24"/>
          <w:szCs w:val="24"/>
        </w:rPr>
        <w:t xml:space="preserve">U. a. </w:t>
      </w:r>
      <w:proofErr w:type="spellStart"/>
      <w:r w:rsidRPr="00755F5A">
        <w:rPr>
          <w:i/>
          <w:sz w:val="24"/>
          <w:szCs w:val="24"/>
        </w:rPr>
        <w:t>aalge</w:t>
      </w:r>
      <w:proofErr w:type="spellEnd"/>
      <w:r w:rsidRPr="00755F5A">
        <w:rPr>
          <w:sz w:val="24"/>
          <w:szCs w:val="24"/>
        </w:rPr>
        <w:t xml:space="preserve"> is currently considered </w:t>
      </w:r>
      <w:r w:rsidR="00887ABD" w:rsidRPr="00755F5A">
        <w:rPr>
          <w:sz w:val="24"/>
          <w:szCs w:val="24"/>
        </w:rPr>
        <w:t>a</w:t>
      </w:r>
      <w:r w:rsidRPr="00755F5A">
        <w:rPr>
          <w:sz w:val="24"/>
          <w:szCs w:val="24"/>
        </w:rPr>
        <w:t>s a single population across the northern Atlantic.  However, it should comprise separate NE &amp; NW Atlantic populations on the basis of evidence of lack of trans-Atlantic interchange</w:t>
      </w:r>
    </w:p>
    <w:p w:rsidR="00B0405D" w:rsidRPr="00755F5A" w:rsidRDefault="00B0405D" w:rsidP="00B0405D">
      <w:pPr>
        <w:pBdr>
          <w:top w:val="single" w:sz="12" w:space="1" w:color="auto"/>
          <w:left w:val="single" w:sz="12" w:space="4" w:color="auto"/>
          <w:bottom w:val="single" w:sz="12" w:space="1" w:color="auto"/>
          <w:right w:val="single" w:sz="12" w:space="4" w:color="auto"/>
        </w:pBdr>
        <w:ind w:left="851"/>
        <w:rPr>
          <w:sz w:val="24"/>
          <w:szCs w:val="24"/>
        </w:rPr>
      </w:pPr>
    </w:p>
    <w:p w:rsidR="00B0405D" w:rsidRPr="002B571F" w:rsidRDefault="00B0405D" w:rsidP="002B571F">
      <w:pPr>
        <w:jc w:val="both"/>
        <w:rPr>
          <w:sz w:val="22"/>
          <w:szCs w:val="22"/>
        </w:rPr>
      </w:pPr>
    </w:p>
    <w:p w:rsidR="00B70460" w:rsidRPr="002B571F" w:rsidRDefault="007C049D" w:rsidP="002B571F">
      <w:pPr>
        <w:jc w:val="both"/>
        <w:rPr>
          <w:sz w:val="22"/>
          <w:szCs w:val="22"/>
        </w:rPr>
      </w:pPr>
      <w:r w:rsidRPr="002B571F">
        <w:rPr>
          <w:sz w:val="22"/>
          <w:szCs w:val="22"/>
        </w:rPr>
        <w:t xml:space="preserve">Two races of </w:t>
      </w:r>
      <w:r w:rsidR="00887ABD" w:rsidRPr="002B571F">
        <w:rPr>
          <w:sz w:val="22"/>
          <w:szCs w:val="22"/>
        </w:rPr>
        <w:t xml:space="preserve">Common </w:t>
      </w:r>
      <w:proofErr w:type="spellStart"/>
      <w:r w:rsidR="00887ABD" w:rsidRPr="002B571F">
        <w:rPr>
          <w:sz w:val="22"/>
          <w:szCs w:val="22"/>
        </w:rPr>
        <w:t>Murres</w:t>
      </w:r>
      <w:proofErr w:type="spellEnd"/>
      <w:r w:rsidR="00887ABD" w:rsidRPr="002B571F">
        <w:rPr>
          <w:sz w:val="22"/>
          <w:szCs w:val="22"/>
        </w:rPr>
        <w:t xml:space="preserve"> </w:t>
      </w:r>
      <w:r w:rsidRPr="002B571F">
        <w:rPr>
          <w:sz w:val="22"/>
          <w:szCs w:val="22"/>
        </w:rPr>
        <w:t xml:space="preserve">occur in the NE Atlantic: </w:t>
      </w:r>
      <w:proofErr w:type="spellStart"/>
      <w:r w:rsidRPr="002B571F">
        <w:rPr>
          <w:i/>
          <w:sz w:val="22"/>
          <w:szCs w:val="22"/>
        </w:rPr>
        <w:t>Uria</w:t>
      </w:r>
      <w:proofErr w:type="spellEnd"/>
      <w:r w:rsidRPr="002B571F">
        <w:rPr>
          <w:i/>
          <w:sz w:val="22"/>
          <w:szCs w:val="22"/>
        </w:rPr>
        <w:t xml:space="preserve"> </w:t>
      </w:r>
      <w:proofErr w:type="spellStart"/>
      <w:r w:rsidRPr="002B571F">
        <w:rPr>
          <w:i/>
          <w:sz w:val="22"/>
          <w:szCs w:val="22"/>
        </w:rPr>
        <w:t>aalge</w:t>
      </w:r>
      <w:proofErr w:type="spellEnd"/>
      <w:r w:rsidRPr="002B571F">
        <w:rPr>
          <w:i/>
          <w:sz w:val="22"/>
          <w:szCs w:val="22"/>
        </w:rPr>
        <w:t xml:space="preserve"> </w:t>
      </w:r>
      <w:proofErr w:type="spellStart"/>
      <w:r w:rsidRPr="002B571F">
        <w:rPr>
          <w:i/>
          <w:sz w:val="22"/>
          <w:szCs w:val="22"/>
        </w:rPr>
        <w:t>aalge</w:t>
      </w:r>
      <w:proofErr w:type="spellEnd"/>
      <w:r w:rsidRPr="002B571F">
        <w:rPr>
          <w:sz w:val="22"/>
          <w:szCs w:val="22"/>
        </w:rPr>
        <w:t xml:space="preserve"> and </w:t>
      </w:r>
      <w:r w:rsidRPr="002B571F">
        <w:rPr>
          <w:i/>
          <w:sz w:val="22"/>
          <w:szCs w:val="22"/>
        </w:rPr>
        <w:t xml:space="preserve">U. </w:t>
      </w:r>
      <w:proofErr w:type="spellStart"/>
      <w:r w:rsidRPr="002B571F">
        <w:rPr>
          <w:i/>
          <w:sz w:val="22"/>
          <w:szCs w:val="22"/>
        </w:rPr>
        <w:t>aalge</w:t>
      </w:r>
      <w:proofErr w:type="spellEnd"/>
      <w:r w:rsidRPr="002B571F">
        <w:rPr>
          <w:i/>
          <w:sz w:val="22"/>
          <w:szCs w:val="22"/>
        </w:rPr>
        <w:t xml:space="preserve"> </w:t>
      </w:r>
      <w:proofErr w:type="spellStart"/>
      <w:r w:rsidRPr="002B571F">
        <w:rPr>
          <w:i/>
          <w:sz w:val="22"/>
          <w:szCs w:val="22"/>
        </w:rPr>
        <w:t>albionis</w:t>
      </w:r>
      <w:proofErr w:type="spellEnd"/>
      <w:r w:rsidRPr="002B571F">
        <w:rPr>
          <w:sz w:val="22"/>
          <w:szCs w:val="22"/>
        </w:rPr>
        <w:t xml:space="preserve">.  </w:t>
      </w:r>
    </w:p>
    <w:p w:rsidR="00B70460" w:rsidRPr="002B571F" w:rsidRDefault="00B70460" w:rsidP="002B571F">
      <w:pPr>
        <w:jc w:val="both"/>
        <w:rPr>
          <w:sz w:val="22"/>
          <w:szCs w:val="22"/>
        </w:rPr>
      </w:pPr>
    </w:p>
    <w:p w:rsidR="007C049D" w:rsidRPr="002B571F" w:rsidRDefault="007C049D" w:rsidP="002B571F">
      <w:pPr>
        <w:spacing w:after="120"/>
        <w:jc w:val="both"/>
        <w:rPr>
          <w:sz w:val="22"/>
          <w:szCs w:val="22"/>
        </w:rPr>
      </w:pPr>
      <w:r w:rsidRPr="002B571F">
        <w:rPr>
          <w:sz w:val="22"/>
          <w:szCs w:val="22"/>
        </w:rPr>
        <w:t>A number of published sources delineate the two races differently</w:t>
      </w:r>
      <w:r w:rsidR="00B70460" w:rsidRPr="002B571F">
        <w:rPr>
          <w:sz w:val="22"/>
          <w:szCs w:val="22"/>
        </w:rPr>
        <w:t xml:space="preserve"> especially in respect of the different status of Irish and UK breeding birds</w:t>
      </w:r>
      <w:r w:rsidRPr="002B571F">
        <w:rPr>
          <w:sz w:val="22"/>
          <w:szCs w:val="22"/>
        </w:rPr>
        <w:t xml:space="preserve">.  Detailed review for the third review of the UK’s SPA network </w:t>
      </w:r>
      <w:r w:rsidR="00B70460" w:rsidRPr="002B571F">
        <w:rPr>
          <w:sz w:val="22"/>
          <w:szCs w:val="22"/>
        </w:rPr>
        <w:t xml:space="preserve">(Stroud </w:t>
      </w:r>
      <w:r w:rsidR="00B70460" w:rsidRPr="002B571F">
        <w:rPr>
          <w:i/>
          <w:sz w:val="22"/>
          <w:szCs w:val="22"/>
        </w:rPr>
        <w:t>et al.</w:t>
      </w:r>
      <w:r w:rsidR="00B70460" w:rsidRPr="002B571F">
        <w:rPr>
          <w:sz w:val="22"/>
          <w:szCs w:val="22"/>
        </w:rPr>
        <w:t xml:space="preserve"> 2016 in press) </w:t>
      </w:r>
      <w:r w:rsidRPr="002B571F">
        <w:rPr>
          <w:sz w:val="22"/>
          <w:szCs w:val="22"/>
        </w:rPr>
        <w:t>suggest that the most</w:t>
      </w:r>
      <w:r w:rsidR="00B70460" w:rsidRPr="002B571F">
        <w:rPr>
          <w:sz w:val="22"/>
          <w:szCs w:val="22"/>
        </w:rPr>
        <w:t xml:space="preserve"> robust assessment of population boundaries in Ireland and Britain is that of </w:t>
      </w:r>
      <w:r w:rsidRPr="002B571F">
        <w:rPr>
          <w:sz w:val="22"/>
          <w:szCs w:val="22"/>
        </w:rPr>
        <w:t xml:space="preserve">Harris &amp; </w:t>
      </w:r>
      <w:proofErr w:type="spellStart"/>
      <w:r w:rsidRPr="002B571F">
        <w:rPr>
          <w:sz w:val="22"/>
          <w:szCs w:val="22"/>
        </w:rPr>
        <w:t>Wanless</w:t>
      </w:r>
      <w:proofErr w:type="spellEnd"/>
      <w:r w:rsidRPr="002B571F">
        <w:rPr>
          <w:sz w:val="22"/>
          <w:szCs w:val="22"/>
        </w:rPr>
        <w:t xml:space="preserve"> (2007):  </w:t>
      </w:r>
    </w:p>
    <w:p w:rsidR="007C049D" w:rsidRPr="002B571F" w:rsidRDefault="00887ABD" w:rsidP="002B571F">
      <w:pPr>
        <w:pStyle w:val="ListParagraph"/>
        <w:numPr>
          <w:ilvl w:val="0"/>
          <w:numId w:val="5"/>
        </w:numPr>
        <w:spacing w:after="120"/>
        <w:contextualSpacing w:val="0"/>
        <w:jc w:val="both"/>
        <w:rPr>
          <w:sz w:val="22"/>
          <w:szCs w:val="22"/>
        </w:rPr>
      </w:pPr>
      <w:proofErr w:type="spellStart"/>
      <w:r w:rsidRPr="002B571F">
        <w:rPr>
          <w:sz w:val="22"/>
          <w:szCs w:val="22"/>
        </w:rPr>
        <w:t>Murres</w:t>
      </w:r>
      <w:proofErr w:type="spellEnd"/>
      <w:r w:rsidRPr="002B571F">
        <w:rPr>
          <w:sz w:val="22"/>
          <w:szCs w:val="22"/>
        </w:rPr>
        <w:t xml:space="preserve"> </w:t>
      </w:r>
      <w:r w:rsidR="007C049D" w:rsidRPr="002B571F">
        <w:rPr>
          <w:sz w:val="22"/>
          <w:szCs w:val="22"/>
        </w:rPr>
        <w:t xml:space="preserve">in England (other than Northumberland), Ireland and SW Scotland north to, and including Ailsa Crag, are </w:t>
      </w:r>
      <w:r w:rsidR="007C049D" w:rsidRPr="002B571F">
        <w:rPr>
          <w:i/>
          <w:sz w:val="22"/>
          <w:szCs w:val="22"/>
        </w:rPr>
        <w:t xml:space="preserve">U. a. </w:t>
      </w:r>
      <w:proofErr w:type="spellStart"/>
      <w:r w:rsidR="007C049D" w:rsidRPr="002B571F">
        <w:rPr>
          <w:i/>
          <w:sz w:val="22"/>
          <w:szCs w:val="22"/>
        </w:rPr>
        <w:t>albionis</w:t>
      </w:r>
      <w:proofErr w:type="spellEnd"/>
      <w:r w:rsidR="0048344E" w:rsidRPr="002B571F">
        <w:rPr>
          <w:i/>
          <w:sz w:val="22"/>
          <w:szCs w:val="22"/>
        </w:rPr>
        <w:t xml:space="preserve"> </w:t>
      </w:r>
      <w:r w:rsidR="0048344E" w:rsidRPr="002B571F">
        <w:rPr>
          <w:sz w:val="22"/>
          <w:szCs w:val="22"/>
        </w:rPr>
        <w:t>(Table 1)</w:t>
      </w:r>
      <w:r w:rsidR="007C049D" w:rsidRPr="002B571F">
        <w:rPr>
          <w:sz w:val="22"/>
          <w:szCs w:val="22"/>
        </w:rPr>
        <w:t xml:space="preserve">. </w:t>
      </w:r>
    </w:p>
    <w:p w:rsidR="007C049D" w:rsidRPr="002B571F" w:rsidRDefault="00887ABD" w:rsidP="002B571F">
      <w:pPr>
        <w:pStyle w:val="ListParagraph"/>
        <w:numPr>
          <w:ilvl w:val="0"/>
          <w:numId w:val="5"/>
        </w:numPr>
        <w:spacing w:after="120"/>
        <w:contextualSpacing w:val="0"/>
        <w:jc w:val="both"/>
        <w:rPr>
          <w:sz w:val="22"/>
          <w:szCs w:val="22"/>
        </w:rPr>
      </w:pPr>
      <w:proofErr w:type="spellStart"/>
      <w:r w:rsidRPr="002B571F">
        <w:rPr>
          <w:sz w:val="22"/>
          <w:szCs w:val="22"/>
        </w:rPr>
        <w:t>Murres</w:t>
      </w:r>
      <w:proofErr w:type="spellEnd"/>
      <w:r w:rsidRPr="002B571F">
        <w:rPr>
          <w:sz w:val="22"/>
          <w:szCs w:val="22"/>
        </w:rPr>
        <w:t xml:space="preserve"> </w:t>
      </w:r>
      <w:r w:rsidR="007C049D" w:rsidRPr="002B571F">
        <w:rPr>
          <w:sz w:val="22"/>
          <w:szCs w:val="22"/>
        </w:rPr>
        <w:t xml:space="preserve">elsewhere in Scotland and in Northumberland are </w:t>
      </w:r>
      <w:r w:rsidR="007C049D" w:rsidRPr="002B571F">
        <w:rPr>
          <w:i/>
          <w:sz w:val="22"/>
          <w:szCs w:val="22"/>
        </w:rPr>
        <w:t xml:space="preserve">U. </w:t>
      </w:r>
      <w:proofErr w:type="gramStart"/>
      <w:r w:rsidR="007C049D" w:rsidRPr="002B571F">
        <w:rPr>
          <w:i/>
          <w:sz w:val="22"/>
          <w:szCs w:val="22"/>
        </w:rPr>
        <w:t>a</w:t>
      </w:r>
      <w:proofErr w:type="gramEnd"/>
      <w:r w:rsidR="007C049D" w:rsidRPr="002B571F">
        <w:rPr>
          <w:i/>
          <w:sz w:val="22"/>
          <w:szCs w:val="22"/>
        </w:rPr>
        <w:t xml:space="preserve"> </w:t>
      </w:r>
      <w:proofErr w:type="spellStart"/>
      <w:r w:rsidR="007C049D" w:rsidRPr="002B571F">
        <w:rPr>
          <w:i/>
          <w:sz w:val="22"/>
          <w:szCs w:val="22"/>
        </w:rPr>
        <w:t>aalge</w:t>
      </w:r>
      <w:proofErr w:type="spellEnd"/>
      <w:r w:rsidR="007C049D" w:rsidRPr="002B571F">
        <w:rPr>
          <w:sz w:val="22"/>
          <w:szCs w:val="22"/>
        </w:rPr>
        <w:t>.</w:t>
      </w:r>
    </w:p>
    <w:p w:rsidR="007C049D" w:rsidRPr="002B571F" w:rsidRDefault="007C049D" w:rsidP="002B571F">
      <w:pPr>
        <w:pStyle w:val="ListParagraph"/>
        <w:numPr>
          <w:ilvl w:val="0"/>
          <w:numId w:val="5"/>
        </w:numPr>
        <w:jc w:val="both"/>
        <w:rPr>
          <w:sz w:val="22"/>
          <w:szCs w:val="22"/>
        </w:rPr>
      </w:pPr>
      <w:r w:rsidRPr="002B571F">
        <w:rPr>
          <w:sz w:val="22"/>
          <w:szCs w:val="22"/>
        </w:rPr>
        <w:t xml:space="preserve">Races are separable but there is a degree of </w:t>
      </w:r>
      <w:proofErr w:type="spellStart"/>
      <w:r w:rsidRPr="002B571F">
        <w:rPr>
          <w:sz w:val="22"/>
          <w:szCs w:val="22"/>
        </w:rPr>
        <w:t>clinal</w:t>
      </w:r>
      <w:proofErr w:type="spellEnd"/>
      <w:r w:rsidRPr="002B571F">
        <w:rPr>
          <w:sz w:val="22"/>
          <w:szCs w:val="22"/>
        </w:rPr>
        <w:t xml:space="preserve"> change, so </w:t>
      </w:r>
      <w:r w:rsidR="00B70460" w:rsidRPr="002B571F">
        <w:rPr>
          <w:sz w:val="22"/>
          <w:szCs w:val="22"/>
        </w:rPr>
        <w:t xml:space="preserve">at their interface, </w:t>
      </w:r>
      <w:r w:rsidRPr="002B571F">
        <w:rPr>
          <w:sz w:val="22"/>
          <w:szCs w:val="22"/>
        </w:rPr>
        <w:t xml:space="preserve">the split </w:t>
      </w:r>
      <w:r w:rsidR="00B70460" w:rsidRPr="002B571F">
        <w:rPr>
          <w:sz w:val="22"/>
          <w:szCs w:val="22"/>
        </w:rPr>
        <w:t xml:space="preserve">between races </w:t>
      </w:r>
      <w:r w:rsidRPr="002B571F">
        <w:rPr>
          <w:sz w:val="22"/>
          <w:szCs w:val="22"/>
        </w:rPr>
        <w:t>is not absolute.</w:t>
      </w:r>
    </w:p>
    <w:p w:rsidR="007C049D" w:rsidRDefault="007C049D" w:rsidP="002B571F">
      <w:pPr>
        <w:jc w:val="both"/>
        <w:rPr>
          <w:sz w:val="22"/>
          <w:szCs w:val="22"/>
        </w:rPr>
      </w:pPr>
    </w:p>
    <w:p w:rsidR="0042566D" w:rsidRDefault="0042566D" w:rsidP="002B571F">
      <w:pPr>
        <w:jc w:val="both"/>
        <w:rPr>
          <w:sz w:val="22"/>
          <w:szCs w:val="22"/>
        </w:rPr>
      </w:pPr>
    </w:p>
    <w:p w:rsidR="002B571F" w:rsidRDefault="002B571F" w:rsidP="002B571F">
      <w:pPr>
        <w:jc w:val="both"/>
        <w:rPr>
          <w:sz w:val="22"/>
          <w:szCs w:val="22"/>
        </w:rPr>
      </w:pPr>
    </w:p>
    <w:p w:rsidR="002B571F" w:rsidRDefault="002B571F" w:rsidP="002B571F">
      <w:pPr>
        <w:jc w:val="both"/>
        <w:rPr>
          <w:sz w:val="22"/>
          <w:szCs w:val="22"/>
        </w:rPr>
      </w:pPr>
    </w:p>
    <w:p w:rsidR="002B571F" w:rsidRDefault="002B571F" w:rsidP="002B571F">
      <w:pPr>
        <w:jc w:val="both"/>
        <w:rPr>
          <w:sz w:val="22"/>
          <w:szCs w:val="22"/>
        </w:rPr>
      </w:pPr>
    </w:p>
    <w:p w:rsidR="002B571F" w:rsidRPr="002B571F" w:rsidRDefault="002B571F" w:rsidP="002B571F">
      <w:pPr>
        <w:jc w:val="both"/>
        <w:rPr>
          <w:sz w:val="22"/>
          <w:szCs w:val="22"/>
        </w:rPr>
      </w:pPr>
    </w:p>
    <w:p w:rsidR="00B0405D" w:rsidRPr="002B571F" w:rsidRDefault="0048344E" w:rsidP="002B571F">
      <w:pPr>
        <w:jc w:val="both"/>
        <w:rPr>
          <w:sz w:val="22"/>
          <w:szCs w:val="22"/>
        </w:rPr>
      </w:pPr>
      <w:r w:rsidRPr="002B571F">
        <w:rPr>
          <w:sz w:val="22"/>
          <w:szCs w:val="22"/>
        </w:rPr>
        <w:lastRenderedPageBreak/>
        <w:t>Table 1.  Country a</w:t>
      </w:r>
      <w:r w:rsidR="00B0405D" w:rsidRPr="002B571F">
        <w:rPr>
          <w:sz w:val="22"/>
          <w:szCs w:val="22"/>
        </w:rPr>
        <w:t xml:space="preserve">llocation of </w:t>
      </w:r>
      <w:r w:rsidR="00887ABD" w:rsidRPr="002B571F">
        <w:rPr>
          <w:sz w:val="22"/>
          <w:szCs w:val="22"/>
        </w:rPr>
        <w:t xml:space="preserve">Common </w:t>
      </w:r>
      <w:proofErr w:type="spellStart"/>
      <w:r w:rsidR="00887ABD" w:rsidRPr="002B571F">
        <w:rPr>
          <w:sz w:val="22"/>
          <w:szCs w:val="22"/>
        </w:rPr>
        <w:t>Murre</w:t>
      </w:r>
      <w:proofErr w:type="spellEnd"/>
      <w:r w:rsidR="00887ABD" w:rsidRPr="002B571F">
        <w:rPr>
          <w:sz w:val="22"/>
          <w:szCs w:val="22"/>
        </w:rPr>
        <w:t xml:space="preserve"> </w:t>
      </w:r>
      <w:r w:rsidR="00B0405D" w:rsidRPr="002B571F">
        <w:rPr>
          <w:sz w:val="22"/>
          <w:szCs w:val="22"/>
        </w:rPr>
        <w:t xml:space="preserve">races following Harris &amp; </w:t>
      </w:r>
      <w:proofErr w:type="spellStart"/>
      <w:r w:rsidR="00B0405D" w:rsidRPr="002B571F">
        <w:rPr>
          <w:sz w:val="22"/>
          <w:szCs w:val="22"/>
        </w:rPr>
        <w:t>Wanless</w:t>
      </w:r>
      <w:proofErr w:type="spellEnd"/>
      <w:r w:rsidR="00B0405D" w:rsidRPr="002B571F">
        <w:rPr>
          <w:sz w:val="22"/>
          <w:szCs w:val="22"/>
        </w:rPr>
        <w:t xml:space="preserve"> (2007) </w:t>
      </w:r>
      <w:r w:rsidRPr="002B571F">
        <w:rPr>
          <w:sz w:val="22"/>
          <w:szCs w:val="22"/>
        </w:rPr>
        <w:t>is</w:t>
      </w:r>
      <w:r w:rsidR="00B0405D" w:rsidRPr="002B571F">
        <w:rPr>
          <w:sz w:val="22"/>
          <w:szCs w:val="22"/>
        </w:rPr>
        <w:t xml:space="preserve"> as follows:</w:t>
      </w:r>
    </w:p>
    <w:p w:rsidR="00B0405D" w:rsidRPr="002B571F" w:rsidRDefault="00B0405D" w:rsidP="00B0405D">
      <w:pPr>
        <w:rPr>
          <w:sz w:val="22"/>
          <w:szCs w:val="22"/>
        </w:rPr>
      </w:pPr>
    </w:p>
    <w:tbl>
      <w:tblPr>
        <w:tblW w:w="4830" w:type="dxa"/>
        <w:tblInd w:w="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04"/>
        <w:gridCol w:w="1134"/>
        <w:gridCol w:w="992"/>
      </w:tblGrid>
      <w:tr w:rsidR="00B0405D" w:rsidRPr="002B571F" w:rsidTr="002B571F">
        <w:trPr>
          <w:trHeight w:val="353"/>
          <w:tblHeader/>
        </w:trPr>
        <w:tc>
          <w:tcPr>
            <w:tcW w:w="2704" w:type="dxa"/>
            <w:shd w:val="clear" w:color="auto" w:fill="EEECE1" w:themeFill="background2"/>
            <w:hideMark/>
          </w:tcPr>
          <w:p w:rsidR="00B0405D" w:rsidRPr="002B571F" w:rsidRDefault="00B0405D" w:rsidP="0048344E">
            <w:pPr>
              <w:rPr>
                <w:color w:val="000000"/>
                <w:sz w:val="22"/>
                <w:szCs w:val="22"/>
              </w:rPr>
            </w:pPr>
            <w:r w:rsidRPr="002B571F">
              <w:rPr>
                <w:sz w:val="22"/>
                <w:szCs w:val="22"/>
              </w:rPr>
              <w:br w:type="page"/>
            </w:r>
          </w:p>
        </w:tc>
        <w:tc>
          <w:tcPr>
            <w:tcW w:w="1134" w:type="dxa"/>
            <w:shd w:val="clear" w:color="auto" w:fill="EEECE1" w:themeFill="background2"/>
            <w:hideMark/>
          </w:tcPr>
          <w:p w:rsidR="00B0405D" w:rsidRPr="002B571F" w:rsidRDefault="00B0405D" w:rsidP="0048344E">
            <w:pPr>
              <w:jc w:val="right"/>
              <w:rPr>
                <w:b/>
                <w:bCs/>
                <w:color w:val="974807"/>
                <w:sz w:val="22"/>
                <w:szCs w:val="22"/>
              </w:rPr>
            </w:pPr>
            <w:proofErr w:type="spellStart"/>
            <w:r w:rsidRPr="002B571F">
              <w:rPr>
                <w:b/>
                <w:bCs/>
                <w:i/>
                <w:iCs/>
                <w:color w:val="974807"/>
                <w:sz w:val="22"/>
                <w:szCs w:val="22"/>
              </w:rPr>
              <w:t>alge</w:t>
            </w:r>
            <w:proofErr w:type="spellEnd"/>
            <w:r w:rsidRPr="002B571F">
              <w:rPr>
                <w:b/>
                <w:bCs/>
                <w:color w:val="974807"/>
                <w:sz w:val="22"/>
                <w:szCs w:val="22"/>
              </w:rPr>
              <w:t xml:space="preserve"> </w:t>
            </w:r>
          </w:p>
        </w:tc>
        <w:tc>
          <w:tcPr>
            <w:tcW w:w="992" w:type="dxa"/>
            <w:shd w:val="clear" w:color="auto" w:fill="EEECE1" w:themeFill="background2"/>
            <w:hideMark/>
          </w:tcPr>
          <w:p w:rsidR="00B0405D" w:rsidRPr="002B571F" w:rsidRDefault="00B0405D" w:rsidP="0048344E">
            <w:pPr>
              <w:jc w:val="right"/>
              <w:rPr>
                <w:b/>
                <w:bCs/>
                <w:color w:val="00B050"/>
                <w:sz w:val="22"/>
                <w:szCs w:val="22"/>
              </w:rPr>
            </w:pPr>
            <w:proofErr w:type="spellStart"/>
            <w:r w:rsidRPr="002B571F">
              <w:rPr>
                <w:b/>
                <w:bCs/>
                <w:i/>
                <w:iCs/>
                <w:color w:val="00B050"/>
                <w:sz w:val="22"/>
                <w:szCs w:val="22"/>
              </w:rPr>
              <w:t>albionis</w:t>
            </w:r>
            <w:proofErr w:type="spellEnd"/>
            <w:r w:rsidRPr="002B571F">
              <w:rPr>
                <w:b/>
                <w:bCs/>
                <w:i/>
                <w:iCs/>
                <w:color w:val="00B050"/>
                <w:sz w:val="22"/>
                <w:szCs w:val="22"/>
              </w:rPr>
              <w:t xml:space="preserve"> </w:t>
            </w:r>
          </w:p>
        </w:tc>
      </w:tr>
      <w:tr w:rsidR="00B0405D" w:rsidRPr="002B571F" w:rsidTr="002B571F">
        <w:trPr>
          <w:trHeight w:val="300"/>
        </w:trPr>
        <w:tc>
          <w:tcPr>
            <w:tcW w:w="2704" w:type="dxa"/>
            <w:shd w:val="clear" w:color="auto" w:fill="auto"/>
            <w:noWrap/>
            <w:hideMark/>
          </w:tcPr>
          <w:p w:rsidR="00B0405D" w:rsidRPr="00415CFC" w:rsidRDefault="00B0405D" w:rsidP="0048344E">
            <w:pPr>
              <w:rPr>
                <w:color w:val="000000"/>
                <w:sz w:val="22"/>
                <w:szCs w:val="22"/>
                <w:lang w:val="de-DE"/>
              </w:rPr>
            </w:pPr>
            <w:r w:rsidRPr="00415CFC">
              <w:rPr>
                <w:color w:val="000000"/>
                <w:sz w:val="22"/>
                <w:szCs w:val="22"/>
                <w:lang w:val="de-DE"/>
              </w:rPr>
              <w:t>UK: Scotland (N, W &amp; E)</w:t>
            </w:r>
          </w:p>
        </w:tc>
        <w:tc>
          <w:tcPr>
            <w:tcW w:w="1134" w:type="dxa"/>
            <w:shd w:val="clear" w:color="auto" w:fill="auto"/>
            <w:noWrap/>
            <w:hideMark/>
          </w:tcPr>
          <w:p w:rsidR="00B0405D" w:rsidRPr="002B571F" w:rsidRDefault="00B0405D" w:rsidP="0048344E">
            <w:pPr>
              <w:jc w:val="right"/>
              <w:rPr>
                <w:color w:val="974807"/>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UK: Scotland (S)</w:t>
            </w:r>
          </w:p>
        </w:tc>
        <w:tc>
          <w:tcPr>
            <w:tcW w:w="1134" w:type="dxa"/>
            <w:shd w:val="clear" w:color="auto" w:fill="auto"/>
            <w:noWrap/>
            <w:hideMark/>
          </w:tcPr>
          <w:p w:rsidR="00B0405D" w:rsidRPr="002B571F" w:rsidRDefault="00B0405D" w:rsidP="0048344E">
            <w:pPr>
              <w:jc w:val="right"/>
              <w:rPr>
                <w:color w:val="974807"/>
                <w:sz w:val="22"/>
                <w:szCs w:val="22"/>
              </w:rPr>
            </w:pPr>
          </w:p>
        </w:tc>
        <w:tc>
          <w:tcPr>
            <w:tcW w:w="992" w:type="dxa"/>
            <w:shd w:val="clear" w:color="auto" w:fill="auto"/>
            <w:noWrap/>
            <w:hideMark/>
          </w:tcPr>
          <w:p w:rsidR="00B0405D" w:rsidRPr="002B571F" w:rsidRDefault="00B0405D" w:rsidP="0048344E">
            <w:pPr>
              <w:jc w:val="right"/>
              <w:rPr>
                <w:color w:val="00B050"/>
                <w:sz w:val="22"/>
                <w:szCs w:val="22"/>
              </w:rPr>
            </w:pPr>
            <w:proofErr w:type="spellStart"/>
            <w:r w:rsidRPr="002B571F">
              <w:rPr>
                <w:b/>
                <w:bCs/>
                <w:i/>
                <w:iCs/>
                <w:color w:val="00B050"/>
                <w:sz w:val="22"/>
                <w:szCs w:val="22"/>
              </w:rPr>
              <w:t>albionis</w:t>
            </w:r>
            <w:proofErr w:type="spellEnd"/>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UK: England (Northumbria)</w:t>
            </w:r>
          </w:p>
        </w:tc>
        <w:tc>
          <w:tcPr>
            <w:tcW w:w="1134" w:type="dxa"/>
            <w:shd w:val="clear" w:color="auto" w:fill="auto"/>
            <w:noWrap/>
            <w:hideMark/>
          </w:tcPr>
          <w:p w:rsidR="00B0405D" w:rsidRPr="002B571F" w:rsidRDefault="00B0405D" w:rsidP="0048344E">
            <w:pPr>
              <w:jc w:val="right"/>
              <w:rPr>
                <w:color w:val="974807"/>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UK: England (minus Northumbria)</w:t>
            </w:r>
          </w:p>
        </w:tc>
        <w:tc>
          <w:tcPr>
            <w:tcW w:w="1134" w:type="dxa"/>
            <w:shd w:val="clear" w:color="auto" w:fill="auto"/>
            <w:noWrap/>
            <w:hideMark/>
          </w:tcPr>
          <w:p w:rsidR="00B0405D" w:rsidRPr="002B571F" w:rsidRDefault="00B0405D" w:rsidP="0048344E">
            <w:pPr>
              <w:jc w:val="right"/>
              <w:rPr>
                <w:color w:val="974807"/>
                <w:sz w:val="22"/>
                <w:szCs w:val="22"/>
              </w:rPr>
            </w:pPr>
          </w:p>
        </w:tc>
        <w:tc>
          <w:tcPr>
            <w:tcW w:w="992" w:type="dxa"/>
            <w:shd w:val="clear" w:color="auto" w:fill="auto"/>
            <w:noWrap/>
            <w:hideMark/>
          </w:tcPr>
          <w:p w:rsidR="00B0405D" w:rsidRPr="002B571F" w:rsidRDefault="00B0405D" w:rsidP="0048344E">
            <w:pPr>
              <w:jc w:val="right"/>
              <w:rPr>
                <w:color w:val="00B050"/>
                <w:sz w:val="22"/>
                <w:szCs w:val="22"/>
              </w:rPr>
            </w:pPr>
            <w:proofErr w:type="spellStart"/>
            <w:r w:rsidRPr="002B571F">
              <w:rPr>
                <w:b/>
                <w:bCs/>
                <w:i/>
                <w:iCs/>
                <w:color w:val="00B050"/>
                <w:sz w:val="22"/>
                <w:szCs w:val="22"/>
              </w:rPr>
              <w:t>albionis</w:t>
            </w:r>
            <w:proofErr w:type="spellEnd"/>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UK: Wales</w:t>
            </w:r>
          </w:p>
        </w:tc>
        <w:tc>
          <w:tcPr>
            <w:tcW w:w="1134" w:type="dxa"/>
            <w:shd w:val="clear" w:color="auto" w:fill="auto"/>
            <w:noWrap/>
            <w:hideMark/>
          </w:tcPr>
          <w:p w:rsidR="00B0405D" w:rsidRPr="002B571F" w:rsidRDefault="00B0405D" w:rsidP="0048344E">
            <w:pPr>
              <w:jc w:val="right"/>
              <w:rPr>
                <w:color w:val="974807"/>
                <w:sz w:val="22"/>
                <w:szCs w:val="22"/>
              </w:rPr>
            </w:pPr>
          </w:p>
        </w:tc>
        <w:tc>
          <w:tcPr>
            <w:tcW w:w="992" w:type="dxa"/>
            <w:shd w:val="clear" w:color="auto" w:fill="auto"/>
            <w:noWrap/>
            <w:hideMark/>
          </w:tcPr>
          <w:p w:rsidR="00B0405D" w:rsidRPr="002B571F" w:rsidRDefault="00B0405D" w:rsidP="0048344E">
            <w:pPr>
              <w:jc w:val="right"/>
              <w:rPr>
                <w:color w:val="00B050"/>
                <w:sz w:val="22"/>
                <w:szCs w:val="22"/>
              </w:rPr>
            </w:pPr>
            <w:proofErr w:type="spellStart"/>
            <w:r w:rsidRPr="002B571F">
              <w:rPr>
                <w:b/>
                <w:bCs/>
                <w:i/>
                <w:iCs/>
                <w:color w:val="00B050"/>
                <w:sz w:val="22"/>
                <w:szCs w:val="22"/>
              </w:rPr>
              <w:t>albionis</w:t>
            </w:r>
            <w:proofErr w:type="spellEnd"/>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UK: Northern Ireland</w:t>
            </w:r>
          </w:p>
        </w:tc>
        <w:tc>
          <w:tcPr>
            <w:tcW w:w="1134" w:type="dxa"/>
            <w:shd w:val="clear" w:color="auto" w:fill="auto"/>
            <w:noWrap/>
            <w:hideMark/>
          </w:tcPr>
          <w:p w:rsidR="00B0405D" w:rsidRPr="002B571F" w:rsidRDefault="00B0405D" w:rsidP="0048344E">
            <w:pPr>
              <w:jc w:val="right"/>
              <w:rPr>
                <w:color w:val="000000"/>
                <w:sz w:val="22"/>
                <w:szCs w:val="22"/>
              </w:rPr>
            </w:pPr>
          </w:p>
        </w:tc>
        <w:tc>
          <w:tcPr>
            <w:tcW w:w="992" w:type="dxa"/>
            <w:shd w:val="clear" w:color="auto" w:fill="auto"/>
            <w:noWrap/>
            <w:hideMark/>
          </w:tcPr>
          <w:p w:rsidR="00B0405D" w:rsidRPr="002B571F" w:rsidRDefault="00B0405D" w:rsidP="0048344E">
            <w:pPr>
              <w:jc w:val="right"/>
              <w:rPr>
                <w:color w:val="00B050"/>
                <w:sz w:val="22"/>
                <w:szCs w:val="22"/>
              </w:rPr>
            </w:pPr>
            <w:proofErr w:type="spellStart"/>
            <w:r w:rsidRPr="002B571F">
              <w:rPr>
                <w:b/>
                <w:bCs/>
                <w:i/>
                <w:iCs/>
                <w:color w:val="00B050"/>
                <w:sz w:val="22"/>
                <w:szCs w:val="22"/>
              </w:rPr>
              <w:t>albionis</w:t>
            </w:r>
            <w:proofErr w:type="spellEnd"/>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Ireland</w:t>
            </w:r>
          </w:p>
        </w:tc>
        <w:tc>
          <w:tcPr>
            <w:tcW w:w="1134" w:type="dxa"/>
            <w:shd w:val="clear" w:color="auto" w:fill="auto"/>
            <w:noWrap/>
            <w:hideMark/>
          </w:tcPr>
          <w:p w:rsidR="00B0405D" w:rsidRPr="002B571F" w:rsidRDefault="00B0405D" w:rsidP="0048344E">
            <w:pPr>
              <w:jc w:val="right"/>
              <w:rPr>
                <w:color w:val="000000"/>
                <w:sz w:val="22"/>
                <w:szCs w:val="22"/>
              </w:rPr>
            </w:pPr>
          </w:p>
        </w:tc>
        <w:tc>
          <w:tcPr>
            <w:tcW w:w="992" w:type="dxa"/>
            <w:shd w:val="clear" w:color="auto" w:fill="auto"/>
            <w:noWrap/>
            <w:hideMark/>
          </w:tcPr>
          <w:p w:rsidR="00B0405D" w:rsidRPr="002B571F" w:rsidRDefault="00B0405D" w:rsidP="0048344E">
            <w:pPr>
              <w:jc w:val="right"/>
              <w:rPr>
                <w:color w:val="00B050"/>
                <w:sz w:val="22"/>
                <w:szCs w:val="22"/>
              </w:rPr>
            </w:pPr>
            <w:proofErr w:type="spellStart"/>
            <w:r w:rsidRPr="002B571F">
              <w:rPr>
                <w:b/>
                <w:bCs/>
                <w:i/>
                <w:iCs/>
                <w:color w:val="00B050"/>
                <w:sz w:val="22"/>
                <w:szCs w:val="22"/>
              </w:rPr>
              <w:t>albionis</w:t>
            </w:r>
            <w:proofErr w:type="spellEnd"/>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France</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000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Germany</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000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Spain</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000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Portugal</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000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Sweden</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Denmark</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Finland</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Faeroes</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Iceland</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Norway</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Bear Island</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Jan Mayen</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Spitzbergen</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r w:rsidR="00B0405D" w:rsidRPr="002B571F" w:rsidTr="002B571F">
        <w:trPr>
          <w:trHeight w:val="300"/>
        </w:trPr>
        <w:tc>
          <w:tcPr>
            <w:tcW w:w="2704" w:type="dxa"/>
            <w:shd w:val="clear" w:color="auto" w:fill="auto"/>
            <w:noWrap/>
            <w:hideMark/>
          </w:tcPr>
          <w:p w:rsidR="00B0405D" w:rsidRPr="002B571F" w:rsidRDefault="00B0405D" w:rsidP="0048344E">
            <w:pPr>
              <w:rPr>
                <w:color w:val="000000"/>
                <w:sz w:val="22"/>
                <w:szCs w:val="22"/>
              </w:rPr>
            </w:pPr>
            <w:r w:rsidRPr="002B571F">
              <w:rPr>
                <w:color w:val="000000"/>
                <w:sz w:val="22"/>
                <w:szCs w:val="22"/>
              </w:rPr>
              <w:t>Russia</w:t>
            </w:r>
          </w:p>
        </w:tc>
        <w:tc>
          <w:tcPr>
            <w:tcW w:w="1134" w:type="dxa"/>
            <w:shd w:val="clear" w:color="auto" w:fill="auto"/>
            <w:noWrap/>
            <w:hideMark/>
          </w:tcPr>
          <w:p w:rsidR="00B0405D" w:rsidRPr="002B571F" w:rsidRDefault="00B0405D" w:rsidP="0048344E">
            <w:pPr>
              <w:jc w:val="right"/>
              <w:rPr>
                <w:sz w:val="22"/>
                <w:szCs w:val="22"/>
              </w:rPr>
            </w:pPr>
            <w:proofErr w:type="spellStart"/>
            <w:r w:rsidRPr="002B571F">
              <w:rPr>
                <w:b/>
                <w:bCs/>
                <w:i/>
                <w:iCs/>
                <w:color w:val="974807"/>
                <w:sz w:val="22"/>
                <w:szCs w:val="22"/>
              </w:rPr>
              <w:t>alge</w:t>
            </w:r>
            <w:proofErr w:type="spellEnd"/>
          </w:p>
        </w:tc>
        <w:tc>
          <w:tcPr>
            <w:tcW w:w="992" w:type="dxa"/>
            <w:shd w:val="clear" w:color="auto" w:fill="auto"/>
            <w:noWrap/>
            <w:hideMark/>
          </w:tcPr>
          <w:p w:rsidR="00B0405D" w:rsidRPr="002B571F" w:rsidRDefault="00B0405D" w:rsidP="0048344E">
            <w:pPr>
              <w:jc w:val="right"/>
              <w:rPr>
                <w:color w:val="00B050"/>
                <w:sz w:val="22"/>
                <w:szCs w:val="22"/>
              </w:rPr>
            </w:pPr>
          </w:p>
        </w:tc>
      </w:tr>
    </w:tbl>
    <w:p w:rsidR="00B0405D" w:rsidRPr="00755F5A" w:rsidRDefault="00B0405D" w:rsidP="00DC0EDD"/>
    <w:p w:rsidR="00B0405D" w:rsidRPr="00755F5A" w:rsidRDefault="00B0405D" w:rsidP="00DC0EDD"/>
    <w:p w:rsidR="008C18BE" w:rsidRPr="00FD1E16" w:rsidRDefault="00DC0EDD" w:rsidP="002B571F">
      <w:pPr>
        <w:jc w:val="both"/>
        <w:rPr>
          <w:sz w:val="22"/>
          <w:szCs w:val="22"/>
        </w:rPr>
      </w:pPr>
      <w:proofErr w:type="spellStart"/>
      <w:r w:rsidRPr="002B571F">
        <w:rPr>
          <w:sz w:val="22"/>
          <w:szCs w:val="22"/>
        </w:rPr>
        <w:t>Lyngs</w:t>
      </w:r>
      <w:proofErr w:type="spellEnd"/>
      <w:r w:rsidRPr="002B571F">
        <w:rPr>
          <w:sz w:val="22"/>
          <w:szCs w:val="22"/>
        </w:rPr>
        <w:t xml:space="preserve"> (2003) states </w:t>
      </w:r>
      <w:proofErr w:type="gramStart"/>
      <w:r w:rsidRPr="002B571F">
        <w:rPr>
          <w:sz w:val="22"/>
          <w:szCs w:val="22"/>
        </w:rPr>
        <w:t>“ …</w:t>
      </w:r>
      <w:proofErr w:type="gramEnd"/>
      <w:r w:rsidRPr="002B571F">
        <w:rPr>
          <w:sz w:val="22"/>
          <w:szCs w:val="22"/>
        </w:rPr>
        <w:t xml:space="preserve"> </w:t>
      </w:r>
      <w:r w:rsidRPr="00FD1E16">
        <w:rPr>
          <w:sz w:val="22"/>
          <w:szCs w:val="22"/>
        </w:rPr>
        <w:t>birds of W Palearctic origin winter off Iceland eastwards to the E Atlantic coasts and no others have been recovered in Greenland or Canada desp</w:t>
      </w:r>
      <w:r w:rsidR="00025BA2" w:rsidRPr="00FD1E16">
        <w:rPr>
          <w:sz w:val="22"/>
          <w:szCs w:val="22"/>
        </w:rPr>
        <w:t xml:space="preserve">ite large numbers being ringed… </w:t>
      </w:r>
      <w:r w:rsidRPr="00FD1E16">
        <w:rPr>
          <w:sz w:val="22"/>
          <w:szCs w:val="22"/>
        </w:rPr>
        <w:t xml:space="preserve"> Canadian populations winter off </w:t>
      </w:r>
      <w:r w:rsidR="00025BA2" w:rsidRPr="00FD1E16">
        <w:rPr>
          <w:sz w:val="22"/>
          <w:szCs w:val="22"/>
        </w:rPr>
        <w:t>Newfoundland,</w:t>
      </w:r>
      <w:r w:rsidR="00A22566" w:rsidRPr="00FD1E16">
        <w:rPr>
          <w:sz w:val="22"/>
          <w:szCs w:val="22"/>
        </w:rPr>
        <w:t xml:space="preserve"> Nova Scotia and New England…” </w:t>
      </w:r>
      <w:r w:rsidRPr="00FD1E16">
        <w:rPr>
          <w:sz w:val="22"/>
          <w:szCs w:val="22"/>
        </w:rPr>
        <w:t xml:space="preserve"> </w:t>
      </w:r>
    </w:p>
    <w:p w:rsidR="008C18BE" w:rsidRPr="00FD1E16" w:rsidRDefault="008C18BE" w:rsidP="002B571F">
      <w:pPr>
        <w:jc w:val="both"/>
        <w:rPr>
          <w:sz w:val="22"/>
          <w:szCs w:val="22"/>
        </w:rPr>
      </w:pPr>
    </w:p>
    <w:p w:rsidR="00DC0EDD" w:rsidRPr="002B571F" w:rsidRDefault="00DC0EDD" w:rsidP="002B571F">
      <w:pPr>
        <w:jc w:val="both"/>
        <w:rPr>
          <w:sz w:val="22"/>
          <w:szCs w:val="22"/>
        </w:rPr>
      </w:pPr>
      <w:proofErr w:type="gramStart"/>
      <w:r w:rsidRPr="002B571F">
        <w:rPr>
          <w:sz w:val="22"/>
          <w:szCs w:val="22"/>
        </w:rPr>
        <w:t>del</w:t>
      </w:r>
      <w:proofErr w:type="gramEnd"/>
      <w:r w:rsidRPr="002B571F">
        <w:rPr>
          <w:sz w:val="22"/>
          <w:szCs w:val="22"/>
        </w:rPr>
        <w:t xml:space="preserve"> </w:t>
      </w:r>
      <w:proofErr w:type="spellStart"/>
      <w:r w:rsidRPr="002B571F">
        <w:rPr>
          <w:sz w:val="22"/>
          <w:szCs w:val="22"/>
        </w:rPr>
        <w:t>Hoyo</w:t>
      </w:r>
      <w:proofErr w:type="spellEnd"/>
      <w:r w:rsidRPr="002B571F">
        <w:rPr>
          <w:sz w:val="22"/>
          <w:szCs w:val="22"/>
        </w:rPr>
        <w:t xml:space="preserve"> </w:t>
      </w:r>
      <w:r w:rsidRPr="002B571F">
        <w:rPr>
          <w:i/>
          <w:iCs/>
          <w:sz w:val="22"/>
          <w:szCs w:val="22"/>
        </w:rPr>
        <w:t xml:space="preserve">et al. </w:t>
      </w:r>
      <w:r w:rsidRPr="002B571F">
        <w:rPr>
          <w:sz w:val="22"/>
          <w:szCs w:val="22"/>
        </w:rPr>
        <w:t>(1996) state “ … no tran</w:t>
      </w:r>
      <w:r w:rsidR="00025BA2" w:rsidRPr="002B571F">
        <w:rPr>
          <w:sz w:val="22"/>
          <w:szCs w:val="22"/>
        </w:rPr>
        <w:t xml:space="preserve">s-Atlantic migrations known,…”  </w:t>
      </w:r>
      <w:r w:rsidRPr="002B571F">
        <w:rPr>
          <w:sz w:val="22"/>
          <w:szCs w:val="22"/>
        </w:rPr>
        <w:t xml:space="preserve">On this basis it seems valid to consider </w:t>
      </w:r>
      <w:proofErr w:type="spellStart"/>
      <w:r w:rsidRPr="00415CFC">
        <w:rPr>
          <w:i/>
          <w:iCs/>
          <w:sz w:val="22"/>
          <w:szCs w:val="22"/>
        </w:rPr>
        <w:t>aalge</w:t>
      </w:r>
      <w:proofErr w:type="spellEnd"/>
      <w:r w:rsidRPr="00415CFC">
        <w:rPr>
          <w:i/>
          <w:iCs/>
          <w:sz w:val="22"/>
          <w:szCs w:val="22"/>
        </w:rPr>
        <w:t xml:space="preserve"> </w:t>
      </w:r>
      <w:r w:rsidRPr="002B571F">
        <w:rPr>
          <w:sz w:val="22"/>
          <w:szCs w:val="22"/>
        </w:rPr>
        <w:t>breeding in the NW &amp; NE Atlantic as two separate populations.</w:t>
      </w:r>
    </w:p>
    <w:p w:rsidR="00B0405D" w:rsidRPr="002B571F" w:rsidRDefault="00B0405D" w:rsidP="002B571F">
      <w:pPr>
        <w:jc w:val="both"/>
        <w:rPr>
          <w:sz w:val="22"/>
          <w:szCs w:val="22"/>
        </w:rPr>
      </w:pPr>
    </w:p>
    <w:p w:rsidR="00B0405D" w:rsidRPr="002B571F" w:rsidRDefault="00B0405D" w:rsidP="002B571F">
      <w:pPr>
        <w:jc w:val="both"/>
        <w:rPr>
          <w:sz w:val="22"/>
          <w:szCs w:val="22"/>
        </w:rPr>
      </w:pPr>
      <w:r w:rsidRPr="002B571F">
        <w:rPr>
          <w:sz w:val="22"/>
          <w:szCs w:val="22"/>
        </w:rPr>
        <w:t xml:space="preserve">CSR 6 presents a single estimate for </w:t>
      </w:r>
      <w:r w:rsidRPr="002B571F">
        <w:rPr>
          <w:i/>
          <w:iCs/>
          <w:sz w:val="22"/>
          <w:szCs w:val="22"/>
        </w:rPr>
        <w:t xml:space="preserve">U. a. </w:t>
      </w:r>
      <w:proofErr w:type="spellStart"/>
      <w:r w:rsidRPr="002B571F">
        <w:rPr>
          <w:i/>
          <w:iCs/>
          <w:sz w:val="22"/>
          <w:szCs w:val="22"/>
        </w:rPr>
        <w:t>aalge</w:t>
      </w:r>
      <w:proofErr w:type="spellEnd"/>
      <w:r w:rsidRPr="002B571F">
        <w:rPr>
          <w:sz w:val="22"/>
          <w:szCs w:val="22"/>
        </w:rPr>
        <w:t xml:space="preserve"> related to “</w:t>
      </w:r>
      <w:r w:rsidRPr="00FD1E16">
        <w:rPr>
          <w:sz w:val="22"/>
          <w:szCs w:val="22"/>
        </w:rPr>
        <w:t xml:space="preserve">E North America, Greenland, Iceland, Faeroes, Scotland, S Norway, </w:t>
      </w:r>
      <w:proofErr w:type="gramStart"/>
      <w:r w:rsidRPr="00FD1E16">
        <w:rPr>
          <w:sz w:val="22"/>
          <w:szCs w:val="22"/>
        </w:rPr>
        <w:t>Baltic</w:t>
      </w:r>
      <w:proofErr w:type="gramEnd"/>
      <w:r w:rsidRPr="002B571F">
        <w:rPr>
          <w:sz w:val="22"/>
          <w:szCs w:val="22"/>
        </w:rPr>
        <w:t xml:space="preserve">” sourced from a single source for the period 1997-2014.  </w:t>
      </w:r>
    </w:p>
    <w:p w:rsidR="00B0405D" w:rsidRPr="002B571F" w:rsidRDefault="00B0405D" w:rsidP="002B571F">
      <w:pPr>
        <w:jc w:val="both"/>
        <w:rPr>
          <w:sz w:val="22"/>
          <w:szCs w:val="22"/>
        </w:rPr>
      </w:pPr>
    </w:p>
    <w:p w:rsidR="00B0405D" w:rsidRPr="002B571F" w:rsidRDefault="00B0405D" w:rsidP="002B571F">
      <w:pPr>
        <w:jc w:val="both"/>
        <w:rPr>
          <w:sz w:val="22"/>
          <w:szCs w:val="22"/>
        </w:rPr>
      </w:pPr>
      <w:r w:rsidRPr="002B571F">
        <w:rPr>
          <w:sz w:val="22"/>
          <w:szCs w:val="22"/>
        </w:rPr>
        <w:t>The species is not included in WPE5.</w:t>
      </w:r>
    </w:p>
    <w:p w:rsidR="00B0405D" w:rsidRPr="002B571F" w:rsidRDefault="00B0405D" w:rsidP="002B571F">
      <w:pPr>
        <w:jc w:val="both"/>
        <w:rPr>
          <w:sz w:val="22"/>
          <w:szCs w:val="22"/>
        </w:rPr>
      </w:pPr>
    </w:p>
    <w:p w:rsidR="00B0405D" w:rsidRPr="002B571F" w:rsidRDefault="00B0405D" w:rsidP="002B571F">
      <w:pPr>
        <w:jc w:val="both"/>
        <w:rPr>
          <w:sz w:val="22"/>
          <w:szCs w:val="22"/>
        </w:rPr>
      </w:pPr>
      <w:r w:rsidRPr="002B571F">
        <w:rPr>
          <w:sz w:val="22"/>
          <w:szCs w:val="22"/>
        </w:rPr>
        <w:t xml:space="preserve">There seems no basis to treat NW &amp; NE Atlantic </w:t>
      </w:r>
      <w:proofErr w:type="spellStart"/>
      <w:r w:rsidRPr="002B571F">
        <w:rPr>
          <w:i/>
          <w:sz w:val="22"/>
          <w:szCs w:val="22"/>
        </w:rPr>
        <w:t>aalge</w:t>
      </w:r>
      <w:proofErr w:type="spellEnd"/>
      <w:r w:rsidRPr="002B571F">
        <w:rPr>
          <w:sz w:val="22"/>
          <w:szCs w:val="22"/>
        </w:rPr>
        <w:t xml:space="preserve"> as comprising as single population as </w:t>
      </w:r>
      <w:r w:rsidRPr="002B571F">
        <w:rPr>
          <w:i/>
          <w:sz w:val="22"/>
          <w:szCs w:val="22"/>
        </w:rPr>
        <w:t xml:space="preserve">CSR5 </w:t>
      </w:r>
      <w:r w:rsidRPr="002B571F">
        <w:rPr>
          <w:sz w:val="22"/>
          <w:szCs w:val="22"/>
        </w:rPr>
        <w:t xml:space="preserve">does, given the lack of evidence on any trans-Atlantic movements (especially notable given the large number of ringed birds on both sides of the Atlantic).  </w:t>
      </w:r>
    </w:p>
    <w:p w:rsidR="00B70460" w:rsidRPr="00755F5A" w:rsidRDefault="00B70460" w:rsidP="00DC0EDD"/>
    <w:p w:rsidR="002B571F" w:rsidRDefault="002B571F" w:rsidP="00DC0EDD">
      <w:r>
        <w:br w:type="page"/>
      </w:r>
    </w:p>
    <w:p w:rsidR="00DC0EDD" w:rsidRPr="00755F5A" w:rsidRDefault="007D19F2" w:rsidP="00832ADE">
      <w:pPr>
        <w:pStyle w:val="Heading2"/>
        <w:spacing w:after="120"/>
        <w:rPr>
          <w:rFonts w:ascii="Times New Roman" w:hAnsi="Times New Roman"/>
          <w:sz w:val="24"/>
          <w:szCs w:val="24"/>
        </w:rPr>
      </w:pPr>
      <w:r w:rsidRPr="00755F5A">
        <w:rPr>
          <w:rFonts w:ascii="Times New Roman" w:hAnsi="Times New Roman"/>
          <w:sz w:val="24"/>
          <w:szCs w:val="24"/>
        </w:rPr>
        <w:lastRenderedPageBreak/>
        <w:t xml:space="preserve">Atlantic </w:t>
      </w:r>
      <w:proofErr w:type="gramStart"/>
      <w:r w:rsidR="00DC0EDD" w:rsidRPr="00755F5A">
        <w:rPr>
          <w:rFonts w:ascii="Times New Roman" w:hAnsi="Times New Roman"/>
          <w:sz w:val="24"/>
          <w:szCs w:val="24"/>
        </w:rPr>
        <w:t>Puffin</w:t>
      </w:r>
      <w:r w:rsidR="00035CCA" w:rsidRPr="00755F5A">
        <w:rPr>
          <w:rFonts w:ascii="Times New Roman" w:hAnsi="Times New Roman"/>
          <w:sz w:val="24"/>
          <w:szCs w:val="24"/>
        </w:rPr>
        <w:t xml:space="preserve">  </w:t>
      </w:r>
      <w:proofErr w:type="spellStart"/>
      <w:r w:rsidR="00035CCA" w:rsidRPr="00755F5A">
        <w:rPr>
          <w:rFonts w:ascii="Times New Roman" w:hAnsi="Times New Roman"/>
          <w:i/>
          <w:sz w:val="24"/>
          <w:szCs w:val="24"/>
        </w:rPr>
        <w:t>Fratercula</w:t>
      </w:r>
      <w:proofErr w:type="spellEnd"/>
      <w:proofErr w:type="gramEnd"/>
      <w:r w:rsidR="00035CCA" w:rsidRPr="00755F5A">
        <w:rPr>
          <w:rFonts w:ascii="Times New Roman" w:hAnsi="Times New Roman"/>
          <w:i/>
          <w:sz w:val="24"/>
          <w:szCs w:val="24"/>
        </w:rPr>
        <w:t xml:space="preserve"> </w:t>
      </w:r>
      <w:proofErr w:type="spellStart"/>
      <w:r w:rsidR="00035CCA" w:rsidRPr="00755F5A">
        <w:rPr>
          <w:rFonts w:ascii="Times New Roman" w:hAnsi="Times New Roman"/>
          <w:i/>
          <w:sz w:val="24"/>
          <w:szCs w:val="24"/>
        </w:rPr>
        <w:t>arctica</w:t>
      </w:r>
      <w:proofErr w:type="spellEnd"/>
    </w:p>
    <w:p w:rsidR="0048344E" w:rsidRPr="00755F5A" w:rsidRDefault="0048344E" w:rsidP="00DC0EDD"/>
    <w:p w:rsidR="0048344E" w:rsidRPr="00755F5A" w:rsidRDefault="0048344E" w:rsidP="0048344E">
      <w:pPr>
        <w:pBdr>
          <w:top w:val="single" w:sz="12" w:space="1" w:color="auto"/>
          <w:left w:val="single" w:sz="12" w:space="4" w:color="auto"/>
          <w:bottom w:val="single" w:sz="12" w:space="1" w:color="auto"/>
          <w:right w:val="single" w:sz="12" w:space="4" w:color="auto"/>
        </w:pBdr>
        <w:ind w:left="851"/>
        <w:rPr>
          <w:b/>
          <w:sz w:val="24"/>
          <w:szCs w:val="24"/>
        </w:rPr>
      </w:pPr>
      <w:r w:rsidRPr="00755F5A">
        <w:rPr>
          <w:b/>
          <w:sz w:val="24"/>
          <w:szCs w:val="24"/>
        </w:rPr>
        <w:t>ISSUE</w:t>
      </w:r>
    </w:p>
    <w:p w:rsidR="0048344E" w:rsidRPr="00755F5A" w:rsidRDefault="0048344E" w:rsidP="0048344E">
      <w:pPr>
        <w:pBdr>
          <w:top w:val="single" w:sz="12" w:space="1" w:color="auto"/>
          <w:left w:val="single" w:sz="12" w:space="4" w:color="auto"/>
          <w:bottom w:val="single" w:sz="12" w:space="1" w:color="auto"/>
          <w:right w:val="single" w:sz="12" w:space="4" w:color="auto"/>
        </w:pBdr>
        <w:ind w:left="851"/>
        <w:rPr>
          <w:sz w:val="24"/>
          <w:szCs w:val="24"/>
        </w:rPr>
      </w:pPr>
    </w:p>
    <w:p w:rsidR="0048344E" w:rsidRPr="00755F5A" w:rsidRDefault="0048344E" w:rsidP="0048344E">
      <w:pPr>
        <w:pBdr>
          <w:top w:val="single" w:sz="12" w:space="1" w:color="auto"/>
          <w:left w:val="single" w:sz="12" w:space="4" w:color="auto"/>
          <w:bottom w:val="single" w:sz="12" w:space="1" w:color="auto"/>
          <w:right w:val="single" w:sz="12" w:space="4" w:color="auto"/>
        </w:pBdr>
        <w:ind w:left="851"/>
        <w:rPr>
          <w:sz w:val="24"/>
          <w:szCs w:val="24"/>
        </w:rPr>
      </w:pPr>
      <w:r w:rsidRPr="00755F5A">
        <w:rPr>
          <w:sz w:val="24"/>
          <w:szCs w:val="24"/>
        </w:rPr>
        <w:t xml:space="preserve">The validity of </w:t>
      </w:r>
      <w:proofErr w:type="spellStart"/>
      <w:r w:rsidRPr="00755F5A">
        <w:rPr>
          <w:i/>
          <w:iCs/>
        </w:rPr>
        <w:t>Fratercula</w:t>
      </w:r>
      <w:proofErr w:type="spellEnd"/>
      <w:r w:rsidRPr="00755F5A">
        <w:rPr>
          <w:i/>
          <w:iCs/>
        </w:rPr>
        <w:t xml:space="preserve"> </w:t>
      </w:r>
      <w:proofErr w:type="spellStart"/>
      <w:r w:rsidRPr="00755F5A">
        <w:rPr>
          <w:i/>
          <w:iCs/>
        </w:rPr>
        <w:t>arctica</w:t>
      </w:r>
      <w:proofErr w:type="spellEnd"/>
      <w:r w:rsidRPr="00755F5A">
        <w:rPr>
          <w:i/>
          <w:iCs/>
        </w:rPr>
        <w:t xml:space="preserve"> </w:t>
      </w:r>
      <w:proofErr w:type="spellStart"/>
      <w:r w:rsidRPr="00755F5A">
        <w:rPr>
          <w:i/>
          <w:iCs/>
        </w:rPr>
        <w:t>grabae</w:t>
      </w:r>
      <w:proofErr w:type="spellEnd"/>
      <w:r w:rsidRPr="00755F5A">
        <w:rPr>
          <w:i/>
          <w:iCs/>
        </w:rPr>
        <w:t xml:space="preserve"> </w:t>
      </w:r>
      <w:r w:rsidRPr="00755F5A">
        <w:rPr>
          <w:iCs/>
        </w:rPr>
        <w:t xml:space="preserve">as a </w:t>
      </w:r>
      <w:proofErr w:type="spellStart"/>
      <w:r w:rsidRPr="00755F5A">
        <w:rPr>
          <w:iCs/>
        </w:rPr>
        <w:t>taxon</w:t>
      </w:r>
      <w:proofErr w:type="spellEnd"/>
      <w:r w:rsidRPr="00755F5A">
        <w:rPr>
          <w:iCs/>
        </w:rPr>
        <w:t>.</w:t>
      </w:r>
    </w:p>
    <w:p w:rsidR="0048344E" w:rsidRPr="00755F5A" w:rsidRDefault="0048344E" w:rsidP="0048344E">
      <w:pPr>
        <w:pBdr>
          <w:top w:val="single" w:sz="12" w:space="1" w:color="auto"/>
          <w:left w:val="single" w:sz="12" w:space="4" w:color="auto"/>
          <w:bottom w:val="single" w:sz="12" w:space="1" w:color="auto"/>
          <w:right w:val="single" w:sz="12" w:space="4" w:color="auto"/>
        </w:pBdr>
        <w:ind w:left="851"/>
        <w:rPr>
          <w:sz w:val="24"/>
          <w:szCs w:val="24"/>
        </w:rPr>
      </w:pPr>
    </w:p>
    <w:p w:rsidR="0048344E" w:rsidRPr="00755F5A" w:rsidRDefault="0048344E" w:rsidP="00DC0EDD"/>
    <w:p w:rsidR="0048344E" w:rsidRPr="00755F5A" w:rsidRDefault="0048344E" w:rsidP="00DC0EDD"/>
    <w:p w:rsidR="0042566D" w:rsidRDefault="00035CCA" w:rsidP="002B571F">
      <w:pPr>
        <w:autoSpaceDE w:val="0"/>
        <w:autoSpaceDN w:val="0"/>
        <w:jc w:val="both"/>
        <w:rPr>
          <w:sz w:val="22"/>
          <w:szCs w:val="22"/>
        </w:rPr>
      </w:pPr>
      <w:r w:rsidRPr="002B571F">
        <w:rPr>
          <w:sz w:val="22"/>
          <w:szCs w:val="22"/>
        </w:rPr>
        <w:t xml:space="preserve">Stroud </w:t>
      </w:r>
      <w:r w:rsidRPr="002B571F">
        <w:rPr>
          <w:i/>
          <w:sz w:val="22"/>
          <w:szCs w:val="22"/>
        </w:rPr>
        <w:t>et al.</w:t>
      </w:r>
      <w:r w:rsidRPr="002B571F">
        <w:rPr>
          <w:sz w:val="22"/>
          <w:szCs w:val="22"/>
        </w:rPr>
        <w:t xml:space="preserve"> (2001)</w:t>
      </w:r>
      <w:r w:rsidR="00DC0EDD" w:rsidRPr="002B571F">
        <w:rPr>
          <w:sz w:val="22"/>
          <w:szCs w:val="22"/>
        </w:rPr>
        <w:t xml:space="preserve"> used the total population of </w:t>
      </w:r>
      <w:proofErr w:type="spellStart"/>
      <w:r w:rsidR="00DC0EDD" w:rsidRPr="002B571F">
        <w:rPr>
          <w:i/>
          <w:iCs/>
          <w:sz w:val="22"/>
          <w:szCs w:val="22"/>
        </w:rPr>
        <w:t>Fratercula</w:t>
      </w:r>
      <w:proofErr w:type="spellEnd"/>
      <w:r w:rsidR="00DC0EDD" w:rsidRPr="002B571F">
        <w:rPr>
          <w:i/>
          <w:iCs/>
          <w:sz w:val="22"/>
          <w:szCs w:val="22"/>
        </w:rPr>
        <w:t xml:space="preserve"> </w:t>
      </w:r>
      <w:proofErr w:type="spellStart"/>
      <w:r w:rsidR="00DC0EDD" w:rsidRPr="002B571F">
        <w:rPr>
          <w:i/>
          <w:iCs/>
          <w:sz w:val="22"/>
          <w:szCs w:val="22"/>
        </w:rPr>
        <w:t>arctica</w:t>
      </w:r>
      <w:proofErr w:type="spellEnd"/>
      <w:r w:rsidR="00DC0EDD" w:rsidRPr="002B571F">
        <w:rPr>
          <w:i/>
          <w:iCs/>
          <w:sz w:val="22"/>
          <w:szCs w:val="22"/>
        </w:rPr>
        <w:t xml:space="preserve"> </w:t>
      </w:r>
      <w:proofErr w:type="spellStart"/>
      <w:r w:rsidR="00DC0EDD" w:rsidRPr="002B571F">
        <w:rPr>
          <w:i/>
          <w:iCs/>
          <w:sz w:val="22"/>
          <w:szCs w:val="22"/>
        </w:rPr>
        <w:t>grabae</w:t>
      </w:r>
      <w:proofErr w:type="spellEnd"/>
      <w:r w:rsidR="00DC0EDD" w:rsidRPr="002B571F">
        <w:rPr>
          <w:sz w:val="22"/>
          <w:szCs w:val="22"/>
        </w:rPr>
        <w:t xml:space="preserve"> as the r</w:t>
      </w:r>
      <w:r w:rsidR="00A22566" w:rsidRPr="002B571F">
        <w:rPr>
          <w:sz w:val="22"/>
          <w:szCs w:val="22"/>
        </w:rPr>
        <w:t xml:space="preserve">eference population </w:t>
      </w:r>
      <w:r w:rsidR="0048344E" w:rsidRPr="002B571F">
        <w:rPr>
          <w:sz w:val="22"/>
          <w:szCs w:val="22"/>
        </w:rPr>
        <w:t xml:space="preserve">for the UK SPA network </w:t>
      </w:r>
      <w:r w:rsidR="00A22566" w:rsidRPr="002B571F">
        <w:rPr>
          <w:sz w:val="22"/>
          <w:szCs w:val="22"/>
        </w:rPr>
        <w:t xml:space="preserve">for Puffin. </w:t>
      </w:r>
      <w:r w:rsidR="00DC0EDD" w:rsidRPr="002B571F">
        <w:rPr>
          <w:sz w:val="22"/>
          <w:szCs w:val="22"/>
        </w:rPr>
        <w:t xml:space="preserve"> This was derived from breeding populations of UK, Ireland</w:t>
      </w:r>
      <w:r w:rsidR="00A22566" w:rsidRPr="002B571F">
        <w:rPr>
          <w:sz w:val="22"/>
          <w:szCs w:val="22"/>
        </w:rPr>
        <w:t>, Faeroes, France and S</w:t>
      </w:r>
      <w:r w:rsidR="0048344E" w:rsidRPr="002B571F">
        <w:rPr>
          <w:sz w:val="22"/>
          <w:szCs w:val="22"/>
        </w:rPr>
        <w:t>.</w:t>
      </w:r>
      <w:r w:rsidR="00A22566" w:rsidRPr="002B571F">
        <w:rPr>
          <w:sz w:val="22"/>
          <w:szCs w:val="22"/>
        </w:rPr>
        <w:t xml:space="preserve"> Norway. </w:t>
      </w:r>
      <w:r w:rsidR="00DC0EDD" w:rsidRPr="002B571F">
        <w:rPr>
          <w:sz w:val="22"/>
          <w:szCs w:val="22"/>
        </w:rPr>
        <w:t xml:space="preserve"> However, </w:t>
      </w:r>
      <w:r w:rsidR="00A22566" w:rsidRPr="002B571F">
        <w:rPr>
          <w:sz w:val="22"/>
          <w:szCs w:val="22"/>
        </w:rPr>
        <w:t xml:space="preserve">Harris &amp; </w:t>
      </w:r>
      <w:proofErr w:type="spellStart"/>
      <w:r w:rsidR="00A22566" w:rsidRPr="002B571F">
        <w:rPr>
          <w:sz w:val="22"/>
          <w:szCs w:val="22"/>
        </w:rPr>
        <w:t>Wanless</w:t>
      </w:r>
      <w:proofErr w:type="spellEnd"/>
      <w:r w:rsidR="00DC0EDD" w:rsidRPr="002B571F">
        <w:rPr>
          <w:sz w:val="22"/>
          <w:szCs w:val="22"/>
        </w:rPr>
        <w:t xml:space="preserve"> (2004) </w:t>
      </w:r>
      <w:r w:rsidR="00A4132C" w:rsidRPr="002B571F">
        <w:rPr>
          <w:sz w:val="22"/>
          <w:szCs w:val="22"/>
        </w:rPr>
        <w:t xml:space="preserve">noted: </w:t>
      </w:r>
    </w:p>
    <w:p w:rsidR="00A4132C" w:rsidRPr="0042566D" w:rsidRDefault="00A4132C" w:rsidP="002B571F">
      <w:pPr>
        <w:autoSpaceDE w:val="0"/>
        <w:autoSpaceDN w:val="0"/>
        <w:jc w:val="both"/>
        <w:rPr>
          <w:i/>
          <w:sz w:val="22"/>
          <w:szCs w:val="22"/>
        </w:rPr>
      </w:pPr>
    </w:p>
    <w:p w:rsidR="00A4132C" w:rsidRPr="0042566D" w:rsidRDefault="00A4132C" w:rsidP="002B571F">
      <w:pPr>
        <w:autoSpaceDE w:val="0"/>
        <w:autoSpaceDN w:val="0"/>
        <w:ind w:left="567"/>
        <w:jc w:val="both"/>
        <w:rPr>
          <w:i/>
          <w:sz w:val="22"/>
          <w:szCs w:val="22"/>
        </w:rPr>
      </w:pPr>
      <w:r w:rsidRPr="0042566D">
        <w:rPr>
          <w:i/>
          <w:sz w:val="22"/>
          <w:szCs w:val="22"/>
        </w:rPr>
        <w:t xml:space="preserve">“In recent times, the Atlantic Puffin has usually been considered to comprise three subspecies, separated solely on size, although probably only two deserve recognition. </w:t>
      </w:r>
      <w:r w:rsidR="0001735C" w:rsidRPr="0042566D">
        <w:rPr>
          <w:i/>
          <w:sz w:val="22"/>
          <w:szCs w:val="22"/>
        </w:rPr>
        <w:t xml:space="preserve"> </w:t>
      </w:r>
      <w:r w:rsidRPr="0042566D">
        <w:rPr>
          <w:i/>
          <w:sz w:val="22"/>
          <w:szCs w:val="22"/>
        </w:rPr>
        <w:t xml:space="preserve">Nominate </w:t>
      </w:r>
      <w:r w:rsidRPr="0042566D">
        <w:rPr>
          <w:i/>
          <w:iCs/>
          <w:sz w:val="22"/>
          <w:szCs w:val="22"/>
        </w:rPr>
        <w:t xml:space="preserve">F .a. </w:t>
      </w:r>
      <w:proofErr w:type="spellStart"/>
      <w:r w:rsidRPr="0042566D">
        <w:rPr>
          <w:i/>
          <w:iCs/>
          <w:sz w:val="22"/>
          <w:szCs w:val="22"/>
        </w:rPr>
        <w:t>arctica</w:t>
      </w:r>
      <w:proofErr w:type="spellEnd"/>
      <w:r w:rsidRPr="0042566D">
        <w:rPr>
          <w:i/>
          <w:iCs/>
          <w:sz w:val="22"/>
          <w:szCs w:val="22"/>
        </w:rPr>
        <w:t xml:space="preserve"> </w:t>
      </w:r>
      <w:r w:rsidRPr="0042566D">
        <w:rPr>
          <w:i/>
          <w:sz w:val="22"/>
          <w:szCs w:val="22"/>
        </w:rPr>
        <w:t xml:space="preserve">breeds in Iceland, most of Norway and Russia, and the </w:t>
      </w:r>
      <w:proofErr w:type="gramStart"/>
      <w:r w:rsidRPr="0042566D">
        <w:rPr>
          <w:i/>
          <w:sz w:val="22"/>
          <w:szCs w:val="22"/>
        </w:rPr>
        <w:t>west</w:t>
      </w:r>
      <w:proofErr w:type="gramEnd"/>
      <w:r w:rsidRPr="0042566D">
        <w:rPr>
          <w:i/>
          <w:sz w:val="22"/>
          <w:szCs w:val="22"/>
        </w:rPr>
        <w:t xml:space="preserve"> Atlantic.  Atlantic Puffins breeding in Britain, Ireland, France, the Faeroes and southwest Norway tend to be smaller, and were assigned the name </w:t>
      </w:r>
      <w:proofErr w:type="spellStart"/>
      <w:r w:rsidRPr="0042566D">
        <w:rPr>
          <w:i/>
          <w:iCs/>
          <w:sz w:val="22"/>
          <w:szCs w:val="22"/>
        </w:rPr>
        <w:t>grabae</w:t>
      </w:r>
      <w:proofErr w:type="spellEnd"/>
      <w:r w:rsidRPr="0042566D">
        <w:rPr>
          <w:i/>
          <w:sz w:val="22"/>
          <w:szCs w:val="22"/>
        </w:rPr>
        <w:t xml:space="preserve">.  However, within Europe there is a continuous latitudinal cline in wing length, with large birds in the north and small birds in the south, and no obvious discontinuity that makes it easy to assign geographical limits to </w:t>
      </w:r>
      <w:proofErr w:type="spellStart"/>
      <w:r w:rsidRPr="0042566D">
        <w:rPr>
          <w:i/>
          <w:iCs/>
          <w:sz w:val="22"/>
          <w:szCs w:val="22"/>
        </w:rPr>
        <w:t>grabae</w:t>
      </w:r>
      <w:proofErr w:type="spellEnd"/>
      <w:r w:rsidRPr="0042566D">
        <w:rPr>
          <w:i/>
          <w:iCs/>
          <w:sz w:val="22"/>
          <w:szCs w:val="22"/>
        </w:rPr>
        <w:t xml:space="preserve"> </w:t>
      </w:r>
      <w:r w:rsidRPr="0042566D">
        <w:rPr>
          <w:i/>
          <w:sz w:val="22"/>
          <w:szCs w:val="22"/>
        </w:rPr>
        <w:t xml:space="preserve">and </w:t>
      </w:r>
      <w:proofErr w:type="spellStart"/>
      <w:r w:rsidRPr="0042566D">
        <w:rPr>
          <w:i/>
          <w:iCs/>
          <w:sz w:val="22"/>
          <w:szCs w:val="22"/>
        </w:rPr>
        <w:t>arctica</w:t>
      </w:r>
      <w:proofErr w:type="spellEnd"/>
      <w:r w:rsidRPr="0042566D">
        <w:rPr>
          <w:i/>
          <w:sz w:val="22"/>
          <w:szCs w:val="22"/>
        </w:rPr>
        <w:t xml:space="preserve">.  Protein evidence also suggests that there is no justification for separating </w:t>
      </w:r>
      <w:proofErr w:type="spellStart"/>
      <w:r w:rsidRPr="0042566D">
        <w:rPr>
          <w:i/>
          <w:iCs/>
          <w:sz w:val="22"/>
          <w:szCs w:val="22"/>
        </w:rPr>
        <w:t>grabae</w:t>
      </w:r>
      <w:proofErr w:type="spellEnd"/>
      <w:r w:rsidRPr="0042566D">
        <w:rPr>
          <w:i/>
          <w:iCs/>
          <w:sz w:val="22"/>
          <w:szCs w:val="22"/>
        </w:rPr>
        <w:t xml:space="preserve"> </w:t>
      </w:r>
      <w:r w:rsidRPr="0042566D">
        <w:rPr>
          <w:i/>
          <w:sz w:val="22"/>
          <w:szCs w:val="22"/>
        </w:rPr>
        <w:t xml:space="preserve">in the southeast Atlantic colonies from </w:t>
      </w:r>
      <w:proofErr w:type="spellStart"/>
      <w:r w:rsidRPr="0042566D">
        <w:rPr>
          <w:i/>
          <w:iCs/>
          <w:sz w:val="22"/>
          <w:szCs w:val="22"/>
        </w:rPr>
        <w:t>arctica</w:t>
      </w:r>
      <w:proofErr w:type="spellEnd"/>
      <w:r w:rsidRPr="0042566D">
        <w:rPr>
          <w:i/>
          <w:iCs/>
          <w:sz w:val="22"/>
          <w:szCs w:val="22"/>
        </w:rPr>
        <w:t xml:space="preserve"> </w:t>
      </w:r>
      <w:r w:rsidRPr="0042566D">
        <w:rPr>
          <w:i/>
          <w:sz w:val="22"/>
          <w:szCs w:val="22"/>
        </w:rPr>
        <w:t xml:space="preserve">in the north, and thus the name </w:t>
      </w:r>
      <w:proofErr w:type="spellStart"/>
      <w:r w:rsidRPr="0042566D">
        <w:rPr>
          <w:i/>
          <w:iCs/>
          <w:sz w:val="22"/>
          <w:szCs w:val="22"/>
        </w:rPr>
        <w:t>grabae</w:t>
      </w:r>
      <w:proofErr w:type="spellEnd"/>
      <w:r w:rsidRPr="0042566D">
        <w:rPr>
          <w:i/>
          <w:iCs/>
          <w:sz w:val="22"/>
          <w:szCs w:val="22"/>
        </w:rPr>
        <w:t xml:space="preserve"> </w:t>
      </w:r>
      <w:r w:rsidRPr="0042566D">
        <w:rPr>
          <w:i/>
          <w:sz w:val="22"/>
          <w:szCs w:val="22"/>
        </w:rPr>
        <w:t xml:space="preserve">is best discarded (Moen, 1991; Lowther </w:t>
      </w:r>
      <w:r w:rsidRPr="0042566D">
        <w:rPr>
          <w:i/>
          <w:iCs/>
          <w:sz w:val="22"/>
          <w:szCs w:val="22"/>
        </w:rPr>
        <w:t>et al</w:t>
      </w:r>
      <w:r w:rsidRPr="0042566D">
        <w:rPr>
          <w:i/>
          <w:sz w:val="22"/>
          <w:szCs w:val="22"/>
        </w:rPr>
        <w:t>., 2002).”</w:t>
      </w:r>
    </w:p>
    <w:p w:rsidR="0042566D" w:rsidRPr="002B571F" w:rsidRDefault="0042566D" w:rsidP="002B571F">
      <w:pPr>
        <w:autoSpaceDE w:val="0"/>
        <w:autoSpaceDN w:val="0"/>
        <w:ind w:left="567"/>
        <w:jc w:val="both"/>
        <w:rPr>
          <w:sz w:val="22"/>
          <w:szCs w:val="22"/>
        </w:rPr>
      </w:pPr>
    </w:p>
    <w:p w:rsidR="00A4132C" w:rsidRPr="002B571F" w:rsidRDefault="00A4132C" w:rsidP="002B571F">
      <w:pPr>
        <w:jc w:val="both"/>
        <w:rPr>
          <w:sz w:val="22"/>
          <w:szCs w:val="22"/>
        </w:rPr>
      </w:pPr>
      <w:r w:rsidRPr="002B571F">
        <w:rPr>
          <w:sz w:val="22"/>
          <w:szCs w:val="22"/>
        </w:rPr>
        <w:t xml:space="preserve">Accordingly Harris &amp; </w:t>
      </w:r>
      <w:proofErr w:type="spellStart"/>
      <w:r w:rsidRPr="002B571F">
        <w:rPr>
          <w:sz w:val="22"/>
          <w:szCs w:val="22"/>
        </w:rPr>
        <w:t>Wanless</w:t>
      </w:r>
      <w:proofErr w:type="spellEnd"/>
      <w:r w:rsidRPr="002B571F">
        <w:rPr>
          <w:sz w:val="22"/>
          <w:szCs w:val="22"/>
        </w:rPr>
        <w:t xml:space="preserve"> (2004) concluded that “</w:t>
      </w:r>
      <w:proofErr w:type="spellStart"/>
      <w:r w:rsidRPr="002B571F">
        <w:rPr>
          <w:i/>
          <w:sz w:val="22"/>
          <w:szCs w:val="22"/>
        </w:rPr>
        <w:t>grabae</w:t>
      </w:r>
      <w:proofErr w:type="spellEnd"/>
      <w:r w:rsidRPr="002B571F">
        <w:rPr>
          <w:i/>
          <w:sz w:val="22"/>
          <w:szCs w:val="22"/>
        </w:rPr>
        <w:t xml:space="preserve"> </w:t>
      </w:r>
      <w:r w:rsidRPr="002B571F">
        <w:rPr>
          <w:sz w:val="22"/>
          <w:szCs w:val="22"/>
        </w:rPr>
        <w:t xml:space="preserve">… is now considered to be indistinct from </w:t>
      </w:r>
      <w:proofErr w:type="spellStart"/>
      <w:r w:rsidRPr="002B571F">
        <w:rPr>
          <w:i/>
          <w:sz w:val="22"/>
          <w:szCs w:val="22"/>
        </w:rPr>
        <w:t>arctica</w:t>
      </w:r>
      <w:proofErr w:type="spellEnd"/>
      <w:r w:rsidRPr="002B571F">
        <w:rPr>
          <w:i/>
          <w:sz w:val="22"/>
          <w:szCs w:val="22"/>
        </w:rPr>
        <w:t xml:space="preserve"> </w:t>
      </w:r>
      <w:r w:rsidRPr="002B571F">
        <w:rPr>
          <w:sz w:val="22"/>
          <w:szCs w:val="22"/>
        </w:rPr>
        <w:t xml:space="preserve">… and so [we have] treated those national estimates previously assigned to </w:t>
      </w:r>
      <w:proofErr w:type="spellStart"/>
      <w:r w:rsidRPr="002B571F">
        <w:rPr>
          <w:i/>
          <w:sz w:val="22"/>
          <w:szCs w:val="22"/>
        </w:rPr>
        <w:t>grabae</w:t>
      </w:r>
      <w:proofErr w:type="spellEnd"/>
      <w:r w:rsidRPr="002B571F">
        <w:rPr>
          <w:i/>
          <w:sz w:val="22"/>
          <w:szCs w:val="22"/>
        </w:rPr>
        <w:t xml:space="preserve"> </w:t>
      </w:r>
      <w:r w:rsidRPr="002B571F">
        <w:rPr>
          <w:sz w:val="22"/>
          <w:szCs w:val="22"/>
        </w:rPr>
        <w:t xml:space="preserve">as </w:t>
      </w:r>
      <w:proofErr w:type="spellStart"/>
      <w:r w:rsidRPr="002B571F">
        <w:rPr>
          <w:i/>
          <w:sz w:val="22"/>
          <w:szCs w:val="22"/>
        </w:rPr>
        <w:t>arctica</w:t>
      </w:r>
      <w:proofErr w:type="spellEnd"/>
      <w:r w:rsidRPr="002B571F">
        <w:rPr>
          <w:sz w:val="22"/>
          <w:szCs w:val="22"/>
        </w:rPr>
        <w:t>.”</w:t>
      </w:r>
    </w:p>
    <w:p w:rsidR="00DC0EDD" w:rsidRPr="002B571F" w:rsidRDefault="00DC0EDD" w:rsidP="002B571F">
      <w:pPr>
        <w:jc w:val="both"/>
        <w:rPr>
          <w:sz w:val="22"/>
          <w:szCs w:val="22"/>
        </w:rPr>
      </w:pPr>
    </w:p>
    <w:p w:rsidR="00DC0EDD" w:rsidRPr="002B571F" w:rsidRDefault="00DC0EDD" w:rsidP="002B571F">
      <w:pPr>
        <w:jc w:val="both"/>
        <w:rPr>
          <w:sz w:val="22"/>
          <w:szCs w:val="22"/>
        </w:rPr>
      </w:pPr>
      <w:r w:rsidRPr="002B571F">
        <w:rPr>
          <w:sz w:val="22"/>
          <w:szCs w:val="22"/>
        </w:rPr>
        <w:t xml:space="preserve">Accordingly, </w:t>
      </w:r>
      <w:r w:rsidR="0048344E" w:rsidRPr="002B571F">
        <w:rPr>
          <w:sz w:val="22"/>
          <w:szCs w:val="22"/>
        </w:rPr>
        <w:t xml:space="preserve">Stroud </w:t>
      </w:r>
      <w:r w:rsidR="0048344E" w:rsidRPr="002B571F">
        <w:rPr>
          <w:i/>
          <w:sz w:val="22"/>
          <w:szCs w:val="22"/>
        </w:rPr>
        <w:t>et al.</w:t>
      </w:r>
      <w:r w:rsidR="0048344E" w:rsidRPr="002B571F">
        <w:rPr>
          <w:sz w:val="22"/>
          <w:szCs w:val="22"/>
        </w:rPr>
        <w:t xml:space="preserve"> (2016)</w:t>
      </w:r>
      <w:r w:rsidRPr="002B571F">
        <w:rPr>
          <w:sz w:val="22"/>
          <w:szCs w:val="22"/>
        </w:rPr>
        <w:t xml:space="preserve"> has used an estimate for NE Atlantic </w:t>
      </w:r>
      <w:proofErr w:type="spellStart"/>
      <w:r w:rsidRPr="002B571F">
        <w:rPr>
          <w:i/>
          <w:iCs/>
          <w:sz w:val="22"/>
          <w:szCs w:val="22"/>
        </w:rPr>
        <w:t>arctica</w:t>
      </w:r>
      <w:proofErr w:type="spellEnd"/>
      <w:r w:rsidRPr="002B571F">
        <w:rPr>
          <w:sz w:val="22"/>
          <w:szCs w:val="22"/>
        </w:rPr>
        <w:t xml:space="preserve"> - derived as for former </w:t>
      </w:r>
      <w:proofErr w:type="spellStart"/>
      <w:r w:rsidRPr="002B571F">
        <w:rPr>
          <w:i/>
          <w:iCs/>
          <w:sz w:val="22"/>
          <w:szCs w:val="22"/>
        </w:rPr>
        <w:t>grabae</w:t>
      </w:r>
      <w:proofErr w:type="spellEnd"/>
      <w:r w:rsidRPr="002B571F">
        <w:rPr>
          <w:sz w:val="22"/>
          <w:szCs w:val="22"/>
        </w:rPr>
        <w:t xml:space="preserve"> but with the addition of arctic breeding birds in N Norway, Iceland and R</w:t>
      </w:r>
      <w:r w:rsidR="00A22566" w:rsidRPr="002B571F">
        <w:rPr>
          <w:sz w:val="22"/>
          <w:szCs w:val="22"/>
        </w:rPr>
        <w:t>ussia (</w:t>
      </w:r>
      <w:r w:rsidR="00111256" w:rsidRPr="002B571F">
        <w:rPr>
          <w:sz w:val="22"/>
          <w:szCs w:val="22"/>
        </w:rPr>
        <w:t xml:space="preserve">Table </w:t>
      </w:r>
      <w:r w:rsidR="00ED6959" w:rsidRPr="002B571F">
        <w:rPr>
          <w:sz w:val="22"/>
          <w:szCs w:val="22"/>
        </w:rPr>
        <w:t>2</w:t>
      </w:r>
      <w:r w:rsidR="00A22566" w:rsidRPr="002B571F">
        <w:rPr>
          <w:sz w:val="22"/>
          <w:szCs w:val="22"/>
        </w:rPr>
        <w:t>)</w:t>
      </w:r>
      <w:r w:rsidR="00ED6959" w:rsidRPr="002B571F">
        <w:rPr>
          <w:sz w:val="22"/>
          <w:szCs w:val="22"/>
        </w:rPr>
        <w:t xml:space="preserve"> </w:t>
      </w:r>
      <w:r w:rsidR="00ED6959" w:rsidRPr="002B571F">
        <w:rPr>
          <w:i/>
          <w:sz w:val="22"/>
          <w:szCs w:val="22"/>
        </w:rPr>
        <w:t>i.e.</w:t>
      </w:r>
      <w:r w:rsidR="00ED6959" w:rsidRPr="002B571F">
        <w:rPr>
          <w:sz w:val="22"/>
          <w:szCs w:val="22"/>
        </w:rPr>
        <w:t xml:space="preserve"> </w:t>
      </w:r>
      <w:r w:rsidR="00ED6959" w:rsidRPr="002B571F">
        <w:rPr>
          <w:i/>
          <w:sz w:val="22"/>
          <w:szCs w:val="22"/>
        </w:rPr>
        <w:t xml:space="preserve">F. a. </w:t>
      </w:r>
      <w:proofErr w:type="spellStart"/>
      <w:r w:rsidR="00ED6959" w:rsidRPr="002B571F">
        <w:rPr>
          <w:i/>
          <w:sz w:val="22"/>
          <w:szCs w:val="22"/>
        </w:rPr>
        <w:t>arctica</w:t>
      </w:r>
      <w:proofErr w:type="spellEnd"/>
      <w:r w:rsidR="00ED6959" w:rsidRPr="002B571F">
        <w:rPr>
          <w:sz w:val="22"/>
          <w:szCs w:val="22"/>
        </w:rPr>
        <w:t xml:space="preserve"> </w:t>
      </w:r>
      <w:proofErr w:type="spellStart"/>
      <w:r w:rsidR="00ED6959" w:rsidRPr="002B571F">
        <w:rPr>
          <w:i/>
          <w:sz w:val="22"/>
          <w:szCs w:val="22"/>
        </w:rPr>
        <w:t>sensu</w:t>
      </w:r>
      <w:proofErr w:type="spellEnd"/>
      <w:r w:rsidR="00ED6959" w:rsidRPr="002B571F">
        <w:rPr>
          <w:i/>
          <w:sz w:val="22"/>
          <w:szCs w:val="22"/>
        </w:rPr>
        <w:t xml:space="preserve"> lat</w:t>
      </w:r>
      <w:r w:rsidR="00A22566" w:rsidRPr="002B571F">
        <w:rPr>
          <w:sz w:val="22"/>
          <w:szCs w:val="22"/>
        </w:rPr>
        <w:t xml:space="preserve">. </w:t>
      </w:r>
      <w:r w:rsidRPr="002B571F">
        <w:rPr>
          <w:sz w:val="22"/>
          <w:szCs w:val="22"/>
        </w:rPr>
        <w:t xml:space="preserve"> </w:t>
      </w:r>
    </w:p>
    <w:p w:rsidR="00446A41" w:rsidRPr="002B571F" w:rsidRDefault="00446A41" w:rsidP="002B571F">
      <w:pPr>
        <w:jc w:val="both"/>
        <w:rPr>
          <w:sz w:val="22"/>
          <w:szCs w:val="22"/>
        </w:rPr>
      </w:pPr>
    </w:p>
    <w:p w:rsidR="00257DC0" w:rsidRPr="00755F5A" w:rsidRDefault="00111256" w:rsidP="00257DC0">
      <w:pPr>
        <w:keepNext/>
        <w:spacing w:after="120"/>
      </w:pPr>
      <w:r w:rsidRPr="002B571F">
        <w:rPr>
          <w:sz w:val="22"/>
          <w:szCs w:val="22"/>
        </w:rPr>
        <w:t xml:space="preserve">Table </w:t>
      </w:r>
      <w:r w:rsidR="0048344E" w:rsidRPr="002B571F">
        <w:rPr>
          <w:sz w:val="22"/>
          <w:szCs w:val="22"/>
        </w:rPr>
        <w:t>2</w:t>
      </w:r>
      <w:r w:rsidR="00257DC0" w:rsidRPr="002B571F">
        <w:rPr>
          <w:sz w:val="22"/>
          <w:szCs w:val="22"/>
        </w:rPr>
        <w:t xml:space="preserve">.  Derivation of population estimate for </w:t>
      </w:r>
      <w:proofErr w:type="spellStart"/>
      <w:r w:rsidR="00257DC0" w:rsidRPr="002B571F">
        <w:rPr>
          <w:i/>
          <w:sz w:val="22"/>
          <w:szCs w:val="22"/>
        </w:rPr>
        <w:t>arctica</w:t>
      </w:r>
      <w:proofErr w:type="spellEnd"/>
      <w:r w:rsidR="00257DC0" w:rsidRPr="002B571F">
        <w:rPr>
          <w:sz w:val="22"/>
          <w:szCs w:val="22"/>
        </w:rPr>
        <w:t xml:space="preserve"> Puffin </w:t>
      </w:r>
      <w:proofErr w:type="spellStart"/>
      <w:r w:rsidR="00257DC0" w:rsidRPr="002B571F">
        <w:rPr>
          <w:i/>
          <w:sz w:val="22"/>
          <w:szCs w:val="22"/>
        </w:rPr>
        <w:t>sensu</w:t>
      </w:r>
      <w:proofErr w:type="spellEnd"/>
      <w:r w:rsidR="00257DC0" w:rsidRPr="002B571F">
        <w:rPr>
          <w:i/>
          <w:sz w:val="22"/>
          <w:szCs w:val="22"/>
        </w:rPr>
        <w:t xml:space="preserve"> </w:t>
      </w:r>
      <w:proofErr w:type="spellStart"/>
      <w:r w:rsidR="00257DC0" w:rsidRPr="002B571F">
        <w:rPr>
          <w:i/>
          <w:sz w:val="22"/>
          <w:szCs w:val="22"/>
        </w:rPr>
        <w:t>lat</w:t>
      </w:r>
      <w:proofErr w:type="spellEnd"/>
      <w:r w:rsidR="004F2474" w:rsidRPr="002B571F">
        <w:rPr>
          <w:i/>
          <w:sz w:val="22"/>
          <w:szCs w:val="22"/>
        </w:rPr>
        <w:t xml:space="preserve"> </w:t>
      </w:r>
      <w:r w:rsidR="004F2474" w:rsidRPr="002B571F">
        <w:rPr>
          <w:sz w:val="22"/>
          <w:szCs w:val="22"/>
        </w:rPr>
        <w:t>as given by</w:t>
      </w:r>
      <w:r w:rsidR="00257DC0" w:rsidRPr="002B571F">
        <w:rPr>
          <w:sz w:val="22"/>
          <w:szCs w:val="22"/>
        </w:rPr>
        <w:t xml:space="preserve"> Harris &amp; </w:t>
      </w:r>
      <w:proofErr w:type="spellStart"/>
      <w:r w:rsidR="00257DC0" w:rsidRPr="002B571F">
        <w:rPr>
          <w:sz w:val="22"/>
          <w:szCs w:val="22"/>
        </w:rPr>
        <w:t>Wanless</w:t>
      </w:r>
      <w:proofErr w:type="spellEnd"/>
      <w:r w:rsidR="00257DC0" w:rsidRPr="002B571F">
        <w:rPr>
          <w:sz w:val="22"/>
          <w:szCs w:val="22"/>
        </w:rPr>
        <w:t xml:space="preserve"> (2004</w:t>
      </w:r>
      <w:r w:rsidR="00257DC0" w:rsidRPr="00755F5A">
        <w:t>).</w:t>
      </w:r>
    </w:p>
    <w:tbl>
      <w:tblPr>
        <w:tblW w:w="7244" w:type="dxa"/>
        <w:tblInd w:w="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0"/>
        <w:gridCol w:w="2116"/>
        <w:gridCol w:w="1275"/>
        <w:gridCol w:w="993"/>
      </w:tblGrid>
      <w:tr w:rsidR="00257DC0" w:rsidRPr="002B571F" w:rsidTr="002B571F">
        <w:trPr>
          <w:trHeight w:val="304"/>
        </w:trPr>
        <w:tc>
          <w:tcPr>
            <w:tcW w:w="2860" w:type="dxa"/>
            <w:shd w:val="clear" w:color="auto" w:fill="auto"/>
            <w:hideMark/>
          </w:tcPr>
          <w:p w:rsidR="00257DC0" w:rsidRPr="002B571F" w:rsidRDefault="00257DC0" w:rsidP="00257DC0">
            <w:pPr>
              <w:rPr>
                <w:b/>
                <w:bCs/>
                <w:color w:val="000000" w:themeColor="text1"/>
                <w:sz w:val="22"/>
                <w:szCs w:val="22"/>
              </w:rPr>
            </w:pPr>
          </w:p>
        </w:tc>
        <w:tc>
          <w:tcPr>
            <w:tcW w:w="2116" w:type="dxa"/>
            <w:shd w:val="clear" w:color="auto" w:fill="auto"/>
            <w:hideMark/>
          </w:tcPr>
          <w:p w:rsidR="00257DC0" w:rsidRPr="002B571F" w:rsidRDefault="00257DC0" w:rsidP="00257DC0">
            <w:pPr>
              <w:jc w:val="right"/>
              <w:rPr>
                <w:b/>
                <w:bCs/>
                <w:color w:val="000000" w:themeColor="text1"/>
                <w:sz w:val="22"/>
                <w:szCs w:val="22"/>
              </w:rPr>
            </w:pPr>
            <w:r w:rsidRPr="002B571F">
              <w:rPr>
                <w:b/>
                <w:bCs/>
                <w:color w:val="000000" w:themeColor="text1"/>
                <w:sz w:val="22"/>
                <w:szCs w:val="22"/>
              </w:rPr>
              <w:t>pairs min</w:t>
            </w:r>
          </w:p>
        </w:tc>
        <w:tc>
          <w:tcPr>
            <w:tcW w:w="1275" w:type="dxa"/>
            <w:shd w:val="clear" w:color="auto" w:fill="auto"/>
            <w:hideMark/>
          </w:tcPr>
          <w:p w:rsidR="00257DC0" w:rsidRPr="002B571F" w:rsidRDefault="00257DC0" w:rsidP="00257DC0">
            <w:pPr>
              <w:jc w:val="right"/>
              <w:rPr>
                <w:b/>
                <w:bCs/>
                <w:color w:val="000000" w:themeColor="text1"/>
                <w:sz w:val="22"/>
                <w:szCs w:val="22"/>
              </w:rPr>
            </w:pPr>
            <w:r w:rsidRPr="002B571F">
              <w:rPr>
                <w:b/>
                <w:bCs/>
                <w:color w:val="000000" w:themeColor="text1"/>
                <w:sz w:val="22"/>
                <w:szCs w:val="22"/>
              </w:rPr>
              <w:t>pairs max</w:t>
            </w:r>
          </w:p>
        </w:tc>
        <w:tc>
          <w:tcPr>
            <w:tcW w:w="993" w:type="dxa"/>
            <w:shd w:val="clear" w:color="auto" w:fill="auto"/>
            <w:hideMark/>
          </w:tcPr>
          <w:p w:rsidR="00257DC0" w:rsidRPr="002B571F" w:rsidRDefault="00257DC0" w:rsidP="00257DC0">
            <w:pPr>
              <w:rPr>
                <w:b/>
                <w:bCs/>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GB, IoM &amp; CI</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600,000</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600,000</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All-Ireland</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21,000</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21,000</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Faeroes</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550,000</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550,000</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France</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257</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257</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 xml:space="preserve">Norway </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1,500,000</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1,500,000</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Iceland</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2,500,000</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2,500,000</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Russia</w:t>
            </w:r>
          </w:p>
        </w:tc>
        <w:tc>
          <w:tcPr>
            <w:tcW w:w="2116"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5,000</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5,000</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p>
        </w:tc>
        <w:tc>
          <w:tcPr>
            <w:tcW w:w="2116" w:type="dxa"/>
            <w:shd w:val="clear" w:color="auto" w:fill="auto"/>
            <w:noWrap/>
            <w:vAlign w:val="bottom"/>
            <w:hideMark/>
          </w:tcPr>
          <w:p w:rsidR="00257DC0" w:rsidRPr="002B571F" w:rsidRDefault="00257DC0" w:rsidP="00257DC0">
            <w:pPr>
              <w:jc w:val="right"/>
              <w:rPr>
                <w:b/>
                <w:bCs/>
                <w:color w:val="000000" w:themeColor="text1"/>
                <w:sz w:val="22"/>
                <w:szCs w:val="22"/>
              </w:rPr>
            </w:pPr>
            <w:r w:rsidRPr="002B571F">
              <w:rPr>
                <w:b/>
                <w:bCs/>
                <w:color w:val="000000" w:themeColor="text1"/>
                <w:sz w:val="22"/>
                <w:szCs w:val="22"/>
              </w:rPr>
              <w:t>5,176,257</w:t>
            </w:r>
          </w:p>
        </w:tc>
        <w:tc>
          <w:tcPr>
            <w:tcW w:w="1275" w:type="dxa"/>
            <w:shd w:val="clear" w:color="auto" w:fill="auto"/>
            <w:noWrap/>
            <w:vAlign w:val="bottom"/>
            <w:hideMark/>
          </w:tcPr>
          <w:p w:rsidR="00257DC0" w:rsidRPr="002B571F" w:rsidRDefault="00257DC0" w:rsidP="00257DC0">
            <w:pPr>
              <w:jc w:val="right"/>
              <w:rPr>
                <w:b/>
                <w:bCs/>
                <w:color w:val="000000" w:themeColor="text1"/>
                <w:sz w:val="22"/>
                <w:szCs w:val="22"/>
              </w:rPr>
            </w:pPr>
            <w:r w:rsidRPr="002B571F">
              <w:rPr>
                <w:b/>
                <w:bCs/>
                <w:color w:val="000000" w:themeColor="text1"/>
                <w:sz w:val="22"/>
                <w:szCs w:val="22"/>
              </w:rPr>
              <w:t>5,176,257</w:t>
            </w:r>
          </w:p>
        </w:tc>
        <w:tc>
          <w:tcPr>
            <w:tcW w:w="993" w:type="dxa"/>
            <w:shd w:val="clear" w:color="auto" w:fill="auto"/>
            <w:noWrap/>
            <w:vAlign w:val="bottom"/>
            <w:hideMark/>
          </w:tcPr>
          <w:p w:rsidR="00257DC0" w:rsidRPr="002B571F" w:rsidRDefault="00257DC0" w:rsidP="00257DC0">
            <w:pPr>
              <w:rPr>
                <w:color w:val="000000" w:themeColor="text1"/>
                <w:sz w:val="22"/>
                <w:szCs w:val="22"/>
              </w:rPr>
            </w:pPr>
            <w:r w:rsidRPr="002B571F">
              <w:rPr>
                <w:color w:val="000000" w:themeColor="text1"/>
                <w:sz w:val="22"/>
                <w:szCs w:val="22"/>
              </w:rPr>
              <w:t>pairs</w:t>
            </w: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p>
        </w:tc>
        <w:tc>
          <w:tcPr>
            <w:tcW w:w="2116" w:type="dxa"/>
            <w:shd w:val="clear" w:color="auto" w:fill="auto"/>
            <w:noWrap/>
            <w:vAlign w:val="bottom"/>
            <w:hideMark/>
          </w:tcPr>
          <w:p w:rsidR="00257DC0" w:rsidRPr="002B571F" w:rsidRDefault="00257DC0" w:rsidP="00257DC0">
            <w:pPr>
              <w:jc w:val="right"/>
              <w:rPr>
                <w:b/>
                <w:bCs/>
                <w:color w:val="000000" w:themeColor="text1"/>
                <w:sz w:val="22"/>
                <w:szCs w:val="22"/>
              </w:rPr>
            </w:pPr>
            <w:r w:rsidRPr="002B571F">
              <w:rPr>
                <w:bCs/>
                <w:color w:val="000000" w:themeColor="text1"/>
                <w:sz w:val="22"/>
                <w:szCs w:val="22"/>
              </w:rPr>
              <w:t>Midpoint =</w:t>
            </w:r>
            <w:r w:rsidRPr="002B571F">
              <w:rPr>
                <w:b/>
                <w:bCs/>
                <w:color w:val="000000" w:themeColor="text1"/>
                <w:sz w:val="22"/>
                <w:szCs w:val="22"/>
              </w:rPr>
              <w:t xml:space="preserve"> 5,176,257</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pairs</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r w:rsidR="00257DC0" w:rsidRPr="002B571F" w:rsidTr="002B571F">
        <w:trPr>
          <w:trHeight w:val="300"/>
        </w:trPr>
        <w:tc>
          <w:tcPr>
            <w:tcW w:w="2860" w:type="dxa"/>
            <w:shd w:val="clear" w:color="auto" w:fill="auto"/>
            <w:noWrap/>
            <w:vAlign w:val="bottom"/>
            <w:hideMark/>
          </w:tcPr>
          <w:p w:rsidR="00257DC0" w:rsidRPr="002B571F" w:rsidRDefault="00257DC0" w:rsidP="00257DC0">
            <w:pPr>
              <w:rPr>
                <w:color w:val="000000" w:themeColor="text1"/>
                <w:sz w:val="22"/>
                <w:szCs w:val="22"/>
              </w:rPr>
            </w:pPr>
          </w:p>
        </w:tc>
        <w:tc>
          <w:tcPr>
            <w:tcW w:w="2116" w:type="dxa"/>
            <w:shd w:val="clear" w:color="auto" w:fill="auto"/>
            <w:noWrap/>
            <w:vAlign w:val="bottom"/>
            <w:hideMark/>
          </w:tcPr>
          <w:p w:rsidR="00257DC0" w:rsidRPr="002B571F" w:rsidRDefault="00257DC0" w:rsidP="00257DC0">
            <w:pPr>
              <w:jc w:val="right"/>
              <w:rPr>
                <w:b/>
                <w:bCs/>
                <w:color w:val="000000" w:themeColor="text1"/>
                <w:sz w:val="22"/>
                <w:szCs w:val="22"/>
              </w:rPr>
            </w:pPr>
            <w:r w:rsidRPr="002B571F">
              <w:rPr>
                <w:b/>
                <w:bCs/>
                <w:color w:val="000000" w:themeColor="text1"/>
                <w:sz w:val="22"/>
                <w:szCs w:val="22"/>
              </w:rPr>
              <w:t>10,352,514</w:t>
            </w:r>
          </w:p>
        </w:tc>
        <w:tc>
          <w:tcPr>
            <w:tcW w:w="1275" w:type="dxa"/>
            <w:shd w:val="clear" w:color="auto" w:fill="auto"/>
            <w:noWrap/>
            <w:vAlign w:val="bottom"/>
            <w:hideMark/>
          </w:tcPr>
          <w:p w:rsidR="00257DC0" w:rsidRPr="002B571F" w:rsidRDefault="00257DC0" w:rsidP="00257DC0">
            <w:pPr>
              <w:jc w:val="right"/>
              <w:rPr>
                <w:color w:val="000000" w:themeColor="text1"/>
                <w:sz w:val="22"/>
                <w:szCs w:val="22"/>
              </w:rPr>
            </w:pPr>
            <w:r w:rsidRPr="002B571F">
              <w:rPr>
                <w:color w:val="000000" w:themeColor="text1"/>
                <w:sz w:val="22"/>
                <w:szCs w:val="22"/>
              </w:rPr>
              <w:t>individuals</w:t>
            </w:r>
          </w:p>
        </w:tc>
        <w:tc>
          <w:tcPr>
            <w:tcW w:w="993" w:type="dxa"/>
            <w:shd w:val="clear" w:color="auto" w:fill="auto"/>
            <w:noWrap/>
            <w:vAlign w:val="bottom"/>
            <w:hideMark/>
          </w:tcPr>
          <w:p w:rsidR="00257DC0" w:rsidRPr="002B571F" w:rsidRDefault="00257DC0" w:rsidP="00257DC0">
            <w:pPr>
              <w:rPr>
                <w:color w:val="000000" w:themeColor="text1"/>
                <w:sz w:val="22"/>
                <w:szCs w:val="22"/>
              </w:rPr>
            </w:pPr>
          </w:p>
        </w:tc>
      </w:tr>
    </w:tbl>
    <w:p w:rsidR="00DC0EDD" w:rsidRDefault="00DC0EDD" w:rsidP="00DC0EDD"/>
    <w:p w:rsidR="0042566D" w:rsidRDefault="0042566D" w:rsidP="00DC0EDD"/>
    <w:p w:rsidR="0042566D" w:rsidRDefault="0042566D" w:rsidP="00DC0EDD"/>
    <w:p w:rsidR="0042566D" w:rsidRDefault="0042566D" w:rsidP="00DC0EDD"/>
    <w:p w:rsidR="0042566D" w:rsidRDefault="0042566D" w:rsidP="00DC0EDD"/>
    <w:p w:rsidR="0042566D" w:rsidRPr="00755F5A" w:rsidRDefault="0042566D" w:rsidP="00DC0EDD"/>
    <w:p w:rsidR="00ED6959" w:rsidRPr="002B571F" w:rsidRDefault="00E22997" w:rsidP="002B571F">
      <w:pPr>
        <w:spacing w:after="120"/>
        <w:jc w:val="both"/>
        <w:rPr>
          <w:sz w:val="22"/>
          <w:szCs w:val="22"/>
        </w:rPr>
      </w:pPr>
      <w:r w:rsidRPr="002B571F">
        <w:rPr>
          <w:sz w:val="22"/>
          <w:szCs w:val="22"/>
        </w:rPr>
        <w:lastRenderedPageBreak/>
        <w:t>CSR</w:t>
      </w:r>
      <w:r w:rsidR="0048344E" w:rsidRPr="002B571F">
        <w:rPr>
          <w:sz w:val="22"/>
          <w:szCs w:val="22"/>
        </w:rPr>
        <w:t>6</w:t>
      </w:r>
      <w:r w:rsidRPr="002B571F">
        <w:rPr>
          <w:sz w:val="22"/>
          <w:szCs w:val="22"/>
        </w:rPr>
        <w:t xml:space="preserve"> gives two population</w:t>
      </w:r>
      <w:r w:rsidR="0048344E" w:rsidRPr="002B571F">
        <w:rPr>
          <w:sz w:val="22"/>
          <w:szCs w:val="22"/>
        </w:rPr>
        <w:t>s</w:t>
      </w:r>
      <w:r w:rsidRPr="002B571F">
        <w:rPr>
          <w:sz w:val="22"/>
          <w:szCs w:val="22"/>
        </w:rPr>
        <w:t>:</w:t>
      </w:r>
    </w:p>
    <w:p w:rsidR="00ED6959" w:rsidRPr="002B571F" w:rsidRDefault="00E22997" w:rsidP="002B571F">
      <w:pPr>
        <w:pStyle w:val="ListParagraph"/>
        <w:numPr>
          <w:ilvl w:val="0"/>
          <w:numId w:val="6"/>
        </w:numPr>
        <w:spacing w:after="120"/>
        <w:contextualSpacing w:val="0"/>
        <w:jc w:val="both"/>
        <w:rPr>
          <w:sz w:val="22"/>
          <w:szCs w:val="22"/>
        </w:rPr>
      </w:pPr>
      <w:proofErr w:type="spellStart"/>
      <w:r w:rsidRPr="002B571F">
        <w:rPr>
          <w:i/>
          <w:iCs/>
          <w:sz w:val="22"/>
          <w:szCs w:val="22"/>
        </w:rPr>
        <w:t>Fratercula</w:t>
      </w:r>
      <w:proofErr w:type="spellEnd"/>
      <w:r w:rsidRPr="002B571F">
        <w:rPr>
          <w:i/>
          <w:iCs/>
          <w:sz w:val="22"/>
          <w:szCs w:val="22"/>
        </w:rPr>
        <w:t xml:space="preserve"> </w:t>
      </w:r>
      <w:proofErr w:type="spellStart"/>
      <w:r w:rsidRPr="002B571F">
        <w:rPr>
          <w:i/>
          <w:iCs/>
          <w:sz w:val="22"/>
          <w:szCs w:val="22"/>
        </w:rPr>
        <w:t>arctica</w:t>
      </w:r>
      <w:proofErr w:type="spellEnd"/>
      <w:r w:rsidRPr="002B571F">
        <w:rPr>
          <w:i/>
          <w:iCs/>
          <w:sz w:val="22"/>
          <w:szCs w:val="22"/>
        </w:rPr>
        <w:t xml:space="preserve"> </w:t>
      </w:r>
      <w:proofErr w:type="spellStart"/>
      <w:r w:rsidRPr="002B571F">
        <w:rPr>
          <w:i/>
          <w:iCs/>
          <w:sz w:val="22"/>
          <w:szCs w:val="22"/>
        </w:rPr>
        <w:t>arctica</w:t>
      </w:r>
      <w:proofErr w:type="spellEnd"/>
      <w:r w:rsidRPr="002B571F">
        <w:rPr>
          <w:sz w:val="22"/>
          <w:szCs w:val="22"/>
        </w:rPr>
        <w:t xml:space="preserve"> (Hudson Bay &amp; Maine E to S Greenland, Iceland, Bear Is, Norway to S Novaya Zemlya)</w:t>
      </w:r>
      <w:r w:rsidR="00ED6959" w:rsidRPr="002B571F">
        <w:rPr>
          <w:sz w:val="22"/>
          <w:szCs w:val="22"/>
        </w:rPr>
        <w:t>,</w:t>
      </w:r>
      <w:r w:rsidRPr="002B571F">
        <w:rPr>
          <w:sz w:val="22"/>
          <w:szCs w:val="22"/>
        </w:rPr>
        <w:t xml:space="preserve"> and </w:t>
      </w:r>
    </w:p>
    <w:p w:rsidR="00E22997" w:rsidRPr="002B571F" w:rsidRDefault="00E22997" w:rsidP="002B571F">
      <w:pPr>
        <w:pStyle w:val="ListParagraph"/>
        <w:numPr>
          <w:ilvl w:val="0"/>
          <w:numId w:val="6"/>
        </w:numPr>
        <w:jc w:val="both"/>
        <w:rPr>
          <w:sz w:val="22"/>
          <w:szCs w:val="22"/>
        </w:rPr>
      </w:pPr>
      <w:proofErr w:type="spellStart"/>
      <w:r w:rsidRPr="002B571F">
        <w:rPr>
          <w:i/>
          <w:iCs/>
          <w:sz w:val="22"/>
          <w:szCs w:val="22"/>
        </w:rPr>
        <w:t>Fratercula</w:t>
      </w:r>
      <w:proofErr w:type="spellEnd"/>
      <w:r w:rsidRPr="002B571F">
        <w:rPr>
          <w:i/>
          <w:iCs/>
          <w:sz w:val="22"/>
          <w:szCs w:val="22"/>
        </w:rPr>
        <w:t xml:space="preserve"> </w:t>
      </w:r>
      <w:proofErr w:type="spellStart"/>
      <w:r w:rsidRPr="002B571F">
        <w:rPr>
          <w:i/>
          <w:iCs/>
          <w:sz w:val="22"/>
          <w:szCs w:val="22"/>
        </w:rPr>
        <w:t>arctica</w:t>
      </w:r>
      <w:proofErr w:type="spellEnd"/>
      <w:r w:rsidRPr="002B571F">
        <w:rPr>
          <w:i/>
          <w:iCs/>
          <w:sz w:val="22"/>
          <w:szCs w:val="22"/>
        </w:rPr>
        <w:t xml:space="preserve"> </w:t>
      </w:r>
      <w:proofErr w:type="spellStart"/>
      <w:r w:rsidRPr="002B571F">
        <w:rPr>
          <w:i/>
          <w:iCs/>
          <w:sz w:val="22"/>
          <w:szCs w:val="22"/>
        </w:rPr>
        <w:t>grabae</w:t>
      </w:r>
      <w:proofErr w:type="spellEnd"/>
      <w:r w:rsidRPr="002B571F">
        <w:rPr>
          <w:sz w:val="22"/>
          <w:szCs w:val="22"/>
          <w:lang w:val="en-US"/>
        </w:rPr>
        <w:t xml:space="preserve"> </w:t>
      </w:r>
      <w:r w:rsidRPr="002B571F">
        <w:rPr>
          <w:sz w:val="22"/>
          <w:szCs w:val="22"/>
        </w:rPr>
        <w:t>(Faeroes, S Norway &amp; Sweden, Britain, Ireland, NW France</w:t>
      </w:r>
      <w:r w:rsidR="0048344E" w:rsidRPr="002B571F">
        <w:rPr>
          <w:sz w:val="22"/>
          <w:szCs w:val="22"/>
        </w:rPr>
        <w:t>).</w:t>
      </w:r>
    </w:p>
    <w:p w:rsidR="00E22997" w:rsidRPr="002B571F" w:rsidRDefault="00E22997" w:rsidP="002B571F">
      <w:pPr>
        <w:jc w:val="both"/>
        <w:rPr>
          <w:sz w:val="22"/>
          <w:szCs w:val="22"/>
        </w:rPr>
      </w:pPr>
    </w:p>
    <w:p w:rsidR="00E22997" w:rsidRPr="002B571F" w:rsidRDefault="0048344E" w:rsidP="002B571F">
      <w:pPr>
        <w:jc w:val="both"/>
        <w:rPr>
          <w:sz w:val="22"/>
          <w:szCs w:val="22"/>
        </w:rPr>
      </w:pPr>
      <w:r w:rsidRPr="002B571F">
        <w:rPr>
          <w:sz w:val="22"/>
          <w:szCs w:val="22"/>
        </w:rPr>
        <w:t>The</w:t>
      </w:r>
      <w:r w:rsidR="00E22997" w:rsidRPr="002B571F">
        <w:rPr>
          <w:sz w:val="22"/>
          <w:szCs w:val="22"/>
        </w:rPr>
        <w:t xml:space="preserve"> CSR</w:t>
      </w:r>
      <w:r w:rsidRPr="002B571F">
        <w:rPr>
          <w:sz w:val="22"/>
          <w:szCs w:val="22"/>
        </w:rPr>
        <w:t xml:space="preserve"> 6</w:t>
      </w:r>
      <w:r w:rsidR="00E22997" w:rsidRPr="002B571F">
        <w:rPr>
          <w:sz w:val="22"/>
          <w:szCs w:val="22"/>
        </w:rPr>
        <w:t xml:space="preserve"> estimate for </w:t>
      </w:r>
      <w:proofErr w:type="spellStart"/>
      <w:r w:rsidR="00E22997" w:rsidRPr="002B571F">
        <w:rPr>
          <w:i/>
          <w:iCs/>
          <w:sz w:val="22"/>
          <w:szCs w:val="22"/>
        </w:rPr>
        <w:t>grabae</w:t>
      </w:r>
      <w:proofErr w:type="spellEnd"/>
      <w:r w:rsidR="00E22997" w:rsidRPr="002B571F">
        <w:rPr>
          <w:sz w:val="22"/>
          <w:szCs w:val="22"/>
        </w:rPr>
        <w:t xml:space="preserve"> (</w:t>
      </w:r>
      <w:r w:rsidRPr="002B571F">
        <w:rPr>
          <w:sz w:val="22"/>
          <w:szCs w:val="22"/>
        </w:rPr>
        <w:t>1,167</w:t>
      </w:r>
      <w:r w:rsidR="00E22997" w:rsidRPr="002B571F">
        <w:rPr>
          <w:sz w:val="22"/>
          <w:szCs w:val="22"/>
        </w:rPr>
        <w:t>,000 pairs) is significant</w:t>
      </w:r>
      <w:r w:rsidRPr="002B571F">
        <w:rPr>
          <w:sz w:val="22"/>
          <w:szCs w:val="22"/>
        </w:rPr>
        <w:t>ly</w:t>
      </w:r>
      <w:r w:rsidR="00E22997" w:rsidRPr="002B571F">
        <w:rPr>
          <w:sz w:val="22"/>
          <w:szCs w:val="22"/>
        </w:rPr>
        <w:t xml:space="preserve"> l</w:t>
      </w:r>
      <w:r w:rsidRPr="002B571F">
        <w:rPr>
          <w:sz w:val="22"/>
          <w:szCs w:val="22"/>
        </w:rPr>
        <w:t>ess</w:t>
      </w:r>
      <w:r w:rsidR="00E22997" w:rsidRPr="002B571F">
        <w:rPr>
          <w:sz w:val="22"/>
          <w:szCs w:val="22"/>
        </w:rPr>
        <w:t xml:space="preserve"> than the Harris &amp; </w:t>
      </w:r>
      <w:proofErr w:type="spellStart"/>
      <w:r w:rsidR="00E22997" w:rsidRPr="002B571F">
        <w:rPr>
          <w:sz w:val="22"/>
          <w:szCs w:val="22"/>
        </w:rPr>
        <w:t>Wanless</w:t>
      </w:r>
      <w:proofErr w:type="spellEnd"/>
      <w:r w:rsidR="00E22997" w:rsidRPr="002B571F">
        <w:rPr>
          <w:sz w:val="22"/>
          <w:szCs w:val="22"/>
        </w:rPr>
        <w:t xml:space="preserve"> estimates for the same countries (3,843,000 pairs).  It is not possible to calculate an </w:t>
      </w:r>
      <w:proofErr w:type="spellStart"/>
      <w:r w:rsidR="00E22997" w:rsidRPr="002B571F">
        <w:rPr>
          <w:i/>
          <w:sz w:val="22"/>
          <w:szCs w:val="22"/>
        </w:rPr>
        <w:t>arctica</w:t>
      </w:r>
      <w:proofErr w:type="spellEnd"/>
      <w:r w:rsidR="00E22997" w:rsidRPr="002B571F">
        <w:rPr>
          <w:i/>
          <w:sz w:val="22"/>
          <w:szCs w:val="22"/>
        </w:rPr>
        <w:t xml:space="preserve"> </w:t>
      </w:r>
      <w:proofErr w:type="spellStart"/>
      <w:r w:rsidR="00E22997" w:rsidRPr="002B571F">
        <w:rPr>
          <w:i/>
          <w:iCs/>
          <w:sz w:val="22"/>
          <w:szCs w:val="22"/>
        </w:rPr>
        <w:t>sensu</w:t>
      </w:r>
      <w:proofErr w:type="spellEnd"/>
      <w:r w:rsidR="00E22997" w:rsidRPr="002B571F">
        <w:rPr>
          <w:i/>
          <w:iCs/>
          <w:sz w:val="22"/>
          <w:szCs w:val="22"/>
        </w:rPr>
        <w:t xml:space="preserve"> lat.</w:t>
      </w:r>
      <w:r w:rsidR="00E22997" w:rsidRPr="002B571F">
        <w:rPr>
          <w:sz w:val="22"/>
          <w:szCs w:val="22"/>
        </w:rPr>
        <w:t xml:space="preserve"> estimate with data more recent than that of Harris &amp; </w:t>
      </w:r>
      <w:proofErr w:type="spellStart"/>
      <w:r w:rsidR="00E22997" w:rsidRPr="002B571F">
        <w:rPr>
          <w:sz w:val="22"/>
          <w:szCs w:val="22"/>
        </w:rPr>
        <w:t>Wanless</w:t>
      </w:r>
      <w:proofErr w:type="spellEnd"/>
      <w:r w:rsidR="00E22997" w:rsidRPr="002B571F">
        <w:rPr>
          <w:sz w:val="22"/>
          <w:szCs w:val="22"/>
        </w:rPr>
        <w:t xml:space="preserve"> (2004)</w:t>
      </w:r>
      <w:r w:rsidR="00E22997" w:rsidRPr="002B571F">
        <w:rPr>
          <w:i/>
          <w:iCs/>
          <w:sz w:val="22"/>
          <w:szCs w:val="22"/>
        </w:rPr>
        <w:t xml:space="preserve"> </w:t>
      </w:r>
      <w:r w:rsidR="00E22997" w:rsidRPr="002B571F">
        <w:rPr>
          <w:sz w:val="22"/>
          <w:szCs w:val="22"/>
        </w:rPr>
        <w:t>without access to the national totals used by CSR</w:t>
      </w:r>
      <w:r w:rsidRPr="002B571F">
        <w:rPr>
          <w:sz w:val="22"/>
          <w:szCs w:val="22"/>
        </w:rPr>
        <w:t xml:space="preserve"> 6</w:t>
      </w:r>
      <w:r w:rsidR="00E22997" w:rsidRPr="002B571F">
        <w:rPr>
          <w:sz w:val="22"/>
          <w:szCs w:val="22"/>
        </w:rPr>
        <w:t>.</w:t>
      </w:r>
    </w:p>
    <w:p w:rsidR="00E22997" w:rsidRPr="002B571F" w:rsidRDefault="00E22997" w:rsidP="002B571F">
      <w:pPr>
        <w:jc w:val="both"/>
        <w:rPr>
          <w:sz w:val="22"/>
          <w:szCs w:val="22"/>
        </w:rPr>
      </w:pPr>
    </w:p>
    <w:p w:rsidR="00DC0EDD" w:rsidRPr="002B571F" w:rsidRDefault="0048344E" w:rsidP="002B571F">
      <w:pPr>
        <w:jc w:val="both"/>
        <w:rPr>
          <w:sz w:val="22"/>
          <w:szCs w:val="22"/>
        </w:rPr>
      </w:pPr>
      <w:r w:rsidRPr="002B571F">
        <w:rPr>
          <w:sz w:val="22"/>
          <w:szCs w:val="22"/>
        </w:rPr>
        <w:t xml:space="preserve">There seems to be doubt as to the </w:t>
      </w:r>
      <w:r w:rsidR="00ED6959" w:rsidRPr="002B571F">
        <w:rPr>
          <w:sz w:val="22"/>
          <w:szCs w:val="22"/>
        </w:rPr>
        <w:t>validity</w:t>
      </w:r>
      <w:r w:rsidRPr="002B571F">
        <w:rPr>
          <w:sz w:val="22"/>
          <w:szCs w:val="22"/>
        </w:rPr>
        <w:t xml:space="preserve"> of </w:t>
      </w:r>
      <w:proofErr w:type="spellStart"/>
      <w:r w:rsidRPr="002B571F">
        <w:rPr>
          <w:i/>
          <w:sz w:val="22"/>
          <w:szCs w:val="22"/>
        </w:rPr>
        <w:t>grabae</w:t>
      </w:r>
      <w:proofErr w:type="spellEnd"/>
      <w:r w:rsidRPr="002B571F">
        <w:rPr>
          <w:sz w:val="22"/>
          <w:szCs w:val="22"/>
        </w:rPr>
        <w:t xml:space="preserve"> as a valid taxon, </w:t>
      </w:r>
      <w:r w:rsidR="00DC0EDD" w:rsidRPr="002B571F">
        <w:rPr>
          <w:sz w:val="22"/>
          <w:szCs w:val="22"/>
        </w:rPr>
        <w:t xml:space="preserve">although </w:t>
      </w:r>
      <w:r w:rsidRPr="002B571F">
        <w:rPr>
          <w:sz w:val="22"/>
          <w:szCs w:val="22"/>
        </w:rPr>
        <w:t xml:space="preserve">Harris &amp; </w:t>
      </w:r>
      <w:proofErr w:type="spellStart"/>
      <w:r w:rsidRPr="002B571F">
        <w:rPr>
          <w:sz w:val="22"/>
          <w:szCs w:val="22"/>
        </w:rPr>
        <w:t>Wanless</w:t>
      </w:r>
      <w:proofErr w:type="spellEnd"/>
      <w:r w:rsidRPr="002B571F">
        <w:rPr>
          <w:sz w:val="22"/>
          <w:szCs w:val="22"/>
        </w:rPr>
        <w:t xml:space="preserve"> (2004) give no source for their</w:t>
      </w:r>
      <w:r w:rsidR="00DC0EDD" w:rsidRPr="002B571F">
        <w:rPr>
          <w:sz w:val="22"/>
          <w:szCs w:val="22"/>
        </w:rPr>
        <w:t xml:space="preserve"> assertion</w:t>
      </w:r>
      <w:r w:rsidRPr="002B571F">
        <w:rPr>
          <w:sz w:val="22"/>
          <w:szCs w:val="22"/>
        </w:rPr>
        <w:t>.</w:t>
      </w:r>
      <w:r w:rsidR="00ED6959" w:rsidRPr="002B571F">
        <w:rPr>
          <w:sz w:val="22"/>
          <w:szCs w:val="22"/>
        </w:rPr>
        <w:t xml:space="preserve">  Th</w:t>
      </w:r>
      <w:r w:rsidR="00732CCD" w:rsidRPr="002B571F">
        <w:rPr>
          <w:sz w:val="22"/>
          <w:szCs w:val="22"/>
        </w:rPr>
        <w:t>i</w:t>
      </w:r>
      <w:r w:rsidR="00ED6959" w:rsidRPr="002B571F">
        <w:rPr>
          <w:sz w:val="22"/>
          <w:szCs w:val="22"/>
        </w:rPr>
        <w:t>s needs to be resolved.</w:t>
      </w:r>
    </w:p>
    <w:p w:rsidR="0048344E" w:rsidRPr="00755F5A" w:rsidRDefault="0048344E" w:rsidP="00DC0EDD"/>
    <w:p w:rsidR="0048344E" w:rsidRPr="00755F5A" w:rsidRDefault="0048344E" w:rsidP="00DC0EDD"/>
    <w:p w:rsidR="00DC0EDD" w:rsidRPr="00755F5A" w:rsidRDefault="00DC0EDD" w:rsidP="00DC0EDD"/>
    <w:p w:rsidR="00DC0EDD" w:rsidRPr="00755F5A" w:rsidRDefault="00DC0EDD" w:rsidP="00832ADE">
      <w:pPr>
        <w:pStyle w:val="Heading2"/>
        <w:spacing w:after="120"/>
        <w:rPr>
          <w:rFonts w:ascii="Times New Roman" w:hAnsi="Times New Roman"/>
          <w:sz w:val="24"/>
          <w:szCs w:val="24"/>
        </w:rPr>
      </w:pPr>
      <w:r w:rsidRPr="00755F5A">
        <w:rPr>
          <w:rFonts w:ascii="Times New Roman" w:hAnsi="Times New Roman"/>
          <w:sz w:val="24"/>
          <w:szCs w:val="24"/>
        </w:rPr>
        <w:t>References</w:t>
      </w:r>
    </w:p>
    <w:p w:rsidR="003C4B3C" w:rsidRPr="00755F5A" w:rsidRDefault="003C4B3C" w:rsidP="00DC0EDD">
      <w:pPr>
        <w:ind w:left="1152" w:hanging="1152"/>
      </w:pPr>
    </w:p>
    <w:p w:rsidR="00DC0EDD" w:rsidRPr="0042566D" w:rsidRDefault="003C4B3C" w:rsidP="00FD1E16">
      <w:pPr>
        <w:ind w:left="1152" w:hanging="1152"/>
        <w:jc w:val="both"/>
        <w:rPr>
          <w:sz w:val="22"/>
          <w:szCs w:val="22"/>
        </w:rPr>
      </w:pPr>
      <w:proofErr w:type="gramStart"/>
      <w:r w:rsidRPr="0042566D">
        <w:rPr>
          <w:sz w:val="22"/>
          <w:szCs w:val="22"/>
        </w:rPr>
        <w:t>d</w:t>
      </w:r>
      <w:r w:rsidR="00DC0EDD" w:rsidRPr="0042566D">
        <w:rPr>
          <w:sz w:val="22"/>
          <w:szCs w:val="22"/>
        </w:rPr>
        <w:t>el</w:t>
      </w:r>
      <w:proofErr w:type="gramEnd"/>
      <w:r w:rsidR="00DC0EDD" w:rsidRPr="0042566D">
        <w:rPr>
          <w:sz w:val="22"/>
          <w:szCs w:val="22"/>
        </w:rPr>
        <w:t xml:space="preserve"> </w:t>
      </w:r>
      <w:proofErr w:type="spellStart"/>
      <w:r w:rsidR="00DC0EDD" w:rsidRPr="0042566D">
        <w:rPr>
          <w:sz w:val="22"/>
          <w:szCs w:val="22"/>
        </w:rPr>
        <w:t>Hoyo</w:t>
      </w:r>
      <w:proofErr w:type="spellEnd"/>
      <w:r w:rsidR="00DC0EDD" w:rsidRPr="0042566D">
        <w:rPr>
          <w:sz w:val="22"/>
          <w:szCs w:val="22"/>
        </w:rPr>
        <w:t>, J.</w:t>
      </w:r>
      <w:r w:rsidR="00A22566" w:rsidRPr="0042566D">
        <w:rPr>
          <w:sz w:val="22"/>
          <w:szCs w:val="22"/>
        </w:rPr>
        <w:t xml:space="preserve">, Elliot, A. &amp; </w:t>
      </w:r>
      <w:proofErr w:type="spellStart"/>
      <w:r w:rsidR="00A22566" w:rsidRPr="0042566D">
        <w:rPr>
          <w:sz w:val="22"/>
          <w:szCs w:val="22"/>
        </w:rPr>
        <w:t>Sagatal</w:t>
      </w:r>
      <w:proofErr w:type="spellEnd"/>
      <w:r w:rsidR="00A22566" w:rsidRPr="0042566D">
        <w:rPr>
          <w:sz w:val="22"/>
          <w:szCs w:val="22"/>
        </w:rPr>
        <w:t xml:space="preserve">, J. eds.  1996. </w:t>
      </w:r>
      <w:r w:rsidR="00DC0EDD" w:rsidRPr="0042566D">
        <w:rPr>
          <w:sz w:val="22"/>
          <w:szCs w:val="22"/>
        </w:rPr>
        <w:t xml:space="preserve"> </w:t>
      </w:r>
      <w:r w:rsidR="00DC0EDD" w:rsidRPr="0042566D">
        <w:rPr>
          <w:i/>
          <w:iCs/>
          <w:sz w:val="22"/>
          <w:szCs w:val="22"/>
        </w:rPr>
        <w:t>Handbook of the Birds of the World</w:t>
      </w:r>
      <w:r w:rsidR="00446A41" w:rsidRPr="0042566D">
        <w:rPr>
          <w:sz w:val="22"/>
          <w:szCs w:val="22"/>
        </w:rPr>
        <w:t xml:space="preserve">.  Vol. 3. </w:t>
      </w:r>
      <w:r w:rsidR="00D23D04" w:rsidRPr="0042566D">
        <w:rPr>
          <w:sz w:val="22"/>
          <w:szCs w:val="22"/>
        </w:rPr>
        <w:t xml:space="preserve"> Hoatzin to Auks. </w:t>
      </w:r>
      <w:r w:rsidR="00DC0EDD" w:rsidRPr="0042566D">
        <w:rPr>
          <w:sz w:val="22"/>
          <w:szCs w:val="22"/>
        </w:rPr>
        <w:t xml:space="preserve"> Lynx </w:t>
      </w:r>
      <w:proofErr w:type="spellStart"/>
      <w:r w:rsidR="00DC0EDD" w:rsidRPr="0042566D">
        <w:rPr>
          <w:sz w:val="22"/>
          <w:szCs w:val="22"/>
        </w:rPr>
        <w:t>Edicions</w:t>
      </w:r>
      <w:proofErr w:type="spellEnd"/>
      <w:r w:rsidR="00DC0EDD" w:rsidRPr="0042566D">
        <w:rPr>
          <w:sz w:val="22"/>
          <w:szCs w:val="22"/>
        </w:rPr>
        <w:t>, Barcelona.</w:t>
      </w:r>
    </w:p>
    <w:p w:rsidR="00DC0EDD" w:rsidRPr="0042566D" w:rsidRDefault="00DC0EDD" w:rsidP="00FD1E16">
      <w:pPr>
        <w:jc w:val="both"/>
        <w:rPr>
          <w:sz w:val="22"/>
          <w:szCs w:val="22"/>
        </w:rPr>
      </w:pPr>
    </w:p>
    <w:p w:rsidR="00A4132C" w:rsidRPr="0042566D" w:rsidRDefault="00A4132C" w:rsidP="00FD1E16">
      <w:pPr>
        <w:ind w:left="1191" w:hanging="1191"/>
        <w:jc w:val="both"/>
        <w:rPr>
          <w:sz w:val="22"/>
          <w:szCs w:val="22"/>
        </w:rPr>
      </w:pPr>
      <w:r w:rsidRPr="0042566D">
        <w:rPr>
          <w:sz w:val="22"/>
          <w:szCs w:val="22"/>
        </w:rPr>
        <w:t>Lowther, P.E., Diamond, A</w:t>
      </w:r>
      <w:proofErr w:type="gramStart"/>
      <w:r w:rsidRPr="0042566D">
        <w:rPr>
          <w:sz w:val="22"/>
          <w:szCs w:val="22"/>
        </w:rPr>
        <w:t>,W</w:t>
      </w:r>
      <w:proofErr w:type="gramEnd"/>
      <w:r w:rsidRPr="0042566D">
        <w:rPr>
          <w:sz w:val="22"/>
          <w:szCs w:val="22"/>
        </w:rPr>
        <w:t>., Kress, S.W., Robertson, G.J., Russell, K.  2002.  Atlantic Puffin (</w:t>
      </w:r>
      <w:proofErr w:type="spellStart"/>
      <w:r w:rsidRPr="0042566D">
        <w:rPr>
          <w:i/>
          <w:sz w:val="22"/>
          <w:szCs w:val="22"/>
        </w:rPr>
        <w:t>Fratercula</w:t>
      </w:r>
      <w:proofErr w:type="spellEnd"/>
      <w:r w:rsidRPr="0042566D">
        <w:rPr>
          <w:i/>
          <w:sz w:val="22"/>
          <w:szCs w:val="22"/>
        </w:rPr>
        <w:t xml:space="preserve"> </w:t>
      </w:r>
      <w:proofErr w:type="spellStart"/>
      <w:r w:rsidRPr="0042566D">
        <w:rPr>
          <w:i/>
          <w:sz w:val="22"/>
          <w:szCs w:val="22"/>
        </w:rPr>
        <w:t>arctica</w:t>
      </w:r>
      <w:proofErr w:type="spellEnd"/>
      <w:r w:rsidRPr="0042566D">
        <w:rPr>
          <w:sz w:val="22"/>
          <w:szCs w:val="22"/>
        </w:rPr>
        <w:t>).  In: Poole, A., Gill, F. (</w:t>
      </w:r>
      <w:proofErr w:type="spellStart"/>
      <w:r w:rsidRPr="0042566D">
        <w:rPr>
          <w:sz w:val="22"/>
          <w:szCs w:val="22"/>
        </w:rPr>
        <w:t>eds</w:t>
      </w:r>
      <w:proofErr w:type="spellEnd"/>
      <w:proofErr w:type="gramStart"/>
      <w:r w:rsidRPr="0042566D">
        <w:rPr>
          <w:sz w:val="22"/>
          <w:szCs w:val="22"/>
        </w:rPr>
        <w:t xml:space="preserve">)  </w:t>
      </w:r>
      <w:r w:rsidRPr="0042566D">
        <w:rPr>
          <w:i/>
          <w:sz w:val="22"/>
          <w:szCs w:val="22"/>
        </w:rPr>
        <w:t>The</w:t>
      </w:r>
      <w:proofErr w:type="gramEnd"/>
      <w:r w:rsidRPr="0042566D">
        <w:rPr>
          <w:i/>
          <w:sz w:val="22"/>
          <w:szCs w:val="22"/>
        </w:rPr>
        <w:t xml:space="preserve"> birds of North America</w:t>
      </w:r>
      <w:r w:rsidRPr="0042566D">
        <w:rPr>
          <w:sz w:val="22"/>
          <w:szCs w:val="22"/>
        </w:rPr>
        <w:t xml:space="preserve">.  The Birds of North America, </w:t>
      </w:r>
      <w:proofErr w:type="spellStart"/>
      <w:r w:rsidRPr="0042566D">
        <w:rPr>
          <w:sz w:val="22"/>
          <w:szCs w:val="22"/>
        </w:rPr>
        <w:t>Inc</w:t>
      </w:r>
      <w:proofErr w:type="spellEnd"/>
      <w:r w:rsidRPr="0042566D">
        <w:rPr>
          <w:sz w:val="22"/>
          <w:szCs w:val="22"/>
        </w:rPr>
        <w:t xml:space="preserve">, Philadelphia, </w:t>
      </w:r>
      <w:proofErr w:type="gramStart"/>
      <w:r w:rsidRPr="0042566D">
        <w:rPr>
          <w:sz w:val="22"/>
          <w:szCs w:val="22"/>
        </w:rPr>
        <w:t>PA .</w:t>
      </w:r>
      <w:proofErr w:type="gramEnd"/>
      <w:r w:rsidRPr="0042566D">
        <w:rPr>
          <w:sz w:val="22"/>
          <w:szCs w:val="22"/>
        </w:rPr>
        <w:t xml:space="preserve">  Pp 1–23.</w:t>
      </w:r>
    </w:p>
    <w:p w:rsidR="00A4132C" w:rsidRPr="0042566D" w:rsidRDefault="00A4132C" w:rsidP="00FD1E16">
      <w:pPr>
        <w:ind w:left="1191" w:hanging="1191"/>
        <w:jc w:val="both"/>
        <w:rPr>
          <w:sz w:val="22"/>
          <w:szCs w:val="22"/>
        </w:rPr>
      </w:pPr>
    </w:p>
    <w:p w:rsidR="00DC0EDD" w:rsidRPr="0042566D" w:rsidRDefault="00A22566" w:rsidP="00FD1E16">
      <w:pPr>
        <w:ind w:left="1191" w:hanging="1191"/>
        <w:jc w:val="both"/>
        <w:rPr>
          <w:sz w:val="22"/>
          <w:szCs w:val="22"/>
        </w:rPr>
      </w:pPr>
      <w:proofErr w:type="spellStart"/>
      <w:r w:rsidRPr="0042566D">
        <w:rPr>
          <w:sz w:val="22"/>
          <w:szCs w:val="22"/>
        </w:rPr>
        <w:t>Lyngs</w:t>
      </w:r>
      <w:proofErr w:type="spellEnd"/>
      <w:r w:rsidRPr="0042566D">
        <w:rPr>
          <w:sz w:val="22"/>
          <w:szCs w:val="22"/>
        </w:rPr>
        <w:t xml:space="preserve">, P.  2003. </w:t>
      </w:r>
      <w:r w:rsidR="00DC0EDD" w:rsidRPr="0042566D">
        <w:rPr>
          <w:sz w:val="22"/>
          <w:szCs w:val="22"/>
        </w:rPr>
        <w:t xml:space="preserve"> Migration and winter rang</w:t>
      </w:r>
      <w:r w:rsidR="00D23D04" w:rsidRPr="0042566D">
        <w:rPr>
          <w:sz w:val="22"/>
          <w:szCs w:val="22"/>
        </w:rPr>
        <w:t xml:space="preserve">es of birds in Greenland. </w:t>
      </w:r>
      <w:r w:rsidR="00DC0EDD" w:rsidRPr="0042566D">
        <w:rPr>
          <w:sz w:val="22"/>
          <w:szCs w:val="22"/>
        </w:rPr>
        <w:t xml:space="preserve"> </w:t>
      </w:r>
      <w:r w:rsidR="00DC0EDD" w:rsidRPr="0042566D">
        <w:rPr>
          <w:i/>
          <w:sz w:val="22"/>
          <w:szCs w:val="22"/>
        </w:rPr>
        <w:t xml:space="preserve">Dansk </w:t>
      </w:r>
      <w:proofErr w:type="spellStart"/>
      <w:r w:rsidR="00DC0EDD" w:rsidRPr="0042566D">
        <w:rPr>
          <w:i/>
          <w:sz w:val="22"/>
          <w:szCs w:val="22"/>
        </w:rPr>
        <w:t>Ornitologisk</w:t>
      </w:r>
      <w:proofErr w:type="spellEnd"/>
      <w:r w:rsidR="00DC0EDD" w:rsidRPr="0042566D">
        <w:rPr>
          <w:i/>
          <w:sz w:val="22"/>
          <w:szCs w:val="22"/>
        </w:rPr>
        <w:t xml:space="preserve"> </w:t>
      </w:r>
      <w:proofErr w:type="spellStart"/>
      <w:r w:rsidR="00DC0EDD" w:rsidRPr="0042566D">
        <w:rPr>
          <w:i/>
          <w:sz w:val="22"/>
          <w:szCs w:val="22"/>
        </w:rPr>
        <w:t>Forenings</w:t>
      </w:r>
      <w:proofErr w:type="spellEnd"/>
      <w:r w:rsidR="00DC0EDD" w:rsidRPr="0042566D">
        <w:rPr>
          <w:i/>
          <w:sz w:val="22"/>
          <w:szCs w:val="22"/>
        </w:rPr>
        <w:t xml:space="preserve"> </w:t>
      </w:r>
      <w:proofErr w:type="spellStart"/>
      <w:r w:rsidR="00DC0EDD" w:rsidRPr="0042566D">
        <w:rPr>
          <w:i/>
          <w:sz w:val="22"/>
          <w:szCs w:val="22"/>
        </w:rPr>
        <w:t>Tidsskrift</w:t>
      </w:r>
      <w:proofErr w:type="spellEnd"/>
      <w:r w:rsidR="00DC0EDD" w:rsidRPr="0042566D">
        <w:rPr>
          <w:i/>
          <w:sz w:val="22"/>
          <w:szCs w:val="22"/>
        </w:rPr>
        <w:t xml:space="preserve"> </w:t>
      </w:r>
      <w:r w:rsidR="00DC0EDD" w:rsidRPr="0042566D">
        <w:rPr>
          <w:sz w:val="22"/>
          <w:szCs w:val="22"/>
        </w:rPr>
        <w:t>97(1): 1-167.</w:t>
      </w:r>
    </w:p>
    <w:p w:rsidR="00DC0EDD" w:rsidRPr="0042566D" w:rsidRDefault="00DC0EDD" w:rsidP="00FD1E16">
      <w:pPr>
        <w:ind w:left="1191" w:hanging="1191"/>
        <w:jc w:val="both"/>
        <w:rPr>
          <w:sz w:val="22"/>
          <w:szCs w:val="22"/>
        </w:rPr>
      </w:pPr>
    </w:p>
    <w:p w:rsidR="00550DF9" w:rsidRPr="0042566D" w:rsidRDefault="00A22566" w:rsidP="00FD1E16">
      <w:pPr>
        <w:ind w:left="1191" w:hanging="1191"/>
        <w:jc w:val="both"/>
        <w:rPr>
          <w:sz w:val="22"/>
          <w:szCs w:val="22"/>
        </w:rPr>
      </w:pPr>
      <w:r w:rsidRPr="0042566D">
        <w:rPr>
          <w:sz w:val="22"/>
          <w:szCs w:val="22"/>
        </w:rPr>
        <w:t xml:space="preserve">Harris, M.P. &amp; </w:t>
      </w:r>
      <w:proofErr w:type="spellStart"/>
      <w:r w:rsidRPr="0042566D">
        <w:rPr>
          <w:sz w:val="22"/>
          <w:szCs w:val="22"/>
        </w:rPr>
        <w:t>Wanless</w:t>
      </w:r>
      <w:proofErr w:type="spellEnd"/>
      <w:r w:rsidRPr="0042566D">
        <w:rPr>
          <w:sz w:val="22"/>
          <w:szCs w:val="22"/>
        </w:rPr>
        <w:t xml:space="preserve">, S.  2004.  Atlantic Puffin </w:t>
      </w:r>
      <w:proofErr w:type="spellStart"/>
      <w:r w:rsidRPr="0042566D">
        <w:rPr>
          <w:i/>
          <w:sz w:val="22"/>
          <w:szCs w:val="22"/>
        </w:rPr>
        <w:t>Fratercula</w:t>
      </w:r>
      <w:proofErr w:type="spellEnd"/>
      <w:r w:rsidRPr="0042566D">
        <w:rPr>
          <w:i/>
          <w:sz w:val="22"/>
          <w:szCs w:val="22"/>
        </w:rPr>
        <w:t xml:space="preserve"> </w:t>
      </w:r>
      <w:proofErr w:type="spellStart"/>
      <w:r w:rsidRPr="0042566D">
        <w:rPr>
          <w:i/>
          <w:sz w:val="22"/>
          <w:szCs w:val="22"/>
        </w:rPr>
        <w:t>arctica</w:t>
      </w:r>
      <w:proofErr w:type="spellEnd"/>
      <w:r w:rsidRPr="0042566D">
        <w:rPr>
          <w:sz w:val="22"/>
          <w:szCs w:val="22"/>
        </w:rPr>
        <w:t xml:space="preserve">.  Pp. 392-406.  In: Mitchell, P.I., Newton, S., </w:t>
      </w:r>
      <w:proofErr w:type="spellStart"/>
      <w:r w:rsidRPr="0042566D">
        <w:rPr>
          <w:sz w:val="22"/>
          <w:szCs w:val="22"/>
        </w:rPr>
        <w:t>Ratcliffe</w:t>
      </w:r>
      <w:proofErr w:type="spellEnd"/>
      <w:r w:rsidRPr="0042566D">
        <w:rPr>
          <w:sz w:val="22"/>
          <w:szCs w:val="22"/>
        </w:rPr>
        <w:t>, N. &amp; Dunn, T.E.  (</w:t>
      </w:r>
      <w:proofErr w:type="gramStart"/>
      <w:r w:rsidRPr="0042566D">
        <w:rPr>
          <w:sz w:val="22"/>
          <w:szCs w:val="22"/>
        </w:rPr>
        <w:t>eds</w:t>
      </w:r>
      <w:proofErr w:type="gramEnd"/>
      <w:r w:rsidRPr="0042566D">
        <w:rPr>
          <w:sz w:val="22"/>
          <w:szCs w:val="22"/>
        </w:rPr>
        <w:t xml:space="preserve">.) </w:t>
      </w:r>
      <w:r w:rsidRPr="0042566D">
        <w:rPr>
          <w:i/>
          <w:sz w:val="22"/>
          <w:szCs w:val="22"/>
        </w:rPr>
        <w:t>Seabird populations of Britain and Ireland.</w:t>
      </w:r>
      <w:r w:rsidRPr="0042566D">
        <w:rPr>
          <w:sz w:val="22"/>
          <w:szCs w:val="22"/>
        </w:rPr>
        <w:t xml:space="preserve">  T. &amp; A.D. </w:t>
      </w:r>
      <w:proofErr w:type="spellStart"/>
      <w:r w:rsidRPr="0042566D">
        <w:rPr>
          <w:sz w:val="22"/>
          <w:szCs w:val="22"/>
        </w:rPr>
        <w:t>Poyser</w:t>
      </w:r>
      <w:proofErr w:type="spellEnd"/>
      <w:r w:rsidRPr="0042566D">
        <w:rPr>
          <w:sz w:val="22"/>
          <w:szCs w:val="22"/>
        </w:rPr>
        <w:t xml:space="preserve">.  </w:t>
      </w:r>
    </w:p>
    <w:p w:rsidR="00832ADE" w:rsidRPr="0042566D" w:rsidRDefault="00832ADE" w:rsidP="00FD1E16">
      <w:pPr>
        <w:ind w:left="1191" w:hanging="1191"/>
        <w:jc w:val="both"/>
        <w:rPr>
          <w:sz w:val="22"/>
          <w:szCs w:val="22"/>
        </w:rPr>
      </w:pPr>
    </w:p>
    <w:p w:rsidR="00732CCD" w:rsidRPr="0042566D" w:rsidRDefault="00732CCD" w:rsidP="00FD1E16">
      <w:pPr>
        <w:ind w:left="1191" w:hanging="1191"/>
        <w:jc w:val="both"/>
        <w:rPr>
          <w:sz w:val="22"/>
          <w:szCs w:val="22"/>
        </w:rPr>
      </w:pPr>
      <w:r w:rsidRPr="0042566D">
        <w:rPr>
          <w:sz w:val="22"/>
          <w:szCs w:val="22"/>
        </w:rPr>
        <w:t xml:space="preserve">Harris, M. &amp; </w:t>
      </w:r>
      <w:proofErr w:type="spellStart"/>
      <w:r w:rsidRPr="0042566D">
        <w:rPr>
          <w:sz w:val="22"/>
          <w:szCs w:val="22"/>
        </w:rPr>
        <w:t>Wanless</w:t>
      </w:r>
      <w:proofErr w:type="spellEnd"/>
      <w:r w:rsidRPr="0042566D">
        <w:rPr>
          <w:sz w:val="22"/>
          <w:szCs w:val="22"/>
        </w:rPr>
        <w:t xml:space="preserve">, S.  2007.  Common Guillemot </w:t>
      </w:r>
      <w:proofErr w:type="spellStart"/>
      <w:r w:rsidRPr="0042566D">
        <w:rPr>
          <w:i/>
          <w:sz w:val="22"/>
          <w:szCs w:val="22"/>
        </w:rPr>
        <w:t>Uria</w:t>
      </w:r>
      <w:proofErr w:type="spellEnd"/>
      <w:r w:rsidRPr="0042566D">
        <w:rPr>
          <w:i/>
          <w:sz w:val="22"/>
          <w:szCs w:val="22"/>
        </w:rPr>
        <w:t xml:space="preserve"> </w:t>
      </w:r>
      <w:proofErr w:type="spellStart"/>
      <w:r w:rsidRPr="0042566D">
        <w:rPr>
          <w:i/>
          <w:sz w:val="22"/>
          <w:szCs w:val="22"/>
        </w:rPr>
        <w:t>aalge</w:t>
      </w:r>
      <w:proofErr w:type="spellEnd"/>
      <w:r w:rsidRPr="0042566D">
        <w:rPr>
          <w:sz w:val="22"/>
          <w:szCs w:val="22"/>
        </w:rPr>
        <w:t xml:space="preserve">.  Pp. 845-849.  In: </w:t>
      </w:r>
      <w:r w:rsidRPr="0042566D">
        <w:rPr>
          <w:i/>
          <w:sz w:val="22"/>
          <w:szCs w:val="22"/>
        </w:rPr>
        <w:t xml:space="preserve">The Birds of Scotland. </w:t>
      </w:r>
      <w:r w:rsidRPr="0042566D">
        <w:rPr>
          <w:sz w:val="22"/>
          <w:szCs w:val="22"/>
        </w:rPr>
        <w:t xml:space="preserve"> </w:t>
      </w:r>
      <w:proofErr w:type="gramStart"/>
      <w:r w:rsidRPr="0042566D">
        <w:rPr>
          <w:sz w:val="22"/>
          <w:szCs w:val="22"/>
        </w:rPr>
        <w:t>eds</w:t>
      </w:r>
      <w:proofErr w:type="gramEnd"/>
      <w:r w:rsidRPr="0042566D">
        <w:rPr>
          <w:sz w:val="22"/>
          <w:szCs w:val="22"/>
        </w:rPr>
        <w:t xml:space="preserve">. Forrester, R.W. &amp; Andrews, I.J.  Scottish Ornithologists’ Club, </w:t>
      </w:r>
      <w:proofErr w:type="spellStart"/>
      <w:r w:rsidRPr="0042566D">
        <w:rPr>
          <w:sz w:val="22"/>
          <w:szCs w:val="22"/>
        </w:rPr>
        <w:t>Aberlady</w:t>
      </w:r>
      <w:proofErr w:type="spellEnd"/>
      <w:r w:rsidRPr="0042566D">
        <w:rPr>
          <w:sz w:val="22"/>
          <w:szCs w:val="22"/>
        </w:rPr>
        <w:t>.</w:t>
      </w:r>
    </w:p>
    <w:p w:rsidR="00732CCD" w:rsidRPr="0042566D" w:rsidRDefault="00732CCD" w:rsidP="00FD1E16">
      <w:pPr>
        <w:ind w:left="1191" w:hanging="1191"/>
        <w:jc w:val="both"/>
        <w:rPr>
          <w:sz w:val="22"/>
          <w:szCs w:val="22"/>
        </w:rPr>
      </w:pPr>
    </w:p>
    <w:p w:rsidR="00A4132C" w:rsidRDefault="00A4132C" w:rsidP="00FD1E16">
      <w:pPr>
        <w:ind w:left="1191" w:hanging="1191"/>
        <w:jc w:val="both"/>
        <w:rPr>
          <w:sz w:val="22"/>
          <w:szCs w:val="22"/>
        </w:rPr>
      </w:pPr>
      <w:r w:rsidRPr="0042566D">
        <w:rPr>
          <w:sz w:val="22"/>
          <w:szCs w:val="22"/>
        </w:rPr>
        <w:t xml:space="preserve">Moen, S.M.  1991.  Morphologic and genetic variation among breeding colonies of the Atlantic Puffin </w:t>
      </w:r>
      <w:proofErr w:type="spellStart"/>
      <w:r w:rsidRPr="0042566D">
        <w:rPr>
          <w:i/>
          <w:sz w:val="22"/>
          <w:szCs w:val="22"/>
        </w:rPr>
        <w:t>Fratercula</w:t>
      </w:r>
      <w:proofErr w:type="spellEnd"/>
      <w:r w:rsidRPr="0042566D">
        <w:rPr>
          <w:i/>
          <w:sz w:val="22"/>
          <w:szCs w:val="22"/>
        </w:rPr>
        <w:t xml:space="preserve"> </w:t>
      </w:r>
      <w:proofErr w:type="spellStart"/>
      <w:r w:rsidRPr="0042566D">
        <w:rPr>
          <w:i/>
          <w:sz w:val="22"/>
          <w:szCs w:val="22"/>
        </w:rPr>
        <w:t>arctica</w:t>
      </w:r>
      <w:proofErr w:type="spellEnd"/>
      <w:r w:rsidRPr="0042566D">
        <w:rPr>
          <w:i/>
          <w:sz w:val="22"/>
          <w:szCs w:val="22"/>
        </w:rPr>
        <w:t xml:space="preserve">.  The </w:t>
      </w:r>
      <w:proofErr w:type="gramStart"/>
      <w:r w:rsidRPr="0042566D">
        <w:rPr>
          <w:i/>
          <w:sz w:val="22"/>
          <w:szCs w:val="22"/>
        </w:rPr>
        <w:t>Auk</w:t>
      </w:r>
      <w:r w:rsidRPr="0042566D">
        <w:rPr>
          <w:sz w:val="22"/>
          <w:szCs w:val="22"/>
        </w:rPr>
        <w:t xml:space="preserve">  108</w:t>
      </w:r>
      <w:proofErr w:type="gramEnd"/>
      <w:r w:rsidRPr="0042566D">
        <w:rPr>
          <w:sz w:val="22"/>
          <w:szCs w:val="22"/>
        </w:rPr>
        <w:t>(4): 755-763.</w:t>
      </w:r>
    </w:p>
    <w:p w:rsidR="00FD1E16" w:rsidRPr="0042566D" w:rsidRDefault="00FD1E16" w:rsidP="00FD1E16">
      <w:pPr>
        <w:ind w:left="1191" w:hanging="1191"/>
        <w:jc w:val="both"/>
        <w:rPr>
          <w:sz w:val="22"/>
          <w:szCs w:val="22"/>
        </w:rPr>
      </w:pPr>
    </w:p>
    <w:p w:rsidR="007E79A3" w:rsidRPr="00415CFC" w:rsidRDefault="007E79A3" w:rsidP="00FD1E16">
      <w:pPr>
        <w:ind w:left="1152" w:hanging="1152"/>
        <w:jc w:val="both"/>
        <w:rPr>
          <w:sz w:val="22"/>
          <w:szCs w:val="22"/>
          <w:lang w:val="en-US"/>
        </w:rPr>
      </w:pPr>
      <w:r w:rsidRPr="0042566D">
        <w:rPr>
          <w:sz w:val="22"/>
          <w:szCs w:val="22"/>
        </w:rPr>
        <w:t>Stroud, D.A., Chambers, D., Cook, S., Buxton, N., Fraser, B., Clement, P., Lewis, P., McLean, I., Baker, H. &amp; Whitehead, S. (eds.</w:t>
      </w:r>
      <w:proofErr w:type="gramStart"/>
      <w:r w:rsidRPr="0042566D">
        <w:rPr>
          <w:sz w:val="22"/>
          <w:szCs w:val="22"/>
        </w:rPr>
        <w:t>)  2001</w:t>
      </w:r>
      <w:proofErr w:type="gramEnd"/>
      <w:r w:rsidRPr="0042566D">
        <w:rPr>
          <w:sz w:val="22"/>
          <w:szCs w:val="22"/>
        </w:rPr>
        <w:t xml:space="preserve">.  </w:t>
      </w:r>
      <w:hyperlink r:id="rId11" w:history="1">
        <w:r w:rsidRPr="0042566D">
          <w:rPr>
            <w:rStyle w:val="Hyperlink"/>
            <w:i/>
            <w:sz w:val="22"/>
            <w:szCs w:val="22"/>
          </w:rPr>
          <w:t>The UK SPA network: its scope and content</w:t>
        </w:r>
      </w:hyperlink>
      <w:r w:rsidRPr="0042566D">
        <w:rPr>
          <w:i/>
          <w:sz w:val="22"/>
          <w:szCs w:val="22"/>
        </w:rPr>
        <w:t>.</w:t>
      </w:r>
      <w:r w:rsidRPr="0042566D">
        <w:rPr>
          <w:sz w:val="22"/>
          <w:szCs w:val="22"/>
        </w:rPr>
        <w:t xml:space="preserve">  JNCC, Peterborough.  Three volumes.  </w:t>
      </w:r>
      <w:r w:rsidRPr="00415CFC">
        <w:rPr>
          <w:sz w:val="22"/>
          <w:szCs w:val="22"/>
          <w:lang w:val="en-US"/>
        </w:rPr>
        <w:t>(90 pp; 438 pp; 392 pp)</w:t>
      </w:r>
    </w:p>
    <w:p w:rsidR="003F4E01" w:rsidRPr="0042566D" w:rsidRDefault="003F4E01" w:rsidP="00FD1E16">
      <w:pPr>
        <w:ind w:left="1152" w:hanging="1152"/>
        <w:jc w:val="both"/>
        <w:rPr>
          <w:sz w:val="22"/>
          <w:szCs w:val="22"/>
        </w:rPr>
      </w:pPr>
    </w:p>
    <w:p w:rsidR="00B70460" w:rsidRPr="0042566D" w:rsidRDefault="00732CCD" w:rsidP="00FD1E16">
      <w:pPr>
        <w:ind w:left="1152" w:hanging="1152"/>
        <w:jc w:val="both"/>
        <w:rPr>
          <w:sz w:val="22"/>
          <w:szCs w:val="22"/>
        </w:rPr>
      </w:pPr>
      <w:r w:rsidRPr="0042566D">
        <w:rPr>
          <w:sz w:val="22"/>
          <w:szCs w:val="22"/>
        </w:rPr>
        <w:t xml:space="preserve">Stroud, D.A., Bainbridge, I.P., Maddock, A., Anthony, S., Baker, H., Buxton, N., Chambers, D., </w:t>
      </w:r>
      <w:proofErr w:type="spellStart"/>
      <w:r w:rsidRPr="0042566D">
        <w:rPr>
          <w:sz w:val="22"/>
          <w:szCs w:val="22"/>
        </w:rPr>
        <w:t>Enlander</w:t>
      </w:r>
      <w:proofErr w:type="spellEnd"/>
      <w:r w:rsidRPr="0042566D">
        <w:rPr>
          <w:sz w:val="22"/>
          <w:szCs w:val="22"/>
        </w:rPr>
        <w:t xml:space="preserve">, I., Hearn, R., Jennings, K.R, </w:t>
      </w:r>
      <w:proofErr w:type="spellStart"/>
      <w:r w:rsidRPr="0042566D">
        <w:rPr>
          <w:sz w:val="22"/>
          <w:szCs w:val="22"/>
        </w:rPr>
        <w:t>Mavor</w:t>
      </w:r>
      <w:proofErr w:type="spellEnd"/>
      <w:r w:rsidRPr="0042566D">
        <w:rPr>
          <w:sz w:val="22"/>
          <w:szCs w:val="22"/>
        </w:rPr>
        <w:t xml:space="preserve">, R., Whitehead, S. &amp; Wilson, J.D. - on behalf of the UK SPA &amp; </w:t>
      </w:r>
      <w:proofErr w:type="spellStart"/>
      <w:r w:rsidRPr="0042566D">
        <w:rPr>
          <w:sz w:val="22"/>
          <w:szCs w:val="22"/>
        </w:rPr>
        <w:t>Ramsar</w:t>
      </w:r>
      <w:proofErr w:type="spellEnd"/>
      <w:r w:rsidRPr="0042566D">
        <w:rPr>
          <w:sz w:val="22"/>
          <w:szCs w:val="22"/>
        </w:rPr>
        <w:t xml:space="preserve"> Scientific Working Group </w:t>
      </w:r>
      <w:r w:rsidR="00B70460" w:rsidRPr="0042566D">
        <w:rPr>
          <w:sz w:val="22"/>
          <w:szCs w:val="22"/>
        </w:rPr>
        <w:t xml:space="preserve">(eds.)  (2016).  </w:t>
      </w:r>
      <w:r w:rsidR="00B70460" w:rsidRPr="0042566D">
        <w:rPr>
          <w:i/>
          <w:sz w:val="22"/>
          <w:szCs w:val="22"/>
        </w:rPr>
        <w:t xml:space="preserve">The status of UK SPAs in the 2000s: the third network review.  </w:t>
      </w:r>
      <w:r w:rsidR="00B70460" w:rsidRPr="0042566D">
        <w:rPr>
          <w:sz w:val="22"/>
          <w:szCs w:val="22"/>
        </w:rPr>
        <w:t>JNCC, Peterborough.</w:t>
      </w:r>
      <w:r w:rsidR="00ED6959" w:rsidRPr="0042566D">
        <w:rPr>
          <w:sz w:val="22"/>
          <w:szCs w:val="22"/>
        </w:rPr>
        <w:t xml:space="preserve">  </w:t>
      </w:r>
    </w:p>
    <w:p w:rsidR="00FC56F7" w:rsidRPr="0042566D" w:rsidRDefault="00FC56F7" w:rsidP="00FD1E16">
      <w:pPr>
        <w:ind w:left="1152" w:hanging="1152"/>
        <w:jc w:val="both"/>
        <w:rPr>
          <w:sz w:val="22"/>
          <w:szCs w:val="22"/>
        </w:rPr>
      </w:pPr>
    </w:p>
    <w:p w:rsidR="00DC0EDD" w:rsidRPr="0042566D" w:rsidRDefault="00DC0EDD" w:rsidP="00FD1E16">
      <w:pPr>
        <w:ind w:left="1152" w:hanging="1152"/>
        <w:jc w:val="both"/>
        <w:rPr>
          <w:sz w:val="22"/>
          <w:szCs w:val="22"/>
        </w:rPr>
      </w:pPr>
      <w:r w:rsidRPr="0042566D">
        <w:rPr>
          <w:sz w:val="22"/>
          <w:szCs w:val="22"/>
        </w:rPr>
        <w:t xml:space="preserve">Wetlands </w:t>
      </w:r>
      <w:proofErr w:type="gramStart"/>
      <w:r w:rsidRPr="0042566D">
        <w:rPr>
          <w:sz w:val="22"/>
          <w:szCs w:val="22"/>
        </w:rPr>
        <w:t>International</w:t>
      </w:r>
      <w:r w:rsidR="001B35BE" w:rsidRPr="0042566D">
        <w:rPr>
          <w:sz w:val="22"/>
          <w:szCs w:val="22"/>
        </w:rPr>
        <w:t xml:space="preserve"> </w:t>
      </w:r>
      <w:r w:rsidR="00ED6959" w:rsidRPr="0042566D">
        <w:rPr>
          <w:sz w:val="22"/>
          <w:szCs w:val="22"/>
        </w:rPr>
        <w:t xml:space="preserve"> 2015</w:t>
      </w:r>
      <w:proofErr w:type="gramEnd"/>
      <w:r w:rsidRPr="0042566D">
        <w:rPr>
          <w:sz w:val="22"/>
          <w:szCs w:val="22"/>
        </w:rPr>
        <w:t xml:space="preserve">.  </w:t>
      </w:r>
      <w:r w:rsidRPr="0042566D">
        <w:rPr>
          <w:i/>
          <w:sz w:val="22"/>
          <w:szCs w:val="22"/>
        </w:rPr>
        <w:t xml:space="preserve">Report on the Conservation Status of Migratory </w:t>
      </w:r>
      <w:proofErr w:type="spellStart"/>
      <w:r w:rsidRPr="0042566D">
        <w:rPr>
          <w:i/>
          <w:sz w:val="22"/>
          <w:szCs w:val="22"/>
        </w:rPr>
        <w:t>Waterbirds</w:t>
      </w:r>
      <w:proofErr w:type="spellEnd"/>
      <w:r w:rsidRPr="0042566D">
        <w:rPr>
          <w:i/>
          <w:sz w:val="22"/>
          <w:szCs w:val="22"/>
        </w:rPr>
        <w:t xml:space="preserve"> in the Agreement Area</w:t>
      </w:r>
      <w:r w:rsidR="00ED6959" w:rsidRPr="0042566D">
        <w:rPr>
          <w:sz w:val="22"/>
          <w:szCs w:val="22"/>
        </w:rPr>
        <w:t>.  Sixth</w:t>
      </w:r>
      <w:r w:rsidRPr="0042566D">
        <w:rPr>
          <w:sz w:val="22"/>
          <w:szCs w:val="22"/>
        </w:rPr>
        <w:t xml:space="preserve"> Edition.  Wetlands International.</w:t>
      </w:r>
      <w:r w:rsidR="007C4833" w:rsidRPr="0042566D">
        <w:rPr>
          <w:sz w:val="22"/>
          <w:szCs w:val="22"/>
        </w:rPr>
        <w:t xml:space="preserve">  Available at: </w:t>
      </w:r>
      <w:hyperlink r:id="rId12" w:history="1">
        <w:r w:rsidR="00732CCD" w:rsidRPr="0042566D">
          <w:rPr>
            <w:rStyle w:val="Hyperlink"/>
            <w:sz w:val="22"/>
            <w:szCs w:val="22"/>
          </w:rPr>
          <w:t>http://www.unep-aewa.org/sites/default/files/document/mop6_14_csr6_including%20annexes.pdf</w:t>
        </w:r>
      </w:hyperlink>
      <w:r w:rsidR="00732CCD" w:rsidRPr="0042566D">
        <w:rPr>
          <w:sz w:val="22"/>
          <w:szCs w:val="22"/>
        </w:rPr>
        <w:t xml:space="preserve"> </w:t>
      </w:r>
    </w:p>
    <w:p w:rsidR="00AF3ACE" w:rsidRPr="0042566D" w:rsidRDefault="00AF3ACE" w:rsidP="00FD1E16">
      <w:pPr>
        <w:ind w:left="1152" w:hanging="1152"/>
        <w:jc w:val="both"/>
        <w:rPr>
          <w:color w:val="000000" w:themeColor="text1"/>
          <w:sz w:val="22"/>
          <w:szCs w:val="22"/>
        </w:rPr>
      </w:pPr>
    </w:p>
    <w:p w:rsidR="00AF3ACE" w:rsidRPr="0042566D" w:rsidRDefault="00AF3ACE" w:rsidP="00FD1E16">
      <w:pPr>
        <w:ind w:left="1152" w:hanging="1152"/>
        <w:jc w:val="both"/>
        <w:rPr>
          <w:color w:val="000000" w:themeColor="text1"/>
          <w:sz w:val="22"/>
          <w:szCs w:val="22"/>
        </w:rPr>
      </w:pPr>
      <w:r w:rsidRPr="0042566D">
        <w:rPr>
          <w:color w:val="000000" w:themeColor="text1"/>
          <w:sz w:val="22"/>
          <w:szCs w:val="22"/>
        </w:rPr>
        <w:t xml:space="preserve">Wetlands </w:t>
      </w:r>
      <w:proofErr w:type="gramStart"/>
      <w:r w:rsidRPr="0042566D">
        <w:rPr>
          <w:color w:val="000000" w:themeColor="text1"/>
          <w:sz w:val="22"/>
          <w:szCs w:val="22"/>
        </w:rPr>
        <w:t>International  2014</w:t>
      </w:r>
      <w:proofErr w:type="gramEnd"/>
      <w:r w:rsidRPr="0042566D">
        <w:rPr>
          <w:color w:val="000000" w:themeColor="text1"/>
          <w:sz w:val="22"/>
          <w:szCs w:val="22"/>
        </w:rPr>
        <w:t xml:space="preserve">. </w:t>
      </w:r>
      <w:r w:rsidRPr="0042566D">
        <w:rPr>
          <w:i/>
          <w:iCs/>
          <w:color w:val="000000" w:themeColor="text1"/>
          <w:sz w:val="22"/>
          <w:szCs w:val="22"/>
        </w:rPr>
        <w:t xml:space="preserve"> </w:t>
      </w:r>
      <w:proofErr w:type="spellStart"/>
      <w:r w:rsidRPr="0042566D">
        <w:rPr>
          <w:i/>
          <w:iCs/>
          <w:color w:val="000000" w:themeColor="text1"/>
          <w:sz w:val="22"/>
          <w:szCs w:val="22"/>
        </w:rPr>
        <w:t>Waterbird</w:t>
      </w:r>
      <w:proofErr w:type="spellEnd"/>
      <w:r w:rsidRPr="0042566D">
        <w:rPr>
          <w:i/>
          <w:iCs/>
          <w:color w:val="000000" w:themeColor="text1"/>
          <w:sz w:val="22"/>
          <w:szCs w:val="22"/>
        </w:rPr>
        <w:t xml:space="preserve"> Population Estimates</w:t>
      </w:r>
      <w:r w:rsidRPr="0042566D">
        <w:rPr>
          <w:color w:val="000000" w:themeColor="text1"/>
          <w:sz w:val="22"/>
          <w:szCs w:val="22"/>
        </w:rPr>
        <w:t xml:space="preserve">.  Fifth edition. Available at </w:t>
      </w:r>
      <w:hyperlink r:id="rId13" w:history="1">
        <w:r w:rsidRPr="0042566D">
          <w:rPr>
            <w:rStyle w:val="Hyperlink"/>
            <w:sz w:val="22"/>
            <w:szCs w:val="22"/>
          </w:rPr>
          <w:t>wpe.wetlands.org</w:t>
        </w:r>
      </w:hyperlink>
    </w:p>
    <w:p w:rsidR="00DC0EDD" w:rsidRPr="0042566D" w:rsidRDefault="00DC0EDD" w:rsidP="00FD1E16">
      <w:pPr>
        <w:jc w:val="both"/>
        <w:rPr>
          <w:sz w:val="22"/>
          <w:szCs w:val="22"/>
        </w:rPr>
      </w:pPr>
    </w:p>
    <w:sectPr w:rsidR="00DC0EDD" w:rsidRPr="0042566D" w:rsidSect="00ED695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4B" w:rsidRDefault="00AC184B" w:rsidP="00DC0EDD">
      <w:r>
        <w:separator/>
      </w:r>
    </w:p>
  </w:endnote>
  <w:endnote w:type="continuationSeparator" w:id="0">
    <w:p w:rsidR="00AC184B" w:rsidRDefault="00AC184B" w:rsidP="00D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1F" w:rsidRDefault="002B571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67107"/>
      <w:docPartObj>
        <w:docPartGallery w:val="Page Numbers (Bottom of Page)"/>
        <w:docPartUnique/>
      </w:docPartObj>
    </w:sdtPr>
    <w:sdtEndPr>
      <w:rPr>
        <w:noProof/>
      </w:rPr>
    </w:sdtEndPr>
    <w:sdtContent>
      <w:p w:rsidR="002B571F" w:rsidRDefault="002B571F">
        <w:pPr>
          <w:pStyle w:val="Footer"/>
          <w:jc w:val="center"/>
        </w:pPr>
        <w:r>
          <w:fldChar w:fldCharType="begin"/>
        </w:r>
        <w:r>
          <w:instrText xml:space="preserve"> PAGE   \* MERGEFORMAT </w:instrText>
        </w:r>
        <w:r>
          <w:fldChar w:fldCharType="separate"/>
        </w:r>
        <w:r w:rsidR="00E13CCB">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4B" w:rsidRDefault="00AC184B" w:rsidP="00DC0EDD">
      <w:r>
        <w:separator/>
      </w:r>
    </w:p>
  </w:footnote>
  <w:footnote w:type="continuationSeparator" w:id="0">
    <w:p w:rsidR="00AC184B" w:rsidRDefault="00AC184B" w:rsidP="00DC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4A0" w:firstRow="1" w:lastRow="0" w:firstColumn="1" w:lastColumn="0" w:noHBand="0" w:noVBand="1"/>
    </w:tblPr>
    <w:tblGrid>
      <w:gridCol w:w="1809"/>
      <w:gridCol w:w="5953"/>
      <w:gridCol w:w="2092"/>
    </w:tblGrid>
    <w:tr w:rsidR="00E91AD5" w:rsidRPr="00E91AD5" w:rsidTr="00E91AD5">
      <w:trPr>
        <w:trHeight w:val="1264"/>
      </w:trPr>
      <w:tc>
        <w:tcPr>
          <w:tcW w:w="1809" w:type="dxa"/>
          <w:tcMar>
            <w:top w:w="0" w:type="dxa"/>
            <w:left w:w="108" w:type="dxa"/>
            <w:bottom w:w="0" w:type="dxa"/>
            <w:right w:w="108" w:type="dxa"/>
          </w:tcMar>
        </w:tcPr>
        <w:p w:rsidR="00E91AD5" w:rsidRPr="00E91AD5" w:rsidRDefault="00E91AD5" w:rsidP="00E91AD5">
          <w:pPr>
            <w:suppressAutoHyphens/>
            <w:autoSpaceDN w:val="0"/>
            <w:jc w:val="both"/>
            <w:rPr>
              <w:sz w:val="24"/>
              <w:szCs w:val="24"/>
              <w:lang w:eastAsia="en-US"/>
            </w:rPr>
          </w:pPr>
          <w:r w:rsidRPr="00E91AD5">
            <w:rPr>
              <w:noProof/>
              <w:sz w:val="24"/>
              <w:szCs w:val="24"/>
              <w:lang w:val="en-US" w:eastAsia="en-US"/>
            </w:rPr>
            <w:drawing>
              <wp:anchor distT="0" distB="0" distL="114300" distR="114300" simplePos="0" relativeHeight="251659264" behindDoc="0" locked="0" layoutInCell="1" allowOverlap="1" wp14:anchorId="36D30978" wp14:editId="591F1FD4">
                <wp:simplePos x="0" y="0"/>
                <wp:positionH relativeFrom="column">
                  <wp:posOffset>137160</wp:posOffset>
                </wp:positionH>
                <wp:positionV relativeFrom="paragraph">
                  <wp:posOffset>10795</wp:posOffset>
                </wp:positionV>
                <wp:extent cx="735965" cy="609600"/>
                <wp:effectExtent l="0" t="0" r="6985" b="0"/>
                <wp:wrapNone/>
                <wp:docPr id="7"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rsidR="00E91AD5" w:rsidRPr="00E91AD5" w:rsidRDefault="00E91AD5" w:rsidP="00E91AD5">
          <w:pPr>
            <w:suppressAutoHyphens/>
            <w:autoSpaceDN w:val="0"/>
            <w:jc w:val="both"/>
            <w:rPr>
              <w:sz w:val="24"/>
              <w:szCs w:val="24"/>
              <w:lang w:val="en-US" w:eastAsia="en-US"/>
            </w:rPr>
          </w:pPr>
        </w:p>
        <w:p w:rsidR="00E91AD5" w:rsidRPr="00E91AD5" w:rsidRDefault="00E91AD5" w:rsidP="00E91AD5">
          <w:pPr>
            <w:suppressAutoHyphens/>
            <w:autoSpaceDN w:val="0"/>
            <w:jc w:val="both"/>
            <w:rPr>
              <w:sz w:val="24"/>
              <w:szCs w:val="24"/>
              <w:lang w:val="en-US" w:eastAsia="en-US"/>
            </w:rPr>
          </w:pPr>
        </w:p>
        <w:p w:rsidR="00E91AD5" w:rsidRPr="00E91AD5" w:rsidRDefault="00E91AD5" w:rsidP="00E91AD5">
          <w:pPr>
            <w:suppressAutoHyphens/>
            <w:autoSpaceDN w:val="0"/>
            <w:jc w:val="both"/>
            <w:rPr>
              <w:sz w:val="24"/>
              <w:szCs w:val="24"/>
              <w:lang w:val="en-US" w:eastAsia="en-US"/>
            </w:rPr>
          </w:pPr>
        </w:p>
      </w:tc>
      <w:tc>
        <w:tcPr>
          <w:tcW w:w="5953" w:type="dxa"/>
          <w:tcMar>
            <w:top w:w="0" w:type="dxa"/>
            <w:left w:w="108" w:type="dxa"/>
            <w:bottom w:w="0" w:type="dxa"/>
            <w:right w:w="108" w:type="dxa"/>
          </w:tcMar>
        </w:tcPr>
        <w:p w:rsidR="00E91AD5" w:rsidRPr="00E91AD5" w:rsidRDefault="00E91AD5" w:rsidP="00E91AD5">
          <w:pPr>
            <w:tabs>
              <w:tab w:val="left" w:pos="-720"/>
            </w:tabs>
            <w:suppressAutoHyphens/>
            <w:autoSpaceDN w:val="0"/>
            <w:jc w:val="center"/>
            <w:rPr>
              <w:i/>
              <w:kern w:val="3"/>
              <w:sz w:val="24"/>
              <w:szCs w:val="24"/>
              <w:lang w:val="en-US" w:eastAsia="en-US"/>
            </w:rPr>
          </w:pPr>
          <w:r w:rsidRPr="00E91AD5">
            <w:rPr>
              <w:i/>
              <w:kern w:val="3"/>
              <w:sz w:val="22"/>
              <w:szCs w:val="22"/>
              <w:lang w:val="en-US" w:eastAsia="en-US"/>
            </w:rPr>
            <w:t xml:space="preserve">AGREEMENT ON THE CONSERVATION OF </w:t>
          </w:r>
        </w:p>
        <w:p w:rsidR="00E91AD5" w:rsidRPr="00E91AD5" w:rsidRDefault="00E91AD5" w:rsidP="00E91AD5">
          <w:pPr>
            <w:tabs>
              <w:tab w:val="left" w:pos="-720"/>
            </w:tabs>
            <w:suppressAutoHyphens/>
            <w:autoSpaceDN w:val="0"/>
            <w:jc w:val="center"/>
            <w:rPr>
              <w:i/>
              <w:kern w:val="3"/>
              <w:sz w:val="24"/>
              <w:szCs w:val="24"/>
              <w:lang w:val="en-US" w:eastAsia="en-US"/>
            </w:rPr>
          </w:pPr>
          <w:r w:rsidRPr="00E91AD5">
            <w:rPr>
              <w:i/>
              <w:kern w:val="3"/>
              <w:sz w:val="22"/>
              <w:szCs w:val="22"/>
              <w:lang w:val="en-US" w:eastAsia="en-US"/>
            </w:rPr>
            <w:t xml:space="preserve">AFRICAN-EURASIAN MIGRATORY WATERBIRDS           </w:t>
          </w:r>
        </w:p>
        <w:p w:rsidR="00E91AD5" w:rsidRPr="00E91AD5" w:rsidRDefault="00E91AD5" w:rsidP="00E91AD5">
          <w:pPr>
            <w:tabs>
              <w:tab w:val="left" w:pos="-720"/>
            </w:tabs>
            <w:suppressAutoHyphens/>
            <w:autoSpaceDN w:val="0"/>
            <w:jc w:val="center"/>
            <w:rPr>
              <w:rFonts w:ascii="Arial" w:hAnsi="Arial" w:cs="Arial"/>
              <w:i/>
              <w:kern w:val="3"/>
              <w:lang w:val="en-US" w:eastAsia="en-US"/>
            </w:rPr>
          </w:pPr>
        </w:p>
        <w:p w:rsidR="00E91AD5" w:rsidRPr="00E91AD5" w:rsidRDefault="00E91AD5" w:rsidP="00E91AD5">
          <w:pPr>
            <w:suppressAutoHyphens/>
            <w:autoSpaceDN w:val="0"/>
            <w:jc w:val="both"/>
            <w:rPr>
              <w:i/>
              <w:sz w:val="24"/>
              <w:szCs w:val="24"/>
              <w:lang w:val="en-US" w:eastAsia="en-US"/>
            </w:rPr>
          </w:pPr>
        </w:p>
      </w:tc>
      <w:tc>
        <w:tcPr>
          <w:tcW w:w="2092" w:type="dxa"/>
          <w:tcMar>
            <w:top w:w="0" w:type="dxa"/>
            <w:left w:w="108" w:type="dxa"/>
            <w:bottom w:w="0" w:type="dxa"/>
            <w:right w:w="108" w:type="dxa"/>
          </w:tcMar>
        </w:tcPr>
        <w:p w:rsidR="00E91AD5" w:rsidRPr="00E91AD5" w:rsidRDefault="00E91AD5" w:rsidP="00E91AD5">
          <w:pPr>
            <w:suppressAutoHyphens/>
            <w:autoSpaceDN w:val="0"/>
            <w:ind w:hanging="108"/>
            <w:jc w:val="right"/>
            <w:rPr>
              <w:i/>
              <w:lang w:val="pt-PT" w:eastAsia="en-US"/>
            </w:rPr>
          </w:pPr>
          <w:r w:rsidRPr="00E91AD5">
            <w:rPr>
              <w:i/>
              <w:lang w:val="pt-PT" w:eastAsia="en-US"/>
            </w:rPr>
            <w:t>Doc TC13.</w:t>
          </w:r>
          <w:r>
            <w:rPr>
              <w:i/>
              <w:lang w:val="pt-PT" w:eastAsia="en-US"/>
            </w:rPr>
            <w:t>9</w:t>
          </w:r>
          <w:r w:rsidRPr="00E91AD5">
            <w:rPr>
              <w:i/>
              <w:lang w:val="pt-PT" w:eastAsia="en-US"/>
            </w:rPr>
            <w:t xml:space="preserve"> </w:t>
          </w:r>
        </w:p>
        <w:p w:rsidR="00E91AD5" w:rsidRPr="00E91AD5" w:rsidRDefault="00E91AD5" w:rsidP="00E91AD5">
          <w:pPr>
            <w:suppressAutoHyphens/>
            <w:autoSpaceDN w:val="0"/>
            <w:ind w:hanging="108"/>
            <w:jc w:val="right"/>
            <w:rPr>
              <w:i/>
              <w:lang w:val="pt-PT" w:eastAsia="en-US"/>
            </w:rPr>
          </w:pPr>
          <w:r w:rsidRPr="00E91AD5">
            <w:rPr>
              <w:i/>
              <w:lang w:val="pt-PT" w:eastAsia="en-US"/>
            </w:rPr>
            <w:t>Agenda item</w:t>
          </w:r>
          <w:r>
            <w:rPr>
              <w:i/>
              <w:lang w:val="pt-PT" w:eastAsia="en-US"/>
            </w:rPr>
            <w:t xml:space="preserve"> 9.1</w:t>
          </w:r>
          <w:r w:rsidRPr="00E91AD5">
            <w:rPr>
              <w:i/>
              <w:lang w:val="pt-PT" w:eastAsia="en-US"/>
            </w:rPr>
            <w:t xml:space="preserve"> </w:t>
          </w:r>
        </w:p>
        <w:p w:rsidR="00E91AD5" w:rsidRPr="00E91AD5" w:rsidRDefault="00E91AD5" w:rsidP="00E91AD5">
          <w:pPr>
            <w:suppressAutoHyphens/>
            <w:autoSpaceDN w:val="0"/>
            <w:ind w:hanging="108"/>
            <w:jc w:val="right"/>
            <w:rPr>
              <w:i/>
              <w:lang w:val="pt-PT" w:eastAsia="en-US"/>
            </w:rPr>
          </w:pPr>
          <w:r>
            <w:rPr>
              <w:i/>
              <w:lang w:val="pt-PT" w:eastAsia="en-US"/>
            </w:rPr>
            <w:t>4 February 2016</w:t>
          </w:r>
        </w:p>
        <w:p w:rsidR="00E91AD5" w:rsidRPr="00E91AD5" w:rsidRDefault="00E91AD5" w:rsidP="00E91AD5">
          <w:pPr>
            <w:suppressAutoHyphens/>
            <w:autoSpaceDN w:val="0"/>
            <w:jc w:val="right"/>
            <w:rPr>
              <w:i/>
              <w:lang w:val="pt-PT" w:eastAsia="en-US"/>
            </w:rPr>
          </w:pPr>
        </w:p>
      </w:tc>
    </w:tr>
    <w:tr w:rsidR="00E91AD5" w:rsidRPr="00E91AD5" w:rsidTr="00E91AD5">
      <w:tc>
        <w:tcPr>
          <w:tcW w:w="9854" w:type="dxa"/>
          <w:gridSpan w:val="3"/>
          <w:tcBorders>
            <w:top w:val="nil"/>
            <w:left w:val="nil"/>
            <w:bottom w:val="single" w:sz="4" w:space="0" w:color="000000"/>
            <w:right w:val="nil"/>
          </w:tcBorders>
          <w:tcMar>
            <w:top w:w="0" w:type="dxa"/>
            <w:left w:w="108" w:type="dxa"/>
            <w:bottom w:w="0" w:type="dxa"/>
            <w:right w:w="108" w:type="dxa"/>
          </w:tcMar>
        </w:tcPr>
        <w:p w:rsidR="00E91AD5" w:rsidRPr="00E91AD5" w:rsidRDefault="00E91AD5" w:rsidP="00E91AD5">
          <w:pPr>
            <w:suppressAutoHyphens/>
            <w:autoSpaceDN w:val="0"/>
            <w:jc w:val="center"/>
            <w:rPr>
              <w:sz w:val="24"/>
              <w:szCs w:val="24"/>
              <w:lang w:eastAsia="en-US"/>
            </w:rPr>
          </w:pPr>
          <w:r w:rsidRPr="00E91AD5">
            <w:rPr>
              <w:b/>
              <w:sz w:val="24"/>
              <w:szCs w:val="24"/>
              <w:lang w:val="en-US" w:eastAsia="en-US"/>
            </w:rPr>
            <w:t>13</w:t>
          </w:r>
          <w:r w:rsidRPr="00E91AD5">
            <w:rPr>
              <w:b/>
              <w:sz w:val="24"/>
              <w:szCs w:val="24"/>
              <w:vertAlign w:val="superscript"/>
              <w:lang w:val="en-US" w:eastAsia="en-US"/>
            </w:rPr>
            <w:t>th</w:t>
          </w:r>
          <w:r w:rsidRPr="00E91AD5">
            <w:rPr>
              <w:b/>
              <w:sz w:val="24"/>
              <w:szCs w:val="24"/>
              <w:lang w:val="en-US" w:eastAsia="en-US"/>
            </w:rPr>
            <w:t xml:space="preserve"> MEETING OF THE TECHNICAL COMMITTEE</w:t>
          </w:r>
        </w:p>
        <w:p w:rsidR="00E91AD5" w:rsidRPr="00E91AD5" w:rsidRDefault="00E91AD5" w:rsidP="00E91AD5">
          <w:pPr>
            <w:suppressAutoHyphens/>
            <w:autoSpaceDN w:val="0"/>
            <w:jc w:val="center"/>
            <w:rPr>
              <w:i/>
              <w:sz w:val="24"/>
              <w:szCs w:val="24"/>
              <w:lang w:val="en-US" w:eastAsia="en-US"/>
            </w:rPr>
          </w:pPr>
          <w:r w:rsidRPr="00E91AD5">
            <w:rPr>
              <w:i/>
              <w:sz w:val="22"/>
              <w:szCs w:val="22"/>
              <w:lang w:eastAsia="en-US"/>
            </w:rPr>
            <w:t>14 – 17 March 2016, Israel</w:t>
          </w:r>
        </w:p>
        <w:p w:rsidR="00E91AD5" w:rsidRPr="00E91AD5" w:rsidRDefault="00E91AD5" w:rsidP="00E91AD5">
          <w:pPr>
            <w:suppressAutoHyphens/>
            <w:autoSpaceDN w:val="0"/>
            <w:jc w:val="both"/>
            <w:rPr>
              <w:sz w:val="24"/>
              <w:szCs w:val="24"/>
              <w:u w:val="single"/>
              <w:lang w:val="en-US" w:eastAsia="en-US"/>
            </w:rPr>
          </w:pPr>
        </w:p>
      </w:tc>
    </w:tr>
  </w:tbl>
  <w:p w:rsidR="002B571F" w:rsidRDefault="002B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1F" w:rsidRDefault="002B5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75B"/>
    <w:multiLevelType w:val="hybridMultilevel"/>
    <w:tmpl w:val="D214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D42BB"/>
    <w:multiLevelType w:val="hybridMultilevel"/>
    <w:tmpl w:val="74345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44766"/>
    <w:multiLevelType w:val="hybridMultilevel"/>
    <w:tmpl w:val="75FC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74D0E"/>
    <w:multiLevelType w:val="hybridMultilevel"/>
    <w:tmpl w:val="98CC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47898"/>
    <w:multiLevelType w:val="hybridMultilevel"/>
    <w:tmpl w:val="22440B44"/>
    <w:lvl w:ilvl="0" w:tplc="DF8C7B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C599C"/>
    <w:multiLevelType w:val="hybridMultilevel"/>
    <w:tmpl w:val="6270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DD"/>
    <w:rsid w:val="000146A2"/>
    <w:rsid w:val="0001735C"/>
    <w:rsid w:val="00025BA2"/>
    <w:rsid w:val="00035CCA"/>
    <w:rsid w:val="00053617"/>
    <w:rsid w:val="00086EC9"/>
    <w:rsid w:val="00096881"/>
    <w:rsid w:val="000A6D5B"/>
    <w:rsid w:val="000B243C"/>
    <w:rsid w:val="0010071B"/>
    <w:rsid w:val="00111256"/>
    <w:rsid w:val="00111751"/>
    <w:rsid w:val="001200A5"/>
    <w:rsid w:val="00130B0A"/>
    <w:rsid w:val="001378BF"/>
    <w:rsid w:val="00144C27"/>
    <w:rsid w:val="00161DC4"/>
    <w:rsid w:val="00171A73"/>
    <w:rsid w:val="00181413"/>
    <w:rsid w:val="00196F65"/>
    <w:rsid w:val="001B35BE"/>
    <w:rsid w:val="001E21AB"/>
    <w:rsid w:val="00205F3E"/>
    <w:rsid w:val="00224EB1"/>
    <w:rsid w:val="0022754B"/>
    <w:rsid w:val="00240F87"/>
    <w:rsid w:val="00256C90"/>
    <w:rsid w:val="00257DC0"/>
    <w:rsid w:val="00270560"/>
    <w:rsid w:val="0028195C"/>
    <w:rsid w:val="002B317E"/>
    <w:rsid w:val="002B571F"/>
    <w:rsid w:val="002C14C5"/>
    <w:rsid w:val="003070BC"/>
    <w:rsid w:val="00310DD7"/>
    <w:rsid w:val="003221BD"/>
    <w:rsid w:val="003C1675"/>
    <w:rsid w:val="003C37C9"/>
    <w:rsid w:val="003C4B3C"/>
    <w:rsid w:val="003F4319"/>
    <w:rsid w:val="003F4E01"/>
    <w:rsid w:val="003F7734"/>
    <w:rsid w:val="00415CFC"/>
    <w:rsid w:val="0042566D"/>
    <w:rsid w:val="00446A41"/>
    <w:rsid w:val="0048344E"/>
    <w:rsid w:val="004A63E1"/>
    <w:rsid w:val="004D0C47"/>
    <w:rsid w:val="004F2474"/>
    <w:rsid w:val="005316F7"/>
    <w:rsid w:val="00550DF9"/>
    <w:rsid w:val="0055290B"/>
    <w:rsid w:val="00565152"/>
    <w:rsid w:val="00577B1A"/>
    <w:rsid w:val="005B5466"/>
    <w:rsid w:val="005E4B2B"/>
    <w:rsid w:val="005E5AA6"/>
    <w:rsid w:val="005F43FF"/>
    <w:rsid w:val="00602E05"/>
    <w:rsid w:val="0063501F"/>
    <w:rsid w:val="006379F7"/>
    <w:rsid w:val="006416E5"/>
    <w:rsid w:val="00656C95"/>
    <w:rsid w:val="00683E0E"/>
    <w:rsid w:val="00693D2E"/>
    <w:rsid w:val="006A5265"/>
    <w:rsid w:val="006B2AF4"/>
    <w:rsid w:val="006C356B"/>
    <w:rsid w:val="006C3EE5"/>
    <w:rsid w:val="006D498C"/>
    <w:rsid w:val="006E2823"/>
    <w:rsid w:val="007021E3"/>
    <w:rsid w:val="007040E0"/>
    <w:rsid w:val="007221B1"/>
    <w:rsid w:val="00732CCD"/>
    <w:rsid w:val="0073756A"/>
    <w:rsid w:val="00755F5A"/>
    <w:rsid w:val="00777641"/>
    <w:rsid w:val="007B6EBE"/>
    <w:rsid w:val="007C049D"/>
    <w:rsid w:val="007C201B"/>
    <w:rsid w:val="007C4833"/>
    <w:rsid w:val="007C5CEA"/>
    <w:rsid w:val="007D19F2"/>
    <w:rsid w:val="007E79A3"/>
    <w:rsid w:val="007F56EC"/>
    <w:rsid w:val="00813006"/>
    <w:rsid w:val="00832ADE"/>
    <w:rsid w:val="008579C6"/>
    <w:rsid w:val="008839DF"/>
    <w:rsid w:val="00887ABD"/>
    <w:rsid w:val="008C18BE"/>
    <w:rsid w:val="008E681E"/>
    <w:rsid w:val="009138E3"/>
    <w:rsid w:val="009E470D"/>
    <w:rsid w:val="00A009B6"/>
    <w:rsid w:val="00A02492"/>
    <w:rsid w:val="00A22566"/>
    <w:rsid w:val="00A4132C"/>
    <w:rsid w:val="00A41C05"/>
    <w:rsid w:val="00A7655D"/>
    <w:rsid w:val="00A81BA1"/>
    <w:rsid w:val="00A8250A"/>
    <w:rsid w:val="00AC184B"/>
    <w:rsid w:val="00AC7DD6"/>
    <w:rsid w:val="00AF3ACE"/>
    <w:rsid w:val="00B0405D"/>
    <w:rsid w:val="00B11029"/>
    <w:rsid w:val="00B70460"/>
    <w:rsid w:val="00B84CB6"/>
    <w:rsid w:val="00BA303A"/>
    <w:rsid w:val="00BB309B"/>
    <w:rsid w:val="00BE51E7"/>
    <w:rsid w:val="00BE52EF"/>
    <w:rsid w:val="00C01DDB"/>
    <w:rsid w:val="00C10713"/>
    <w:rsid w:val="00C13B6C"/>
    <w:rsid w:val="00C26EAF"/>
    <w:rsid w:val="00C62382"/>
    <w:rsid w:val="00C662CA"/>
    <w:rsid w:val="00C724F9"/>
    <w:rsid w:val="00C765B9"/>
    <w:rsid w:val="00C80082"/>
    <w:rsid w:val="00C93BC5"/>
    <w:rsid w:val="00CA2D85"/>
    <w:rsid w:val="00D14BDD"/>
    <w:rsid w:val="00D167F8"/>
    <w:rsid w:val="00D1694D"/>
    <w:rsid w:val="00D23D04"/>
    <w:rsid w:val="00D65D8D"/>
    <w:rsid w:val="00DA5638"/>
    <w:rsid w:val="00DB2FE0"/>
    <w:rsid w:val="00DC0EDD"/>
    <w:rsid w:val="00DD1948"/>
    <w:rsid w:val="00DE334C"/>
    <w:rsid w:val="00DE4346"/>
    <w:rsid w:val="00E13CCB"/>
    <w:rsid w:val="00E22997"/>
    <w:rsid w:val="00E56428"/>
    <w:rsid w:val="00E91AD5"/>
    <w:rsid w:val="00EC6CB1"/>
    <w:rsid w:val="00ED6959"/>
    <w:rsid w:val="00EE30B2"/>
    <w:rsid w:val="00EF49BE"/>
    <w:rsid w:val="00F00333"/>
    <w:rsid w:val="00F16CCF"/>
    <w:rsid w:val="00F24668"/>
    <w:rsid w:val="00F36E46"/>
    <w:rsid w:val="00F41C3D"/>
    <w:rsid w:val="00F606DF"/>
    <w:rsid w:val="00F85684"/>
    <w:rsid w:val="00F96486"/>
    <w:rsid w:val="00FC56F7"/>
    <w:rsid w:val="00FD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8C253-12BA-40B5-9884-F53B5180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EDD"/>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DC0EDD"/>
    <w:pPr>
      <w:keepNext/>
      <w:shd w:val="pct12" w:color="auto" w:fill="FFFFFF"/>
      <w:outlineLvl w:val="1"/>
    </w:pPr>
    <w:rPr>
      <w:rFonts w:ascii="Arial" w:hAnsi="Arial"/>
      <w:b/>
      <w:sz w:val="22"/>
    </w:rPr>
  </w:style>
  <w:style w:type="paragraph" w:styleId="Heading3">
    <w:name w:val="heading 3"/>
    <w:basedOn w:val="Normal"/>
    <w:next w:val="Normal"/>
    <w:link w:val="Heading3Char"/>
    <w:qFormat/>
    <w:rsid w:val="00DC0EDD"/>
    <w:pPr>
      <w:keepNext/>
      <w:outlineLvl w:val="2"/>
    </w:pPr>
    <w:rPr>
      <w:rFonts w:ascii="Arial" w:hAnsi="Arial"/>
      <w:b/>
      <w:sz w:val="28"/>
    </w:rPr>
  </w:style>
  <w:style w:type="paragraph" w:styleId="Heading9">
    <w:name w:val="heading 9"/>
    <w:basedOn w:val="Normal"/>
    <w:next w:val="Normal"/>
    <w:link w:val="Heading9Char"/>
    <w:unhideWhenUsed/>
    <w:qFormat/>
    <w:rsid w:val="007221B1"/>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0EDD"/>
    <w:rPr>
      <w:rFonts w:ascii="Arial" w:eastAsia="Times New Roman" w:hAnsi="Arial" w:cs="Times New Roman"/>
      <w:b/>
      <w:szCs w:val="20"/>
      <w:shd w:val="pct12" w:color="auto" w:fill="FFFFFF"/>
      <w:lang w:eastAsia="en-GB"/>
    </w:rPr>
  </w:style>
  <w:style w:type="character" w:customStyle="1" w:styleId="Heading3Char">
    <w:name w:val="Heading 3 Char"/>
    <w:basedOn w:val="DefaultParagraphFont"/>
    <w:link w:val="Heading3"/>
    <w:rsid w:val="00DC0EDD"/>
    <w:rPr>
      <w:rFonts w:ascii="Arial" w:eastAsia="Times New Roman" w:hAnsi="Arial" w:cs="Times New Roman"/>
      <w:b/>
      <w:sz w:val="28"/>
      <w:szCs w:val="20"/>
      <w:lang w:eastAsia="en-GB"/>
    </w:rPr>
  </w:style>
  <w:style w:type="paragraph" w:styleId="Title">
    <w:name w:val="Title"/>
    <w:basedOn w:val="Normal"/>
    <w:link w:val="TitleChar"/>
    <w:qFormat/>
    <w:rsid w:val="00DC0EDD"/>
    <w:pPr>
      <w:jc w:val="center"/>
    </w:pPr>
    <w:rPr>
      <w:b/>
      <w:sz w:val="28"/>
      <w:u w:val="single"/>
    </w:rPr>
  </w:style>
  <w:style w:type="character" w:customStyle="1" w:styleId="TitleChar">
    <w:name w:val="Title Char"/>
    <w:basedOn w:val="DefaultParagraphFont"/>
    <w:link w:val="Title"/>
    <w:rsid w:val="00DC0EDD"/>
    <w:rPr>
      <w:rFonts w:ascii="Times New Roman" w:eastAsia="Times New Roman" w:hAnsi="Times New Roman" w:cs="Times New Roman"/>
      <w:b/>
      <w:sz w:val="28"/>
      <w:szCs w:val="20"/>
      <w:u w:val="single"/>
      <w:lang w:eastAsia="en-GB"/>
    </w:rPr>
  </w:style>
  <w:style w:type="paragraph" w:styleId="Header">
    <w:name w:val="header"/>
    <w:basedOn w:val="Normal"/>
    <w:link w:val="HeaderChar"/>
    <w:uiPriority w:val="99"/>
    <w:unhideWhenUsed/>
    <w:rsid w:val="00DC0EDD"/>
    <w:pPr>
      <w:tabs>
        <w:tab w:val="center" w:pos="4513"/>
        <w:tab w:val="right" w:pos="9026"/>
      </w:tabs>
    </w:pPr>
  </w:style>
  <w:style w:type="character" w:customStyle="1" w:styleId="HeaderChar">
    <w:name w:val="Header Char"/>
    <w:basedOn w:val="DefaultParagraphFont"/>
    <w:link w:val="Header"/>
    <w:uiPriority w:val="99"/>
    <w:rsid w:val="00DC0ED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C0EDD"/>
    <w:pPr>
      <w:tabs>
        <w:tab w:val="center" w:pos="4513"/>
        <w:tab w:val="right" w:pos="9026"/>
      </w:tabs>
    </w:pPr>
  </w:style>
  <w:style w:type="character" w:customStyle="1" w:styleId="FooterChar">
    <w:name w:val="Footer Char"/>
    <w:basedOn w:val="DefaultParagraphFont"/>
    <w:link w:val="Footer"/>
    <w:uiPriority w:val="99"/>
    <w:rsid w:val="00DC0EDD"/>
    <w:rPr>
      <w:rFonts w:ascii="Times New Roman" w:eastAsia="Times New Roman" w:hAnsi="Times New Roman" w:cs="Times New Roman"/>
      <w:sz w:val="20"/>
      <w:szCs w:val="20"/>
      <w:lang w:eastAsia="en-GB"/>
    </w:rPr>
  </w:style>
  <w:style w:type="character" w:styleId="Hyperlink">
    <w:name w:val="Hyperlink"/>
    <w:basedOn w:val="DefaultParagraphFont"/>
    <w:rsid w:val="007E79A3"/>
    <w:rPr>
      <w:color w:val="0000FF"/>
      <w:u w:val="single"/>
    </w:rPr>
  </w:style>
  <w:style w:type="paragraph" w:styleId="BalloonText">
    <w:name w:val="Balloon Text"/>
    <w:basedOn w:val="Normal"/>
    <w:link w:val="BalloonTextChar"/>
    <w:uiPriority w:val="99"/>
    <w:semiHidden/>
    <w:unhideWhenUsed/>
    <w:rsid w:val="00A22566"/>
    <w:rPr>
      <w:rFonts w:ascii="Tahoma" w:hAnsi="Tahoma" w:cs="Tahoma"/>
      <w:sz w:val="16"/>
      <w:szCs w:val="16"/>
    </w:rPr>
  </w:style>
  <w:style w:type="character" w:customStyle="1" w:styleId="BalloonTextChar">
    <w:name w:val="Balloon Text Char"/>
    <w:basedOn w:val="DefaultParagraphFont"/>
    <w:link w:val="BalloonText"/>
    <w:uiPriority w:val="99"/>
    <w:semiHidden/>
    <w:rsid w:val="00A2256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C4833"/>
    <w:rPr>
      <w:color w:val="800080" w:themeColor="followedHyperlink"/>
      <w:u w:val="single"/>
    </w:rPr>
  </w:style>
  <w:style w:type="character" w:customStyle="1" w:styleId="Heading9Char">
    <w:name w:val="Heading 9 Char"/>
    <w:basedOn w:val="DefaultParagraphFont"/>
    <w:link w:val="Heading9"/>
    <w:rsid w:val="007221B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C4B3C"/>
    <w:rPr>
      <w:i/>
      <w:iCs/>
    </w:rPr>
  </w:style>
  <w:style w:type="table" w:styleId="TableGrid">
    <w:name w:val="Table Grid"/>
    <w:basedOn w:val="TableNormal"/>
    <w:uiPriority w:val="59"/>
    <w:rsid w:val="00C9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AF4"/>
    <w:pPr>
      <w:ind w:left="720"/>
      <w:contextualSpacing/>
    </w:pPr>
  </w:style>
  <w:style w:type="character" w:styleId="CommentReference">
    <w:name w:val="annotation reference"/>
    <w:basedOn w:val="DefaultParagraphFont"/>
    <w:uiPriority w:val="99"/>
    <w:semiHidden/>
    <w:unhideWhenUsed/>
    <w:rsid w:val="00240F87"/>
    <w:rPr>
      <w:sz w:val="16"/>
      <w:szCs w:val="16"/>
    </w:rPr>
  </w:style>
  <w:style w:type="paragraph" w:styleId="CommentText">
    <w:name w:val="annotation text"/>
    <w:basedOn w:val="Normal"/>
    <w:link w:val="CommentTextChar"/>
    <w:uiPriority w:val="99"/>
    <w:semiHidden/>
    <w:unhideWhenUsed/>
    <w:rsid w:val="00240F87"/>
  </w:style>
  <w:style w:type="character" w:customStyle="1" w:styleId="CommentTextChar">
    <w:name w:val="Comment Text Char"/>
    <w:basedOn w:val="DefaultParagraphFont"/>
    <w:link w:val="CommentText"/>
    <w:uiPriority w:val="99"/>
    <w:semiHidden/>
    <w:rsid w:val="00240F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0F87"/>
    <w:rPr>
      <w:b/>
      <w:bCs/>
    </w:rPr>
  </w:style>
  <w:style w:type="character" w:customStyle="1" w:styleId="CommentSubjectChar">
    <w:name w:val="Comment Subject Char"/>
    <w:basedOn w:val="CommentTextChar"/>
    <w:link w:val="CommentSubject"/>
    <w:uiPriority w:val="99"/>
    <w:semiHidden/>
    <w:rsid w:val="00240F8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semiHidden/>
    <w:rsid w:val="007C049D"/>
    <w:rPr>
      <w:rFonts w:eastAsia="Calibri"/>
    </w:rPr>
  </w:style>
  <w:style w:type="character" w:customStyle="1" w:styleId="FootnoteTextChar">
    <w:name w:val="Footnote Text Char"/>
    <w:basedOn w:val="DefaultParagraphFont"/>
    <w:link w:val="FootnoteText"/>
    <w:semiHidden/>
    <w:rsid w:val="007C049D"/>
    <w:rPr>
      <w:rFonts w:ascii="Times New Roman" w:eastAsia="Calibri" w:hAnsi="Times New Roman" w:cs="Times New Roman"/>
      <w:sz w:val="20"/>
      <w:szCs w:val="20"/>
    </w:rPr>
  </w:style>
  <w:style w:type="paragraph" w:styleId="Revision">
    <w:name w:val="Revision"/>
    <w:hidden/>
    <w:uiPriority w:val="99"/>
    <w:semiHidden/>
    <w:rsid w:val="00E91AD5"/>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695">
      <w:bodyDiv w:val="1"/>
      <w:marLeft w:val="0"/>
      <w:marRight w:val="0"/>
      <w:marTop w:val="0"/>
      <w:marBottom w:val="0"/>
      <w:divBdr>
        <w:top w:val="none" w:sz="0" w:space="0" w:color="auto"/>
        <w:left w:val="none" w:sz="0" w:space="0" w:color="auto"/>
        <w:bottom w:val="none" w:sz="0" w:space="0" w:color="auto"/>
        <w:right w:val="none" w:sz="0" w:space="0" w:color="auto"/>
      </w:divBdr>
    </w:div>
    <w:div w:id="170067492">
      <w:bodyDiv w:val="1"/>
      <w:marLeft w:val="0"/>
      <w:marRight w:val="0"/>
      <w:marTop w:val="0"/>
      <w:marBottom w:val="0"/>
      <w:divBdr>
        <w:top w:val="none" w:sz="0" w:space="0" w:color="auto"/>
        <w:left w:val="none" w:sz="0" w:space="0" w:color="auto"/>
        <w:bottom w:val="none" w:sz="0" w:space="0" w:color="auto"/>
        <w:right w:val="none" w:sz="0" w:space="0" w:color="auto"/>
      </w:divBdr>
    </w:div>
    <w:div w:id="336805770">
      <w:bodyDiv w:val="1"/>
      <w:marLeft w:val="0"/>
      <w:marRight w:val="0"/>
      <w:marTop w:val="0"/>
      <w:marBottom w:val="0"/>
      <w:divBdr>
        <w:top w:val="none" w:sz="0" w:space="0" w:color="auto"/>
        <w:left w:val="none" w:sz="0" w:space="0" w:color="auto"/>
        <w:bottom w:val="none" w:sz="0" w:space="0" w:color="auto"/>
        <w:right w:val="none" w:sz="0" w:space="0" w:color="auto"/>
      </w:divBdr>
    </w:div>
    <w:div w:id="490878668">
      <w:bodyDiv w:val="1"/>
      <w:marLeft w:val="0"/>
      <w:marRight w:val="0"/>
      <w:marTop w:val="0"/>
      <w:marBottom w:val="0"/>
      <w:divBdr>
        <w:top w:val="none" w:sz="0" w:space="0" w:color="auto"/>
        <w:left w:val="none" w:sz="0" w:space="0" w:color="auto"/>
        <w:bottom w:val="none" w:sz="0" w:space="0" w:color="auto"/>
        <w:right w:val="none" w:sz="0" w:space="0" w:color="auto"/>
      </w:divBdr>
    </w:div>
    <w:div w:id="544415467">
      <w:bodyDiv w:val="1"/>
      <w:marLeft w:val="0"/>
      <w:marRight w:val="0"/>
      <w:marTop w:val="0"/>
      <w:marBottom w:val="0"/>
      <w:divBdr>
        <w:top w:val="none" w:sz="0" w:space="0" w:color="auto"/>
        <w:left w:val="none" w:sz="0" w:space="0" w:color="auto"/>
        <w:bottom w:val="none" w:sz="0" w:space="0" w:color="auto"/>
        <w:right w:val="none" w:sz="0" w:space="0" w:color="auto"/>
      </w:divBdr>
    </w:div>
    <w:div w:id="563687648">
      <w:bodyDiv w:val="1"/>
      <w:marLeft w:val="0"/>
      <w:marRight w:val="0"/>
      <w:marTop w:val="0"/>
      <w:marBottom w:val="0"/>
      <w:divBdr>
        <w:top w:val="none" w:sz="0" w:space="0" w:color="auto"/>
        <w:left w:val="none" w:sz="0" w:space="0" w:color="auto"/>
        <w:bottom w:val="none" w:sz="0" w:space="0" w:color="auto"/>
        <w:right w:val="none" w:sz="0" w:space="0" w:color="auto"/>
      </w:divBdr>
    </w:div>
    <w:div w:id="680670494">
      <w:bodyDiv w:val="1"/>
      <w:marLeft w:val="0"/>
      <w:marRight w:val="0"/>
      <w:marTop w:val="0"/>
      <w:marBottom w:val="0"/>
      <w:divBdr>
        <w:top w:val="none" w:sz="0" w:space="0" w:color="auto"/>
        <w:left w:val="none" w:sz="0" w:space="0" w:color="auto"/>
        <w:bottom w:val="none" w:sz="0" w:space="0" w:color="auto"/>
        <w:right w:val="none" w:sz="0" w:space="0" w:color="auto"/>
      </w:divBdr>
    </w:div>
    <w:div w:id="721752842">
      <w:bodyDiv w:val="1"/>
      <w:marLeft w:val="0"/>
      <w:marRight w:val="0"/>
      <w:marTop w:val="0"/>
      <w:marBottom w:val="0"/>
      <w:divBdr>
        <w:top w:val="none" w:sz="0" w:space="0" w:color="auto"/>
        <w:left w:val="none" w:sz="0" w:space="0" w:color="auto"/>
        <w:bottom w:val="none" w:sz="0" w:space="0" w:color="auto"/>
        <w:right w:val="none" w:sz="0" w:space="0" w:color="auto"/>
      </w:divBdr>
    </w:div>
    <w:div w:id="1452632782">
      <w:bodyDiv w:val="1"/>
      <w:marLeft w:val="0"/>
      <w:marRight w:val="0"/>
      <w:marTop w:val="0"/>
      <w:marBottom w:val="0"/>
      <w:divBdr>
        <w:top w:val="none" w:sz="0" w:space="0" w:color="auto"/>
        <w:left w:val="none" w:sz="0" w:space="0" w:color="auto"/>
        <w:bottom w:val="none" w:sz="0" w:space="0" w:color="auto"/>
        <w:right w:val="none" w:sz="0" w:space="0" w:color="auto"/>
      </w:divBdr>
    </w:div>
    <w:div w:id="20949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e.wet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mop6_14_csr6_including%20annex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cc.gov.uk/page-14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B1EB-296C-4761-AFE4-CFE63A3D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lastModifiedBy>Jolanta Kremer (UNEP/AEWA Secretariat)</cp:lastModifiedBy>
  <cp:revision>3</cp:revision>
  <cp:lastPrinted>2016-01-11T15:00:00Z</cp:lastPrinted>
  <dcterms:created xsi:type="dcterms:W3CDTF">2016-02-04T17:34:00Z</dcterms:created>
  <dcterms:modified xsi:type="dcterms:W3CDTF">2016-02-04T19:02:00Z</dcterms:modified>
</cp:coreProperties>
</file>