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158D" w14:textId="77777777" w:rsidR="00D441B7" w:rsidRPr="004138C2" w:rsidRDefault="00D441B7" w:rsidP="00B23D78">
      <w:pPr>
        <w:tabs>
          <w:tab w:val="left" w:pos="4185"/>
        </w:tabs>
        <w:spacing w:line="276" w:lineRule="auto"/>
        <w:jc w:val="center"/>
        <w:rPr>
          <w:b/>
          <w:bCs/>
          <w:lang w:val="fr-FR"/>
        </w:rPr>
      </w:pPr>
    </w:p>
    <w:p w14:paraId="0DDB852B" w14:textId="29A6900A" w:rsidR="00413B34" w:rsidRPr="004138C2" w:rsidRDefault="006453CE" w:rsidP="00501974">
      <w:pPr>
        <w:tabs>
          <w:tab w:val="left" w:pos="4185"/>
        </w:tabs>
        <w:spacing w:line="280" w:lineRule="auto"/>
        <w:jc w:val="center"/>
        <w:rPr>
          <w:b/>
          <w:lang w:val="fr-FR"/>
        </w:rPr>
      </w:pPr>
      <w:r w:rsidRPr="004138C2">
        <w:rPr>
          <w:b/>
          <w:bCs/>
          <w:lang w:val="fr-FR"/>
        </w:rPr>
        <w:t xml:space="preserve">PROPOSITION D’AMENDEMENT DE LA DÉFINITON DE DÉCLIN SIGNIFICATIF À LONG TERME ET </w:t>
      </w:r>
      <w:r w:rsidR="00E00441" w:rsidRPr="004138C2">
        <w:rPr>
          <w:b/>
          <w:bCs/>
          <w:lang w:val="fr-FR"/>
        </w:rPr>
        <w:t>D’ÉTABLISSEMENT D’UN</w:t>
      </w:r>
      <w:r w:rsidRPr="004138C2">
        <w:rPr>
          <w:b/>
          <w:bCs/>
          <w:lang w:val="fr-FR"/>
        </w:rPr>
        <w:t xml:space="preserve"> CRITÈRE SUR LE DÉCLIN À COURT TERME À APPLIQUER LORS DU CLASSEMENT DE POPULATIONS DANS LE TABLEAU 1 DE L’ANNEXE 3 DE L’ACCORD</w:t>
      </w:r>
    </w:p>
    <w:p w14:paraId="399084DC" w14:textId="64EBB3BE" w:rsidR="00413B34" w:rsidRPr="004138C2" w:rsidRDefault="00413B34" w:rsidP="0060207D">
      <w:pPr>
        <w:tabs>
          <w:tab w:val="left" w:pos="4185"/>
        </w:tabs>
        <w:jc w:val="center"/>
        <w:rPr>
          <w:sz w:val="18"/>
          <w:szCs w:val="18"/>
          <w:lang w:val="fr-FR"/>
        </w:rPr>
      </w:pPr>
    </w:p>
    <w:p w14:paraId="415B61E1" w14:textId="3B1447F1" w:rsidR="00C72ED1" w:rsidRPr="004138C2" w:rsidRDefault="006453CE" w:rsidP="0060207D">
      <w:pPr>
        <w:tabs>
          <w:tab w:val="left" w:pos="4185"/>
        </w:tabs>
        <w:jc w:val="center"/>
        <w:rPr>
          <w:sz w:val="22"/>
          <w:szCs w:val="22"/>
          <w:lang w:val="fr-FR"/>
        </w:rPr>
      </w:pPr>
      <w:r w:rsidRPr="004138C2">
        <w:rPr>
          <w:sz w:val="22"/>
          <w:szCs w:val="22"/>
          <w:lang w:val="fr-FR"/>
        </w:rPr>
        <w:t>(</w:t>
      </w:r>
      <w:r w:rsidRPr="004138C2">
        <w:rPr>
          <w:i/>
          <w:sz w:val="22"/>
          <w:szCs w:val="22"/>
          <w:lang w:val="fr-FR"/>
        </w:rPr>
        <w:t>Proposée par le</w:t>
      </w:r>
      <w:r w:rsidR="00783D2C">
        <w:rPr>
          <w:i/>
          <w:sz w:val="22"/>
          <w:szCs w:val="22"/>
          <w:lang w:val="fr-FR"/>
        </w:rPr>
        <w:t xml:space="preserve"> </w:t>
      </w:r>
      <w:r w:rsidRPr="004138C2">
        <w:rPr>
          <w:i/>
          <w:sz w:val="22"/>
          <w:szCs w:val="22"/>
          <w:lang w:val="fr-FR"/>
        </w:rPr>
        <w:t>Comité technique</w:t>
      </w:r>
      <w:r w:rsidRPr="004138C2">
        <w:rPr>
          <w:sz w:val="22"/>
          <w:szCs w:val="22"/>
          <w:lang w:val="fr-FR"/>
        </w:rPr>
        <w:t>)</w:t>
      </w:r>
    </w:p>
    <w:p w14:paraId="7845B546" w14:textId="77777777" w:rsidR="00FD5ECC" w:rsidRPr="004138C2" w:rsidRDefault="00FD5ECC" w:rsidP="0060207D">
      <w:pPr>
        <w:tabs>
          <w:tab w:val="left" w:pos="4185"/>
        </w:tabs>
        <w:jc w:val="center"/>
        <w:rPr>
          <w:sz w:val="18"/>
          <w:szCs w:val="18"/>
          <w:lang w:val="fr-FR"/>
        </w:rPr>
      </w:pPr>
    </w:p>
    <w:p w14:paraId="08A4AE03" w14:textId="2B006BF7" w:rsidR="000434D4" w:rsidRPr="004138C2" w:rsidRDefault="000434D4" w:rsidP="00413B34">
      <w:pPr>
        <w:tabs>
          <w:tab w:val="left" w:pos="4185"/>
        </w:tabs>
        <w:rPr>
          <w:b/>
          <w:lang w:val="fr-FR"/>
        </w:rPr>
      </w:pPr>
    </w:p>
    <w:p w14:paraId="4A3A9CCD" w14:textId="77777777" w:rsidR="000434D4" w:rsidRPr="004138C2" w:rsidRDefault="000434D4" w:rsidP="00413B34">
      <w:pPr>
        <w:tabs>
          <w:tab w:val="left" w:pos="4185"/>
        </w:tabs>
        <w:rPr>
          <w:b/>
          <w:lang w:val="fr-FR"/>
        </w:rPr>
      </w:pPr>
    </w:p>
    <w:p w14:paraId="254837F7" w14:textId="0196EB92" w:rsidR="00413B34" w:rsidRPr="004138C2" w:rsidRDefault="006453CE" w:rsidP="00413B34">
      <w:pPr>
        <w:tabs>
          <w:tab w:val="left" w:pos="4185"/>
        </w:tabs>
        <w:rPr>
          <w:b/>
          <w:lang w:val="fr-FR"/>
        </w:rPr>
      </w:pPr>
      <w:r w:rsidRPr="004138C2">
        <w:rPr>
          <w:b/>
          <w:lang w:val="fr-FR"/>
        </w:rPr>
        <w:t>Contexte</w:t>
      </w:r>
    </w:p>
    <w:p w14:paraId="5E97CA2F" w14:textId="77777777" w:rsidR="00413B34" w:rsidRPr="004138C2" w:rsidRDefault="00413B34" w:rsidP="00413B34">
      <w:pPr>
        <w:tabs>
          <w:tab w:val="left" w:pos="4185"/>
        </w:tabs>
        <w:rPr>
          <w:lang w:val="fr-FR"/>
        </w:rPr>
      </w:pPr>
    </w:p>
    <w:p w14:paraId="0034438C" w14:textId="2FFCD18B" w:rsidR="00147704" w:rsidRPr="004138C2" w:rsidRDefault="006453CE" w:rsidP="00501974">
      <w:pPr>
        <w:tabs>
          <w:tab w:val="left" w:pos="4185"/>
        </w:tabs>
        <w:spacing w:line="280" w:lineRule="auto"/>
        <w:jc w:val="both"/>
        <w:rPr>
          <w:sz w:val="22"/>
          <w:szCs w:val="22"/>
          <w:lang w:val="fr-FR"/>
        </w:rPr>
      </w:pPr>
      <w:r w:rsidRPr="004138C2">
        <w:rPr>
          <w:sz w:val="22"/>
          <w:szCs w:val="22"/>
          <w:lang w:val="fr-FR"/>
        </w:rPr>
        <w:t xml:space="preserve">Les catégories 3 de la colonne A et 2 de la colonne B incluent un critère pour </w:t>
      </w:r>
      <w:r w:rsidR="002743C9">
        <w:rPr>
          <w:sz w:val="22"/>
          <w:szCs w:val="22"/>
          <w:lang w:val="fr-FR"/>
        </w:rPr>
        <w:t>définir</w:t>
      </w:r>
      <w:r w:rsidRPr="004138C2">
        <w:rPr>
          <w:sz w:val="22"/>
          <w:szCs w:val="22"/>
          <w:lang w:val="fr-FR"/>
        </w:rPr>
        <w:t xml:space="preserve"> respectivement les populations courant un risque ou nécessitant une attention particulière en </w:t>
      </w:r>
      <w:r w:rsidR="002743C9">
        <w:rPr>
          <w:sz w:val="22"/>
          <w:szCs w:val="22"/>
          <w:lang w:val="fr-FR"/>
        </w:rPr>
        <w:t>conséquence</w:t>
      </w:r>
      <w:r w:rsidRPr="004138C2">
        <w:rPr>
          <w:sz w:val="22"/>
          <w:szCs w:val="22"/>
          <w:lang w:val="fr-FR"/>
        </w:rPr>
        <w:t xml:space="preserve"> d’un </w:t>
      </w:r>
      <w:r w:rsidRPr="004138C2">
        <w:rPr>
          <w:i/>
          <w:sz w:val="22"/>
          <w:szCs w:val="22"/>
          <w:lang w:val="fr-FR"/>
        </w:rPr>
        <w:t>déclin significatif à long terme</w:t>
      </w:r>
      <w:r w:rsidRPr="004138C2">
        <w:rPr>
          <w:sz w:val="22"/>
          <w:szCs w:val="22"/>
          <w:lang w:val="fr-FR"/>
        </w:rPr>
        <w:t>.</w:t>
      </w:r>
    </w:p>
    <w:p w14:paraId="700FF67F" w14:textId="3D4909AD" w:rsidR="00D52BC5" w:rsidRPr="004138C2" w:rsidRDefault="006453CE" w:rsidP="00501974">
      <w:pPr>
        <w:pStyle w:val="NormalWeb"/>
        <w:spacing w:line="280" w:lineRule="auto"/>
        <w:jc w:val="both"/>
        <w:rPr>
          <w:lang w:val="fr-FR"/>
        </w:rPr>
      </w:pPr>
      <w:r w:rsidRPr="004138C2">
        <w:rPr>
          <w:sz w:val="22"/>
          <w:szCs w:val="22"/>
          <w:lang w:val="fr-FR"/>
        </w:rPr>
        <w:t xml:space="preserve">Les Résolutions 3.3 et 5.7 de l’AEWA </w:t>
      </w:r>
      <w:r w:rsidR="002743C9">
        <w:rPr>
          <w:sz w:val="22"/>
          <w:szCs w:val="22"/>
          <w:lang w:val="fr-FR"/>
        </w:rPr>
        <w:t xml:space="preserve">ont </w:t>
      </w:r>
      <w:r w:rsidRPr="004138C2">
        <w:rPr>
          <w:sz w:val="22"/>
          <w:szCs w:val="22"/>
          <w:lang w:val="fr-FR"/>
        </w:rPr>
        <w:t xml:space="preserve">fourni une </w:t>
      </w:r>
      <w:r w:rsidRPr="004138C2">
        <w:rPr>
          <w:i/>
          <w:sz w:val="22"/>
          <w:szCs w:val="22"/>
          <w:lang w:val="fr-FR"/>
        </w:rPr>
        <w:t xml:space="preserve">définition </w:t>
      </w:r>
      <w:r w:rsidRPr="004138C2">
        <w:rPr>
          <w:sz w:val="22"/>
          <w:szCs w:val="22"/>
          <w:lang w:val="fr-FR"/>
        </w:rPr>
        <w:t xml:space="preserve">évolutive du terme de déclin </w:t>
      </w:r>
      <w:r w:rsidR="002743C9">
        <w:rPr>
          <w:sz w:val="22"/>
          <w:szCs w:val="22"/>
          <w:lang w:val="fr-FR"/>
        </w:rPr>
        <w:t xml:space="preserve">significatif </w:t>
      </w:r>
      <w:r w:rsidRPr="004138C2">
        <w:rPr>
          <w:sz w:val="22"/>
          <w:szCs w:val="22"/>
          <w:lang w:val="fr-FR"/>
        </w:rPr>
        <w:t xml:space="preserve">à long terme et des </w:t>
      </w:r>
      <w:r w:rsidRPr="004138C2">
        <w:rPr>
          <w:i/>
          <w:sz w:val="22"/>
          <w:szCs w:val="22"/>
          <w:lang w:val="fr-FR"/>
        </w:rPr>
        <w:t>conseils</w:t>
      </w:r>
      <w:r w:rsidRPr="004138C2">
        <w:rPr>
          <w:sz w:val="22"/>
          <w:szCs w:val="22"/>
          <w:lang w:val="fr-FR"/>
        </w:rPr>
        <w:t xml:space="preserve"> pour l’application de ce critère.</w:t>
      </w:r>
      <w:r w:rsidR="00D52BC5" w:rsidRPr="004138C2">
        <w:rPr>
          <w:sz w:val="22"/>
          <w:szCs w:val="22"/>
          <w:lang w:val="fr-FR"/>
        </w:rPr>
        <w:t xml:space="preserve"> </w:t>
      </w:r>
      <w:r w:rsidR="00E73590" w:rsidRPr="004138C2">
        <w:rPr>
          <w:sz w:val="22"/>
          <w:szCs w:val="22"/>
          <w:lang w:val="fr-FR"/>
        </w:rPr>
        <w:t xml:space="preserve">Cette dernière </w:t>
      </w:r>
      <w:r w:rsidR="00501974" w:rsidRPr="004138C2">
        <w:rPr>
          <w:sz w:val="22"/>
          <w:szCs w:val="22"/>
          <w:lang w:val="fr-FR"/>
        </w:rPr>
        <w:t xml:space="preserve">résolution </w:t>
      </w:r>
      <w:r w:rsidR="00E73590" w:rsidRPr="004138C2">
        <w:rPr>
          <w:sz w:val="22"/>
          <w:szCs w:val="22"/>
          <w:lang w:val="fr-FR"/>
        </w:rPr>
        <w:t xml:space="preserve">a établi qu’une population devait être classée comme présentant un déclin significatif à long terme </w:t>
      </w:r>
      <w:r w:rsidR="003849FB" w:rsidRPr="004138C2">
        <w:rPr>
          <w:sz w:val="22"/>
          <w:szCs w:val="22"/>
          <w:lang w:val="fr-FR"/>
        </w:rPr>
        <w:t>si son</w:t>
      </w:r>
      <w:r w:rsidR="00E73590" w:rsidRPr="004138C2">
        <w:rPr>
          <w:sz w:val="22"/>
          <w:szCs w:val="22"/>
          <w:lang w:val="fr-FR"/>
        </w:rPr>
        <w:t xml:space="preserve"> </w:t>
      </w:r>
      <w:r w:rsidR="00E73590" w:rsidRPr="004138C2">
        <w:rPr>
          <w:i/>
          <w:sz w:val="22"/>
          <w:szCs w:val="22"/>
          <w:lang w:val="fr-FR"/>
        </w:rPr>
        <w:t>d</w:t>
      </w:r>
      <w:r w:rsidR="003849FB" w:rsidRPr="004138C2">
        <w:rPr>
          <w:i/>
          <w:sz w:val="22"/>
          <w:szCs w:val="22"/>
          <w:lang w:val="fr-FR"/>
        </w:rPr>
        <w:t>é</w:t>
      </w:r>
      <w:r w:rsidR="00E73590" w:rsidRPr="004138C2">
        <w:rPr>
          <w:i/>
          <w:sz w:val="22"/>
          <w:szCs w:val="22"/>
          <w:lang w:val="fr-FR"/>
        </w:rPr>
        <w:t xml:space="preserve">clin </w:t>
      </w:r>
      <w:r w:rsidR="003849FB" w:rsidRPr="004138C2">
        <w:rPr>
          <w:i/>
          <w:sz w:val="22"/>
          <w:szCs w:val="22"/>
          <w:lang w:val="fr-FR"/>
        </w:rPr>
        <w:t>est</w:t>
      </w:r>
      <w:r w:rsidR="00E73590" w:rsidRPr="004138C2">
        <w:rPr>
          <w:i/>
          <w:sz w:val="22"/>
          <w:szCs w:val="22"/>
          <w:lang w:val="fr-FR"/>
        </w:rPr>
        <w:t xml:space="preserve"> </w:t>
      </w:r>
      <w:r w:rsidR="003849FB" w:rsidRPr="004138C2">
        <w:rPr>
          <w:i/>
          <w:sz w:val="22"/>
          <w:szCs w:val="22"/>
          <w:lang w:val="fr-FR"/>
        </w:rPr>
        <w:t>é</w:t>
      </w:r>
      <w:r w:rsidR="00E73590" w:rsidRPr="004138C2">
        <w:rPr>
          <w:i/>
          <w:sz w:val="22"/>
          <w:szCs w:val="22"/>
          <w:lang w:val="fr-FR"/>
        </w:rPr>
        <w:t xml:space="preserve">quivalent </w:t>
      </w:r>
      <w:r w:rsidR="003849FB" w:rsidRPr="004138C2">
        <w:rPr>
          <w:i/>
          <w:sz w:val="22"/>
          <w:szCs w:val="22"/>
          <w:lang w:val="fr-FR"/>
        </w:rPr>
        <w:t>à</w:t>
      </w:r>
      <w:r w:rsidR="00E73590" w:rsidRPr="004138C2">
        <w:rPr>
          <w:i/>
          <w:sz w:val="22"/>
          <w:szCs w:val="22"/>
          <w:lang w:val="fr-FR"/>
        </w:rPr>
        <w:t xml:space="preserve"> 25</w:t>
      </w:r>
      <w:r w:rsidR="003849FB" w:rsidRPr="004138C2">
        <w:rPr>
          <w:i/>
          <w:sz w:val="22"/>
          <w:szCs w:val="22"/>
          <w:lang w:val="fr-FR"/>
        </w:rPr>
        <w:t xml:space="preserve"> </w:t>
      </w:r>
      <w:r w:rsidR="00E73590" w:rsidRPr="004138C2">
        <w:rPr>
          <w:i/>
          <w:sz w:val="22"/>
          <w:szCs w:val="22"/>
          <w:lang w:val="fr-FR"/>
        </w:rPr>
        <w:t xml:space="preserve">% </w:t>
      </w:r>
      <w:r w:rsidR="003849FB" w:rsidRPr="004138C2">
        <w:rPr>
          <w:i/>
          <w:sz w:val="22"/>
          <w:szCs w:val="22"/>
          <w:lang w:val="fr-FR"/>
        </w:rPr>
        <w:t>sur</w:t>
      </w:r>
      <w:r w:rsidR="00E73590" w:rsidRPr="004138C2">
        <w:rPr>
          <w:i/>
          <w:sz w:val="22"/>
          <w:szCs w:val="22"/>
          <w:lang w:val="fr-FR"/>
        </w:rPr>
        <w:t xml:space="preserve"> </w:t>
      </w:r>
      <w:r w:rsidR="003849FB" w:rsidRPr="004138C2">
        <w:rPr>
          <w:i/>
          <w:sz w:val="22"/>
          <w:szCs w:val="22"/>
          <w:lang w:val="fr-FR"/>
        </w:rPr>
        <w:t xml:space="preserve">une période de </w:t>
      </w:r>
      <w:r w:rsidR="00E73590" w:rsidRPr="004138C2">
        <w:rPr>
          <w:i/>
          <w:sz w:val="22"/>
          <w:szCs w:val="22"/>
          <w:lang w:val="fr-FR"/>
        </w:rPr>
        <w:t xml:space="preserve">25 </w:t>
      </w:r>
      <w:r w:rsidR="003849FB" w:rsidRPr="004138C2">
        <w:rPr>
          <w:i/>
          <w:sz w:val="22"/>
          <w:szCs w:val="22"/>
          <w:lang w:val="fr-FR"/>
        </w:rPr>
        <w:t>ans</w:t>
      </w:r>
      <w:r w:rsidR="00E73590" w:rsidRPr="004138C2">
        <w:rPr>
          <w:i/>
          <w:sz w:val="22"/>
          <w:szCs w:val="22"/>
          <w:lang w:val="fr-FR"/>
        </w:rPr>
        <w:t xml:space="preserve"> o</w:t>
      </w:r>
      <w:r w:rsidR="003849FB" w:rsidRPr="004138C2">
        <w:rPr>
          <w:i/>
          <w:sz w:val="22"/>
          <w:szCs w:val="22"/>
          <w:lang w:val="fr-FR"/>
        </w:rPr>
        <w:t>u de</w:t>
      </w:r>
      <w:r w:rsidR="00E73590" w:rsidRPr="004138C2">
        <w:rPr>
          <w:i/>
          <w:sz w:val="22"/>
          <w:szCs w:val="22"/>
          <w:lang w:val="fr-FR"/>
        </w:rPr>
        <w:t xml:space="preserve"> 7</w:t>
      </w:r>
      <w:r w:rsidR="003849FB" w:rsidRPr="004138C2">
        <w:rPr>
          <w:i/>
          <w:sz w:val="22"/>
          <w:szCs w:val="22"/>
          <w:lang w:val="fr-FR"/>
        </w:rPr>
        <w:t>,</w:t>
      </w:r>
      <w:r w:rsidR="00E73590" w:rsidRPr="004138C2">
        <w:rPr>
          <w:i/>
          <w:sz w:val="22"/>
          <w:szCs w:val="22"/>
          <w:lang w:val="fr-FR"/>
        </w:rPr>
        <w:t>5 g</w:t>
      </w:r>
      <w:r w:rsidR="003849FB" w:rsidRPr="004138C2">
        <w:rPr>
          <w:i/>
          <w:sz w:val="22"/>
          <w:szCs w:val="22"/>
          <w:lang w:val="fr-FR"/>
        </w:rPr>
        <w:t>éné</w:t>
      </w:r>
      <w:r w:rsidR="00E73590" w:rsidRPr="004138C2">
        <w:rPr>
          <w:i/>
          <w:sz w:val="22"/>
          <w:szCs w:val="22"/>
          <w:lang w:val="fr-FR"/>
        </w:rPr>
        <w:t xml:space="preserve">rations, </w:t>
      </w:r>
      <w:r w:rsidR="003849FB" w:rsidRPr="004138C2">
        <w:rPr>
          <w:i/>
          <w:sz w:val="22"/>
          <w:szCs w:val="22"/>
          <w:lang w:val="fr-FR"/>
        </w:rPr>
        <w:t>selon la période la plus longue</w:t>
      </w:r>
      <w:r w:rsidR="00E73590" w:rsidRPr="004138C2">
        <w:rPr>
          <w:sz w:val="22"/>
          <w:szCs w:val="22"/>
          <w:lang w:val="fr-FR"/>
        </w:rPr>
        <w:t>.</w:t>
      </w:r>
      <w:r w:rsidR="00322442" w:rsidRPr="004138C2">
        <w:rPr>
          <w:sz w:val="22"/>
          <w:szCs w:val="22"/>
          <w:lang w:val="fr-FR"/>
        </w:rPr>
        <w:t xml:space="preserve"> </w:t>
      </w:r>
      <w:r w:rsidR="003849FB" w:rsidRPr="004138C2">
        <w:rPr>
          <w:sz w:val="22"/>
          <w:szCs w:val="22"/>
          <w:lang w:val="fr-FR"/>
        </w:rPr>
        <w:t>La Résolution 5.7 a ajouté qu’une population peut également être considérée</w:t>
      </w:r>
      <w:r w:rsidR="002743C9" w:rsidRPr="004138C2">
        <w:rPr>
          <w:sz w:val="22"/>
          <w:szCs w:val="22"/>
          <w:lang w:val="fr-FR"/>
        </w:rPr>
        <w:t>, à titre de précaution,</w:t>
      </w:r>
      <w:r w:rsidR="003849FB" w:rsidRPr="004138C2">
        <w:rPr>
          <w:sz w:val="22"/>
          <w:szCs w:val="22"/>
          <w:lang w:val="fr-FR"/>
        </w:rPr>
        <w:t xml:space="preserve"> comme présentant un déclin significatif à long terme lorsque des </w:t>
      </w:r>
      <w:r w:rsidR="003849FB" w:rsidRPr="004138C2">
        <w:rPr>
          <w:i/>
          <w:sz w:val="22"/>
          <w:szCs w:val="22"/>
          <w:lang w:val="fr-FR"/>
        </w:rPr>
        <w:t>déclins similaires peuvent être prévus sur la base d’au moins 10</w:t>
      </w:r>
      <w:r w:rsidR="00466A3C">
        <w:rPr>
          <w:i/>
          <w:sz w:val="22"/>
          <w:szCs w:val="22"/>
          <w:lang w:val="fr-FR"/>
        </w:rPr>
        <w:t xml:space="preserve"> </w:t>
      </w:r>
      <w:r w:rsidR="003849FB" w:rsidRPr="004138C2">
        <w:rPr>
          <w:i/>
          <w:sz w:val="22"/>
          <w:szCs w:val="22"/>
          <w:lang w:val="fr-FR"/>
        </w:rPr>
        <w:t>ans des données les plus récentes</w:t>
      </w:r>
      <w:r w:rsidR="003849FB" w:rsidRPr="004138C2">
        <w:rPr>
          <w:sz w:val="22"/>
          <w:szCs w:val="22"/>
          <w:lang w:val="fr-FR"/>
        </w:rPr>
        <w:t>.</w:t>
      </w:r>
      <w:r w:rsidR="00D52BC5" w:rsidRPr="004138C2">
        <w:rPr>
          <w:sz w:val="22"/>
          <w:szCs w:val="22"/>
          <w:lang w:val="fr-FR"/>
        </w:rPr>
        <w:t xml:space="preserve">  </w:t>
      </w:r>
    </w:p>
    <w:p w14:paraId="0E12C53A" w14:textId="73F74A49" w:rsidR="0091332C" w:rsidRPr="004138C2" w:rsidRDefault="003849FB" w:rsidP="00501974">
      <w:pPr>
        <w:tabs>
          <w:tab w:val="left" w:pos="4185"/>
        </w:tabs>
        <w:spacing w:line="280" w:lineRule="auto"/>
        <w:jc w:val="both"/>
        <w:rPr>
          <w:sz w:val="22"/>
          <w:szCs w:val="22"/>
          <w:lang w:val="fr-FR"/>
        </w:rPr>
      </w:pPr>
      <w:r w:rsidRPr="004138C2">
        <w:rPr>
          <w:sz w:val="22"/>
          <w:szCs w:val="22"/>
          <w:lang w:val="fr-FR"/>
        </w:rPr>
        <w:t xml:space="preserve">Le taux de déclin utilisé dans les « 25 % sur une période de 25 ans ou de 7,5 générations » est presque égal à </w:t>
      </w:r>
      <w:r w:rsidR="00501974" w:rsidRPr="004138C2">
        <w:rPr>
          <w:sz w:val="22"/>
          <w:szCs w:val="22"/>
          <w:lang w:val="fr-FR"/>
        </w:rPr>
        <w:t xml:space="preserve">celui de </w:t>
      </w:r>
      <w:r w:rsidRPr="004138C2">
        <w:rPr>
          <w:sz w:val="22"/>
          <w:szCs w:val="22"/>
          <w:lang w:val="fr-FR"/>
        </w:rPr>
        <w:t>la définition de « 20 % sur une période de 20 ans » utilisée dans Tucker &amp; Heath (1994) en tant que seuil d</w:t>
      </w:r>
      <w:r w:rsidR="00501974" w:rsidRPr="004138C2">
        <w:rPr>
          <w:sz w:val="22"/>
          <w:szCs w:val="22"/>
          <w:lang w:val="fr-FR"/>
        </w:rPr>
        <w:t>e</w:t>
      </w:r>
      <w:r w:rsidRPr="004138C2">
        <w:rPr>
          <w:sz w:val="22"/>
          <w:szCs w:val="22"/>
          <w:lang w:val="fr-FR"/>
        </w:rPr>
        <w:t xml:space="preserve"> déclin modéré</w:t>
      </w:r>
      <w:r w:rsidR="002743C9">
        <w:rPr>
          <w:sz w:val="22"/>
          <w:szCs w:val="22"/>
          <w:lang w:val="fr-FR"/>
        </w:rPr>
        <w:t>,</w:t>
      </w:r>
      <w:r w:rsidRPr="004138C2">
        <w:rPr>
          <w:sz w:val="22"/>
          <w:szCs w:val="22"/>
          <w:lang w:val="fr-FR"/>
        </w:rPr>
        <w:t xml:space="preserve"> et aux « 10 % sur une période de 10 ans ou de trois générations, selon ce qui est le plus long » utilis</w:t>
      </w:r>
      <w:r w:rsidR="002743C9">
        <w:rPr>
          <w:sz w:val="22"/>
          <w:szCs w:val="22"/>
          <w:lang w:val="fr-FR"/>
        </w:rPr>
        <w:t>és</w:t>
      </w:r>
      <w:r w:rsidRPr="004138C2">
        <w:rPr>
          <w:sz w:val="22"/>
          <w:szCs w:val="22"/>
          <w:lang w:val="fr-FR"/>
        </w:rPr>
        <w:t xml:space="preserve"> dans les Oiseaux d’Europe et la Liste rouge européenne des oiseaux (</w:t>
      </w:r>
      <w:proofErr w:type="spellStart"/>
      <w:r w:rsidRPr="004138C2">
        <w:rPr>
          <w:sz w:val="22"/>
          <w:szCs w:val="22"/>
          <w:lang w:val="fr-FR"/>
        </w:rPr>
        <w:t>BirdLife</w:t>
      </w:r>
      <w:proofErr w:type="spellEnd"/>
      <w:r w:rsidRPr="004138C2">
        <w:rPr>
          <w:sz w:val="22"/>
          <w:szCs w:val="22"/>
          <w:lang w:val="fr-FR"/>
        </w:rPr>
        <w:t xml:space="preserve"> International 2004, 2015, Figure 1).</w:t>
      </w:r>
      <w:r w:rsidR="00CB74E9" w:rsidRPr="004138C2">
        <w:rPr>
          <w:sz w:val="22"/>
          <w:szCs w:val="22"/>
          <w:lang w:val="fr-FR"/>
        </w:rPr>
        <w:t xml:space="preserve"> </w:t>
      </w:r>
    </w:p>
    <w:p w14:paraId="038ABAEA" w14:textId="77777777" w:rsidR="0091332C" w:rsidRPr="004138C2" w:rsidRDefault="0091332C">
      <w:pPr>
        <w:tabs>
          <w:tab w:val="left" w:pos="4185"/>
        </w:tabs>
        <w:spacing w:line="276" w:lineRule="auto"/>
        <w:jc w:val="both"/>
        <w:rPr>
          <w:sz w:val="22"/>
          <w:szCs w:val="22"/>
          <w:lang w:val="fr-FR"/>
        </w:rPr>
      </w:pPr>
    </w:p>
    <w:p w14:paraId="2F705F86" w14:textId="07D3165F" w:rsidR="00CB74E9" w:rsidRPr="004138C2" w:rsidRDefault="003849FB" w:rsidP="00501974">
      <w:pPr>
        <w:tabs>
          <w:tab w:val="left" w:pos="4185"/>
        </w:tabs>
        <w:spacing w:line="280" w:lineRule="auto"/>
        <w:jc w:val="both"/>
        <w:rPr>
          <w:sz w:val="22"/>
          <w:szCs w:val="22"/>
          <w:lang w:val="fr-FR"/>
        </w:rPr>
      </w:pPr>
      <w:r w:rsidRPr="004138C2">
        <w:rPr>
          <w:sz w:val="22"/>
          <w:szCs w:val="22"/>
          <w:lang w:val="fr-FR"/>
        </w:rPr>
        <w:t xml:space="preserve">Cette dernière publication forme la base de l’évaluation des Agences environnementales européennes de </w:t>
      </w:r>
      <w:r w:rsidR="00ED6A3C" w:rsidRPr="004138C2">
        <w:rPr>
          <w:sz w:val="22"/>
          <w:szCs w:val="22"/>
          <w:lang w:val="fr-FR"/>
        </w:rPr>
        <w:t xml:space="preserve">la tendance générale de </w:t>
      </w:r>
      <w:r w:rsidRPr="004138C2">
        <w:rPr>
          <w:sz w:val="22"/>
          <w:szCs w:val="22"/>
          <w:lang w:val="fr-FR"/>
        </w:rPr>
        <w:t>l’UE27</w:t>
      </w:r>
      <w:r w:rsidR="00ED6A3C" w:rsidRPr="004138C2">
        <w:rPr>
          <w:sz w:val="22"/>
          <w:szCs w:val="22"/>
          <w:lang w:val="fr-FR"/>
        </w:rPr>
        <w:t>, qui se fonde sur l'Article 12 – Rapports, de la Directive Oiseaux de l’UE</w:t>
      </w:r>
      <w:r w:rsidRPr="004138C2">
        <w:rPr>
          <w:sz w:val="22"/>
          <w:szCs w:val="22"/>
          <w:lang w:val="fr-FR"/>
        </w:rPr>
        <w:t>.</w:t>
      </w:r>
      <w:r w:rsidR="00CB74E9" w:rsidRPr="004138C2">
        <w:rPr>
          <w:sz w:val="22"/>
          <w:szCs w:val="22"/>
          <w:lang w:val="fr-FR"/>
        </w:rPr>
        <w:t xml:space="preserve"> </w:t>
      </w:r>
      <w:proofErr w:type="spellStart"/>
      <w:r w:rsidR="00ED6A3C" w:rsidRPr="004138C2">
        <w:rPr>
          <w:sz w:val="22"/>
          <w:szCs w:val="22"/>
          <w:lang w:val="fr-FR"/>
        </w:rPr>
        <w:t>BirdLife</w:t>
      </w:r>
      <w:proofErr w:type="spellEnd"/>
      <w:r w:rsidR="00ED6A3C" w:rsidRPr="004138C2">
        <w:rPr>
          <w:sz w:val="22"/>
          <w:szCs w:val="22"/>
          <w:lang w:val="fr-FR"/>
        </w:rPr>
        <w:t xml:space="preserve"> International (2004) a raccourci la période d’évaluation, la faisant passer de 20 à 10 ans ou trois générations, afin qu’elle soit cohérente avec les critères de la Liste rouge de l’UICN relative aux déclins des populations.</w:t>
      </w:r>
      <w:r w:rsidR="004C0A6D" w:rsidRPr="004138C2">
        <w:rPr>
          <w:sz w:val="22"/>
          <w:szCs w:val="22"/>
          <w:lang w:val="fr-FR"/>
        </w:rPr>
        <w:t xml:space="preserve"> </w:t>
      </w:r>
    </w:p>
    <w:p w14:paraId="050D6370" w14:textId="77777777" w:rsidR="00A50F25" w:rsidRPr="004138C2" w:rsidRDefault="00A50F25">
      <w:pPr>
        <w:tabs>
          <w:tab w:val="left" w:pos="4185"/>
        </w:tabs>
        <w:spacing w:line="276" w:lineRule="auto"/>
        <w:jc w:val="both"/>
        <w:rPr>
          <w:sz w:val="22"/>
          <w:szCs w:val="22"/>
          <w:lang w:val="fr-FR"/>
        </w:rPr>
      </w:pPr>
    </w:p>
    <w:p w14:paraId="6DAC654D" w14:textId="77777777" w:rsidR="00A50F25" w:rsidRPr="004138C2" w:rsidRDefault="00A50F25" w:rsidP="00D64003">
      <w:pPr>
        <w:keepNext/>
        <w:tabs>
          <w:tab w:val="left" w:pos="4185"/>
        </w:tabs>
        <w:spacing w:line="276" w:lineRule="auto"/>
        <w:jc w:val="both"/>
        <w:rPr>
          <w:lang w:val="fr-FR"/>
        </w:rPr>
      </w:pPr>
      <w:r w:rsidRPr="004138C2">
        <w:rPr>
          <w:noProof/>
          <w:lang w:val="nl-NL" w:eastAsia="nl-NL"/>
        </w:rPr>
        <w:lastRenderedPageBreak/>
        <w:drawing>
          <wp:inline distT="0" distB="0" distL="0" distR="0" wp14:anchorId="2D932D30" wp14:editId="023953B9">
            <wp:extent cx="5486400" cy="3450590"/>
            <wp:effectExtent l="0" t="0" r="25400" b="292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28F3B0" w14:textId="6E950CEE" w:rsidR="004C49A2" w:rsidRPr="00A92D75" w:rsidRDefault="0058457A" w:rsidP="0058457A">
      <w:pPr>
        <w:pStyle w:val="Caption"/>
        <w:spacing w:after="0"/>
        <w:jc w:val="both"/>
        <w:rPr>
          <w:b w:val="0"/>
          <w:sz w:val="22"/>
          <w:szCs w:val="22"/>
          <w:lang w:val="fr-FR"/>
        </w:rPr>
      </w:pPr>
      <w:r w:rsidRPr="00A92D75">
        <w:rPr>
          <w:noProof/>
          <w:color w:val="2F5496" w:themeColor="accent1" w:themeShade="BF"/>
          <w:sz w:val="22"/>
          <w:szCs w:val="22"/>
          <w:lang w:val="fr-FR"/>
        </w:rPr>
        <mc:AlternateContent>
          <mc:Choice Requires="wps">
            <w:drawing>
              <wp:anchor distT="0" distB="0" distL="114300" distR="114300" simplePos="0" relativeHeight="251660288" behindDoc="1" locked="0" layoutInCell="1" allowOverlap="1" wp14:anchorId="2AB57FD4" wp14:editId="2FF3DEA6">
                <wp:simplePos x="0" y="0"/>
                <wp:positionH relativeFrom="margin">
                  <wp:align>left</wp:align>
                </wp:positionH>
                <wp:positionV relativeFrom="paragraph">
                  <wp:posOffset>248920</wp:posOffset>
                </wp:positionV>
                <wp:extent cx="45085" cy="180975"/>
                <wp:effectExtent l="19050" t="0" r="31115" b="47625"/>
                <wp:wrapTight wrapText="bothSides">
                  <wp:wrapPolygon edited="0">
                    <wp:start x="-9127" y="0"/>
                    <wp:lineTo x="-9127" y="25011"/>
                    <wp:lineTo x="27380" y="25011"/>
                    <wp:lineTo x="27380" y="0"/>
                    <wp:lineTo x="-9127" y="0"/>
                  </wp:wrapPolygon>
                </wp:wrapTight>
                <wp:docPr id="1" name="Arrow: Down 1"/>
                <wp:cNvGraphicFramePr/>
                <a:graphic xmlns:a="http://schemas.openxmlformats.org/drawingml/2006/main">
                  <a:graphicData uri="http://schemas.microsoft.com/office/word/2010/wordprocessingShape">
                    <wps:wsp>
                      <wps:cNvSpPr/>
                      <wps:spPr>
                        <a:xfrm>
                          <a:off x="0" y="0"/>
                          <a:ext cx="4508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6A8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19.6pt;width:3.55pt;height:1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" adj="18909" fillcolor="black [3200]" strokecolor="black [1600]" strokeweight="1pt">
                <w10:wrap type="tight" anchorx="margin"/>
              </v:shape>
            </w:pict>
          </mc:Fallback>
        </mc:AlternateContent>
      </w:r>
      <w:r w:rsidR="004138C2" w:rsidRPr="00A92D75">
        <w:rPr>
          <w:color w:val="2F5496" w:themeColor="accent1" w:themeShade="BF"/>
          <w:sz w:val="22"/>
          <w:szCs w:val="22"/>
          <w:lang w:val="fr-FR"/>
        </w:rPr>
        <w:t>Taux multiplicatif de changement</w:t>
      </w:r>
      <w:r w:rsidR="004138C2" w:rsidRPr="00A92D75">
        <w:rPr>
          <w:b w:val="0"/>
          <w:sz w:val="22"/>
          <w:szCs w:val="22"/>
          <w:lang w:val="fr-FR"/>
        </w:rPr>
        <w:tab/>
      </w:r>
      <w:r w:rsidR="00A92D75">
        <w:rPr>
          <w:b w:val="0"/>
          <w:sz w:val="22"/>
          <w:szCs w:val="22"/>
          <w:lang w:val="fr-FR"/>
        </w:rPr>
        <w:t xml:space="preserve">     </w:t>
      </w:r>
      <w:r w:rsidR="00E00441" w:rsidRPr="00A92D75">
        <w:rPr>
          <w:b w:val="0"/>
          <w:color w:val="70AD47" w:themeColor="accent6"/>
          <w:sz w:val="52"/>
          <w:szCs w:val="52"/>
          <w:lang w:val="fr-FR"/>
        </w:rPr>
        <w:t>-</w:t>
      </w:r>
      <w:r w:rsidR="00E00441" w:rsidRPr="00A92D75">
        <w:rPr>
          <w:b w:val="0"/>
          <w:color w:val="70AD47" w:themeColor="accent6"/>
          <w:sz w:val="22"/>
          <w:szCs w:val="22"/>
          <w:lang w:val="fr-FR"/>
        </w:rPr>
        <w:t xml:space="preserve">   </w:t>
      </w:r>
      <w:r w:rsidRPr="00A92D75">
        <w:rPr>
          <w:b w:val="0"/>
          <w:color w:val="70AD47" w:themeColor="accent6"/>
          <w:sz w:val="22"/>
          <w:szCs w:val="22"/>
          <w:lang w:val="fr-FR"/>
        </w:rPr>
        <w:t xml:space="preserve"> </w:t>
      </w:r>
      <w:r w:rsidR="004138C2" w:rsidRPr="00A92D75">
        <w:rPr>
          <w:b w:val="0"/>
          <w:color w:val="2F5496" w:themeColor="accent1" w:themeShade="BF"/>
          <w:sz w:val="22"/>
          <w:szCs w:val="22"/>
          <w:lang w:val="fr-FR"/>
        </w:rPr>
        <w:t>Définition de l’AEWA</w:t>
      </w:r>
    </w:p>
    <w:p w14:paraId="081980A1" w14:textId="4A054DE7" w:rsidR="004C49A2" w:rsidRPr="00A92D75" w:rsidRDefault="0058457A" w:rsidP="0058457A">
      <w:pPr>
        <w:pStyle w:val="Caption"/>
        <w:spacing w:after="0"/>
        <w:jc w:val="both"/>
        <w:rPr>
          <w:b w:val="0"/>
          <w:sz w:val="22"/>
          <w:szCs w:val="22"/>
          <w:lang w:val="fr-FR"/>
        </w:rPr>
      </w:pPr>
      <w:r w:rsidRPr="00A92D75">
        <w:rPr>
          <w:noProof/>
          <w:color w:val="2F5496" w:themeColor="accent1" w:themeShade="BF"/>
          <w:sz w:val="22"/>
          <w:szCs w:val="22"/>
          <w:lang w:val="fr-FR"/>
        </w:rPr>
        <mc:AlternateContent>
          <mc:Choice Requires="wps">
            <w:drawing>
              <wp:anchor distT="0" distB="0" distL="114300" distR="114300" simplePos="0" relativeHeight="251661312" behindDoc="0" locked="0" layoutInCell="1" allowOverlap="1" wp14:anchorId="488A7C85" wp14:editId="51A377EA">
                <wp:simplePos x="0" y="0"/>
                <wp:positionH relativeFrom="leftMargin">
                  <wp:posOffset>739140</wp:posOffset>
                </wp:positionH>
                <wp:positionV relativeFrom="paragraph">
                  <wp:posOffset>261620</wp:posOffset>
                </wp:positionV>
                <wp:extent cx="133350" cy="45719"/>
                <wp:effectExtent l="0" t="19050" r="38100" b="31115"/>
                <wp:wrapNone/>
                <wp:docPr id="5" name="Arrow: Right 5"/>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4BB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58.2pt;margin-top:20.6pt;width:10.5pt;height:3.6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" adj="17897" fillcolor="black [3200]" strokecolor="black [1600]" strokeweight="1pt">
                <w10:wrap anchorx="margin"/>
              </v:shape>
            </w:pict>
          </mc:Fallback>
        </mc:AlternateContent>
      </w:r>
      <w:r w:rsidRPr="00A92D75">
        <w:rPr>
          <w:color w:val="2F5496" w:themeColor="accent1" w:themeShade="BF"/>
          <w:sz w:val="22"/>
          <w:szCs w:val="22"/>
          <w:lang w:val="fr-FR"/>
        </w:rPr>
        <w:t>Longueur de la génération</w:t>
      </w:r>
      <w:r w:rsidRPr="00A92D75">
        <w:rPr>
          <w:b w:val="0"/>
          <w:color w:val="2F5496" w:themeColor="accent1" w:themeShade="BF"/>
          <w:sz w:val="56"/>
          <w:szCs w:val="56"/>
          <w:lang w:val="fr-FR"/>
        </w:rPr>
        <w:t xml:space="preserve">        </w:t>
      </w:r>
      <w:r w:rsidRPr="00A92D75">
        <w:rPr>
          <w:b w:val="0"/>
          <w:sz w:val="56"/>
          <w:szCs w:val="56"/>
          <w:lang w:val="fr-FR"/>
        </w:rPr>
        <w:t>-</w:t>
      </w:r>
      <w:r w:rsidRPr="00A92D75">
        <w:rPr>
          <w:b w:val="0"/>
          <w:sz w:val="22"/>
          <w:szCs w:val="22"/>
          <w:lang w:val="fr-FR"/>
        </w:rPr>
        <w:t xml:space="preserve">   </w:t>
      </w:r>
      <w:bookmarkStart w:id="0" w:name="_GoBack"/>
      <w:r w:rsidR="004138C2" w:rsidRPr="00A92D75">
        <w:rPr>
          <w:b w:val="0"/>
          <w:color w:val="2F5496" w:themeColor="accent1" w:themeShade="BF"/>
          <w:sz w:val="22"/>
          <w:szCs w:val="22"/>
          <w:lang w:val="fr-FR"/>
        </w:rPr>
        <w:t>Catégorie En déclin de la liste rouge</w:t>
      </w:r>
      <w:r w:rsidRPr="00A92D75">
        <w:rPr>
          <w:b w:val="0"/>
          <w:color w:val="2F5496" w:themeColor="accent1" w:themeShade="BF"/>
          <w:sz w:val="22"/>
          <w:szCs w:val="22"/>
          <w:lang w:val="fr-FR"/>
        </w:rPr>
        <w:t xml:space="preserve"> </w:t>
      </w:r>
      <w:r w:rsidR="004138C2" w:rsidRPr="00A92D75">
        <w:rPr>
          <w:b w:val="0"/>
          <w:color w:val="2F5496" w:themeColor="accent1" w:themeShade="BF"/>
          <w:sz w:val="22"/>
          <w:szCs w:val="22"/>
          <w:lang w:val="fr-FR"/>
        </w:rPr>
        <w:t>européenne des oiseaux</w:t>
      </w:r>
      <w:bookmarkEnd w:id="0"/>
    </w:p>
    <w:p w14:paraId="3367252D" w14:textId="77777777" w:rsidR="004138C2" w:rsidRPr="004138C2" w:rsidRDefault="004138C2" w:rsidP="004138C2">
      <w:pPr>
        <w:rPr>
          <w:lang w:val="fr-FR"/>
        </w:rPr>
      </w:pPr>
    </w:p>
    <w:p w14:paraId="1709FBB4" w14:textId="5282BBF1" w:rsidR="004138C2" w:rsidRPr="0058457A" w:rsidRDefault="004138C2" w:rsidP="004138C2">
      <w:pPr>
        <w:tabs>
          <w:tab w:val="left" w:pos="2835"/>
        </w:tabs>
        <w:rPr>
          <w:b/>
          <w:lang w:val="fr-FR"/>
        </w:rPr>
      </w:pPr>
      <w:r w:rsidRPr="004138C2">
        <w:rPr>
          <w:lang w:val="fr-FR"/>
        </w:rPr>
        <w:tab/>
      </w:r>
    </w:p>
    <w:p w14:paraId="09B71BDC" w14:textId="278A62B7" w:rsidR="00A50F25" w:rsidRPr="004138C2" w:rsidRDefault="00ED6A3C" w:rsidP="00501974">
      <w:pPr>
        <w:pStyle w:val="Caption"/>
        <w:jc w:val="both"/>
        <w:rPr>
          <w:b w:val="0"/>
          <w:i/>
          <w:color w:val="auto"/>
          <w:sz w:val="22"/>
          <w:szCs w:val="22"/>
          <w:lang w:val="fr-FR"/>
        </w:rPr>
      </w:pPr>
      <w:r w:rsidRPr="004138C2">
        <w:rPr>
          <w:b w:val="0"/>
          <w:i/>
          <w:color w:val="auto"/>
          <w:sz w:val="22"/>
          <w:szCs w:val="22"/>
          <w:lang w:val="fr-FR"/>
        </w:rPr>
        <w:t xml:space="preserve">Figure </w:t>
      </w:r>
      <w:r w:rsidRPr="004138C2">
        <w:rPr>
          <w:b w:val="0"/>
          <w:i/>
          <w:color w:val="auto"/>
          <w:sz w:val="22"/>
          <w:szCs w:val="22"/>
          <w:lang w:val="fr-FR"/>
        </w:rPr>
        <w:fldChar w:fldCharType="begin"/>
      </w:r>
      <w:r w:rsidRPr="004138C2">
        <w:rPr>
          <w:b w:val="0"/>
          <w:i/>
          <w:color w:val="auto"/>
          <w:sz w:val="22"/>
          <w:szCs w:val="22"/>
          <w:lang w:val="fr-FR"/>
        </w:rPr>
        <w:instrText xml:space="preserve"> SEQ Figure \* ARABIC </w:instrText>
      </w:r>
      <w:r w:rsidRPr="004138C2">
        <w:rPr>
          <w:b w:val="0"/>
          <w:i/>
          <w:color w:val="auto"/>
          <w:sz w:val="22"/>
          <w:szCs w:val="22"/>
          <w:lang w:val="fr-FR"/>
        </w:rPr>
        <w:fldChar w:fldCharType="separate"/>
      </w:r>
      <w:r w:rsidR="007B19A9">
        <w:rPr>
          <w:b w:val="0"/>
          <w:i/>
          <w:noProof/>
          <w:color w:val="auto"/>
          <w:sz w:val="22"/>
          <w:szCs w:val="22"/>
          <w:lang w:val="fr-FR"/>
        </w:rPr>
        <w:t>1</w:t>
      </w:r>
      <w:r w:rsidRPr="004138C2">
        <w:rPr>
          <w:b w:val="0"/>
          <w:i/>
          <w:color w:val="auto"/>
          <w:sz w:val="22"/>
          <w:szCs w:val="22"/>
          <w:lang w:val="fr-FR"/>
        </w:rPr>
        <w:fldChar w:fldCharType="end"/>
      </w:r>
      <w:r w:rsidRPr="004138C2">
        <w:rPr>
          <w:b w:val="0"/>
          <w:i/>
          <w:color w:val="auto"/>
          <w:sz w:val="22"/>
          <w:szCs w:val="22"/>
          <w:lang w:val="fr-FR"/>
        </w:rPr>
        <w:t>.</w:t>
      </w:r>
      <w:r w:rsidR="00A50F25" w:rsidRPr="004138C2">
        <w:rPr>
          <w:b w:val="0"/>
          <w:i/>
          <w:color w:val="auto"/>
          <w:sz w:val="22"/>
          <w:szCs w:val="22"/>
          <w:lang w:val="fr-FR"/>
        </w:rPr>
        <w:t xml:space="preserve"> </w:t>
      </w:r>
      <w:r w:rsidRPr="004138C2">
        <w:rPr>
          <w:b w:val="0"/>
          <w:i/>
          <w:color w:val="auto"/>
          <w:sz w:val="22"/>
          <w:szCs w:val="22"/>
          <w:lang w:val="fr-FR"/>
        </w:rPr>
        <w:t>Le taux multiplicatif de changement requis par la définition de « déclin significatif à long terme » de l’AEWA et la catégorie « En déclin » de la Liste rouge européenne des oiseaux.</w:t>
      </w:r>
    </w:p>
    <w:p w14:paraId="50B47527" w14:textId="77777777" w:rsidR="00CB74E9" w:rsidRPr="004138C2" w:rsidRDefault="00CB74E9" w:rsidP="00D52BC5">
      <w:pPr>
        <w:tabs>
          <w:tab w:val="left" w:pos="4185"/>
        </w:tabs>
        <w:spacing w:line="276" w:lineRule="auto"/>
        <w:jc w:val="both"/>
        <w:rPr>
          <w:sz w:val="22"/>
          <w:szCs w:val="22"/>
          <w:lang w:val="fr-FR"/>
        </w:rPr>
      </w:pPr>
    </w:p>
    <w:p w14:paraId="35FF35C8" w14:textId="3F5D225D" w:rsidR="00CB74E9" w:rsidRPr="004138C2" w:rsidRDefault="00ED6A3C" w:rsidP="00501974">
      <w:pPr>
        <w:tabs>
          <w:tab w:val="left" w:pos="4185"/>
        </w:tabs>
        <w:spacing w:line="280" w:lineRule="auto"/>
        <w:jc w:val="both"/>
        <w:rPr>
          <w:b/>
          <w:lang w:val="fr-FR"/>
        </w:rPr>
      </w:pPr>
      <w:r w:rsidRPr="004138C2">
        <w:rPr>
          <w:b/>
          <w:lang w:val="fr-FR"/>
        </w:rPr>
        <w:t xml:space="preserve">Problèmes à </w:t>
      </w:r>
      <w:r w:rsidR="002743C9">
        <w:rPr>
          <w:b/>
          <w:lang w:val="fr-FR"/>
        </w:rPr>
        <w:t>résoudre</w:t>
      </w:r>
    </w:p>
    <w:p w14:paraId="169EB990" w14:textId="77777777" w:rsidR="0091332C" w:rsidRPr="004138C2" w:rsidRDefault="0091332C">
      <w:pPr>
        <w:tabs>
          <w:tab w:val="left" w:pos="4185"/>
        </w:tabs>
        <w:spacing w:line="276" w:lineRule="auto"/>
        <w:jc w:val="both"/>
        <w:rPr>
          <w:b/>
          <w:sz w:val="22"/>
          <w:szCs w:val="22"/>
          <w:lang w:val="fr-FR"/>
        </w:rPr>
      </w:pPr>
    </w:p>
    <w:p w14:paraId="1ABF009E" w14:textId="5A453762" w:rsidR="00CB74E9" w:rsidRPr="004138C2" w:rsidRDefault="00ED6A3C" w:rsidP="00501974">
      <w:pPr>
        <w:tabs>
          <w:tab w:val="left" w:pos="4185"/>
        </w:tabs>
        <w:spacing w:line="280" w:lineRule="auto"/>
        <w:jc w:val="both"/>
        <w:rPr>
          <w:sz w:val="22"/>
          <w:szCs w:val="22"/>
          <w:lang w:val="fr-FR"/>
        </w:rPr>
      </w:pPr>
      <w:r w:rsidRPr="004138C2">
        <w:rPr>
          <w:sz w:val="22"/>
          <w:szCs w:val="22"/>
          <w:lang w:val="fr-FR"/>
        </w:rPr>
        <w:t xml:space="preserve">Les analyses des tendances </w:t>
      </w:r>
      <w:r w:rsidR="00501974" w:rsidRPr="004138C2">
        <w:rPr>
          <w:sz w:val="22"/>
          <w:szCs w:val="22"/>
          <w:lang w:val="fr-FR"/>
        </w:rPr>
        <w:t xml:space="preserve">et </w:t>
      </w:r>
      <w:r w:rsidRPr="004138C2">
        <w:rPr>
          <w:sz w:val="22"/>
          <w:szCs w:val="22"/>
          <w:lang w:val="fr-FR"/>
        </w:rPr>
        <w:t>leur communication pour la 7</w:t>
      </w:r>
      <w:r w:rsidR="00466A3C">
        <w:rPr>
          <w:sz w:val="22"/>
          <w:szCs w:val="22"/>
          <w:vertAlign w:val="superscript"/>
          <w:lang w:val="fr-FR"/>
        </w:rPr>
        <w:t>ème</w:t>
      </w:r>
      <w:r w:rsidRPr="004138C2">
        <w:rPr>
          <w:sz w:val="22"/>
          <w:szCs w:val="22"/>
          <w:lang w:val="fr-FR"/>
        </w:rPr>
        <w:t xml:space="preserve"> édition du Rapport sur l’état de conservation de l’AEWA (CSR7) </w:t>
      </w:r>
      <w:r w:rsidR="00501974" w:rsidRPr="004138C2">
        <w:rPr>
          <w:sz w:val="22"/>
          <w:szCs w:val="22"/>
          <w:lang w:val="fr-FR"/>
        </w:rPr>
        <w:t>ont</w:t>
      </w:r>
      <w:r w:rsidRPr="004138C2">
        <w:rPr>
          <w:sz w:val="22"/>
          <w:szCs w:val="22"/>
          <w:lang w:val="fr-FR"/>
        </w:rPr>
        <w:t xml:space="preserve"> souligné les problèmes suivants</w:t>
      </w:r>
      <w:r w:rsidR="00501974" w:rsidRPr="004138C2">
        <w:rPr>
          <w:sz w:val="22"/>
          <w:szCs w:val="22"/>
          <w:lang w:val="fr-FR"/>
        </w:rPr>
        <w:t>,</w:t>
      </w:r>
      <w:r w:rsidRPr="004138C2">
        <w:rPr>
          <w:sz w:val="22"/>
          <w:szCs w:val="22"/>
          <w:lang w:val="fr-FR"/>
        </w:rPr>
        <w:t xml:space="preserve"> inhérents à la définition de l’AEWA de « </w:t>
      </w:r>
      <w:r w:rsidRPr="004138C2">
        <w:rPr>
          <w:i/>
          <w:sz w:val="22"/>
          <w:szCs w:val="22"/>
          <w:lang w:val="fr-FR"/>
        </w:rPr>
        <w:t>déclin significatif à long terme »</w:t>
      </w:r>
      <w:r w:rsidRPr="004138C2">
        <w:rPr>
          <w:sz w:val="22"/>
          <w:szCs w:val="22"/>
          <w:lang w:val="fr-FR"/>
        </w:rPr>
        <w:t>.</w:t>
      </w:r>
      <w:r w:rsidR="00CB74E9" w:rsidRPr="004138C2">
        <w:rPr>
          <w:sz w:val="22"/>
          <w:szCs w:val="22"/>
          <w:lang w:val="fr-FR"/>
        </w:rPr>
        <w:t xml:space="preserve"> </w:t>
      </w:r>
    </w:p>
    <w:p w14:paraId="5A52D3F0" w14:textId="77777777" w:rsidR="0091332C" w:rsidRPr="004138C2" w:rsidRDefault="0091332C">
      <w:pPr>
        <w:tabs>
          <w:tab w:val="left" w:pos="4185"/>
        </w:tabs>
        <w:spacing w:line="276" w:lineRule="auto"/>
        <w:jc w:val="both"/>
        <w:rPr>
          <w:sz w:val="22"/>
          <w:szCs w:val="22"/>
          <w:lang w:val="fr-FR"/>
        </w:rPr>
      </w:pPr>
    </w:p>
    <w:p w14:paraId="2C876166" w14:textId="4B505006" w:rsidR="00CB74E9" w:rsidRPr="004138C2" w:rsidRDefault="00ED6A3C"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 xml:space="preserve">Bien que le taux annuel de déclin soit le même, la période d’évaluation utilisée par l’AEWA (25 ans ou 7,5 générations) est 2,5 fois plus longue que celle utilisée par d’autres évaluations internationales </w:t>
      </w:r>
      <w:proofErr w:type="gramStart"/>
      <w:r w:rsidR="005A21CC" w:rsidRPr="004138C2">
        <w:rPr>
          <w:sz w:val="22"/>
          <w:szCs w:val="22"/>
          <w:lang w:val="fr-FR"/>
        </w:rPr>
        <w:t>mises</w:t>
      </w:r>
      <w:proofErr w:type="gramEnd"/>
      <w:r w:rsidR="005A21CC" w:rsidRPr="004138C2">
        <w:rPr>
          <w:sz w:val="22"/>
          <w:szCs w:val="22"/>
          <w:lang w:val="fr-FR"/>
        </w:rPr>
        <w:t xml:space="preserve"> en œuvre dans l’aire de répartition de l’Accord</w:t>
      </w:r>
      <w:r w:rsidRPr="004138C2">
        <w:rPr>
          <w:sz w:val="22"/>
          <w:szCs w:val="22"/>
          <w:lang w:val="fr-FR"/>
        </w:rPr>
        <w:t xml:space="preserve"> (10 </w:t>
      </w:r>
      <w:r w:rsidR="005A21CC" w:rsidRPr="004138C2">
        <w:rPr>
          <w:sz w:val="22"/>
          <w:szCs w:val="22"/>
          <w:lang w:val="fr-FR"/>
        </w:rPr>
        <w:t>ans ou</w:t>
      </w:r>
      <w:r w:rsidRPr="004138C2">
        <w:rPr>
          <w:sz w:val="22"/>
          <w:szCs w:val="22"/>
          <w:lang w:val="fr-FR"/>
        </w:rPr>
        <w:t xml:space="preserve"> t</w:t>
      </w:r>
      <w:r w:rsidR="005A21CC" w:rsidRPr="004138C2">
        <w:rPr>
          <w:sz w:val="22"/>
          <w:szCs w:val="22"/>
          <w:lang w:val="fr-FR"/>
        </w:rPr>
        <w:t>rois géné</w:t>
      </w:r>
      <w:r w:rsidRPr="004138C2">
        <w:rPr>
          <w:sz w:val="22"/>
          <w:szCs w:val="22"/>
          <w:lang w:val="fr-FR"/>
        </w:rPr>
        <w:t xml:space="preserve">rations) </w:t>
      </w:r>
      <w:r w:rsidR="005A21CC" w:rsidRPr="004138C2">
        <w:rPr>
          <w:sz w:val="22"/>
          <w:szCs w:val="22"/>
          <w:lang w:val="fr-FR"/>
        </w:rPr>
        <w:t xml:space="preserve">par d’autres traités et organisations de </w:t>
      </w:r>
      <w:r w:rsidRPr="004138C2">
        <w:rPr>
          <w:sz w:val="22"/>
          <w:szCs w:val="22"/>
          <w:lang w:val="fr-FR"/>
        </w:rPr>
        <w:t>conservation</w:t>
      </w:r>
      <w:r w:rsidR="005A21CC" w:rsidRPr="004138C2">
        <w:rPr>
          <w:sz w:val="22"/>
          <w:szCs w:val="22"/>
          <w:lang w:val="fr-FR"/>
        </w:rPr>
        <w:t>, et dont les évaluations apportent une contribution</w:t>
      </w:r>
      <w:r w:rsidRPr="004138C2">
        <w:rPr>
          <w:sz w:val="22"/>
          <w:szCs w:val="22"/>
          <w:lang w:val="fr-FR"/>
        </w:rPr>
        <w:t xml:space="preserve"> important</w:t>
      </w:r>
      <w:r w:rsidR="005A21CC" w:rsidRPr="004138C2">
        <w:rPr>
          <w:sz w:val="22"/>
          <w:szCs w:val="22"/>
          <w:lang w:val="fr-FR"/>
        </w:rPr>
        <w:t>e aux Rapports sur l’état de c</w:t>
      </w:r>
      <w:r w:rsidRPr="004138C2">
        <w:rPr>
          <w:sz w:val="22"/>
          <w:szCs w:val="22"/>
          <w:lang w:val="fr-FR"/>
        </w:rPr>
        <w:t xml:space="preserve">onservation </w:t>
      </w:r>
      <w:r w:rsidR="005A21CC" w:rsidRPr="004138C2">
        <w:rPr>
          <w:sz w:val="22"/>
          <w:szCs w:val="22"/>
          <w:lang w:val="fr-FR"/>
        </w:rPr>
        <w:t>de l’AEWA</w:t>
      </w:r>
      <w:r w:rsidRPr="004138C2">
        <w:rPr>
          <w:sz w:val="22"/>
          <w:szCs w:val="22"/>
          <w:lang w:val="fr-FR"/>
        </w:rPr>
        <w:t>.</w:t>
      </w:r>
      <w:r w:rsidR="00960059" w:rsidRPr="004138C2">
        <w:rPr>
          <w:sz w:val="22"/>
          <w:szCs w:val="22"/>
          <w:lang w:val="fr-FR"/>
        </w:rPr>
        <w:t xml:space="preserve"> </w:t>
      </w:r>
    </w:p>
    <w:p w14:paraId="047105C6" w14:textId="77777777" w:rsidR="0091332C" w:rsidRPr="004138C2" w:rsidRDefault="0091332C" w:rsidP="00BE2324">
      <w:pPr>
        <w:pStyle w:val="ListParagraph"/>
        <w:tabs>
          <w:tab w:val="left" w:pos="4185"/>
        </w:tabs>
        <w:spacing w:line="276" w:lineRule="auto"/>
        <w:ind w:left="778"/>
        <w:jc w:val="both"/>
        <w:rPr>
          <w:sz w:val="12"/>
          <w:szCs w:val="12"/>
          <w:lang w:val="fr-FR"/>
        </w:rPr>
      </w:pPr>
    </w:p>
    <w:p w14:paraId="60B06224" w14:textId="5A20D95C" w:rsidR="00960059" w:rsidRPr="004138C2" w:rsidRDefault="005A21CC"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La longueur des générations de la plupart des oiseaux d’eau est relativement longue.</w:t>
      </w:r>
      <w:r w:rsidR="00960059" w:rsidRPr="004138C2">
        <w:rPr>
          <w:sz w:val="22"/>
          <w:szCs w:val="22"/>
          <w:lang w:val="fr-FR"/>
        </w:rPr>
        <w:t xml:space="preserve"> </w:t>
      </w:r>
      <w:r w:rsidRPr="004138C2">
        <w:rPr>
          <w:sz w:val="22"/>
          <w:szCs w:val="22"/>
          <w:lang w:val="fr-FR"/>
        </w:rPr>
        <w:t xml:space="preserve">Aucune espèce de l’Annexe 2 de l’AEWA n’aurait </w:t>
      </w:r>
      <w:r w:rsidR="00501974" w:rsidRPr="004138C2">
        <w:rPr>
          <w:sz w:val="22"/>
          <w:szCs w:val="22"/>
          <w:lang w:val="fr-FR"/>
        </w:rPr>
        <w:t>des</w:t>
      </w:r>
      <w:r w:rsidRPr="004138C2">
        <w:rPr>
          <w:sz w:val="22"/>
          <w:szCs w:val="22"/>
          <w:lang w:val="fr-FR"/>
        </w:rPr>
        <w:t xml:space="preserve"> générations </w:t>
      </w:r>
      <w:r w:rsidR="00501974" w:rsidRPr="004138C2">
        <w:rPr>
          <w:sz w:val="22"/>
          <w:szCs w:val="22"/>
          <w:lang w:val="fr-FR"/>
        </w:rPr>
        <w:t xml:space="preserve">d’une longueur </w:t>
      </w:r>
      <w:r w:rsidR="002743C9">
        <w:rPr>
          <w:sz w:val="22"/>
          <w:szCs w:val="22"/>
          <w:lang w:val="fr-FR"/>
        </w:rPr>
        <w:t>inférieure à</w:t>
      </w:r>
      <w:r w:rsidRPr="004138C2">
        <w:rPr>
          <w:sz w:val="22"/>
          <w:szCs w:val="22"/>
          <w:lang w:val="fr-FR"/>
        </w:rPr>
        <w:t xml:space="preserve"> quatre ans, selon les données de la </w:t>
      </w:r>
      <w:proofErr w:type="spellStart"/>
      <w:r w:rsidRPr="004138C2">
        <w:rPr>
          <w:sz w:val="22"/>
          <w:szCs w:val="22"/>
          <w:lang w:val="fr-FR"/>
        </w:rPr>
        <w:t>DataZone</w:t>
      </w:r>
      <w:proofErr w:type="spellEnd"/>
      <w:r w:rsidRPr="004138C2">
        <w:rPr>
          <w:sz w:val="22"/>
          <w:szCs w:val="22"/>
          <w:lang w:val="fr-FR"/>
        </w:rPr>
        <w:t xml:space="preserve"> de </w:t>
      </w:r>
      <w:proofErr w:type="spellStart"/>
      <w:r w:rsidRPr="004138C2">
        <w:rPr>
          <w:sz w:val="22"/>
          <w:szCs w:val="22"/>
          <w:lang w:val="fr-FR"/>
        </w:rPr>
        <w:t>BirdLife</w:t>
      </w:r>
      <w:proofErr w:type="spellEnd"/>
      <w:r w:rsidRPr="004138C2">
        <w:rPr>
          <w:sz w:val="22"/>
          <w:szCs w:val="22"/>
          <w:lang w:val="fr-FR"/>
        </w:rPr>
        <w:t xml:space="preserve"> International, calculée suivant les définitions des critères de la Liste rouge de l’UICN.</w:t>
      </w:r>
      <w:r w:rsidR="00960059" w:rsidRPr="004138C2">
        <w:rPr>
          <w:sz w:val="22"/>
          <w:szCs w:val="22"/>
          <w:lang w:val="fr-FR"/>
        </w:rPr>
        <w:t xml:space="preserve"> </w:t>
      </w:r>
      <w:r w:rsidRPr="004138C2">
        <w:rPr>
          <w:sz w:val="22"/>
          <w:szCs w:val="22"/>
          <w:lang w:val="fr-FR"/>
        </w:rPr>
        <w:t xml:space="preserve">La plupart des espèces de l’AEWA aurait </w:t>
      </w:r>
      <w:r w:rsidR="00501974" w:rsidRPr="004138C2">
        <w:rPr>
          <w:sz w:val="22"/>
          <w:szCs w:val="22"/>
          <w:lang w:val="fr-FR"/>
        </w:rPr>
        <w:t>des</w:t>
      </w:r>
      <w:r w:rsidRPr="004138C2">
        <w:rPr>
          <w:sz w:val="22"/>
          <w:szCs w:val="22"/>
          <w:lang w:val="fr-FR"/>
        </w:rPr>
        <w:t xml:space="preserve"> générations </w:t>
      </w:r>
      <w:r w:rsidR="00501974" w:rsidRPr="004138C2">
        <w:rPr>
          <w:sz w:val="22"/>
          <w:szCs w:val="22"/>
          <w:lang w:val="fr-FR"/>
        </w:rPr>
        <w:t xml:space="preserve">d’une longueur </w:t>
      </w:r>
      <w:r w:rsidRPr="004138C2">
        <w:rPr>
          <w:sz w:val="22"/>
          <w:szCs w:val="22"/>
          <w:lang w:val="fr-FR"/>
        </w:rPr>
        <w:t xml:space="preserve">comprise entre 7 et 14 ans (voir </w:t>
      </w:r>
      <w:r w:rsidR="002743C9">
        <w:rPr>
          <w:sz w:val="22"/>
          <w:szCs w:val="22"/>
          <w:lang w:val="fr-FR"/>
        </w:rPr>
        <w:t xml:space="preserve">la </w:t>
      </w:r>
      <w:r w:rsidRPr="004138C2">
        <w:rPr>
          <w:sz w:val="22"/>
          <w:szCs w:val="22"/>
          <w:lang w:val="fr-FR"/>
        </w:rPr>
        <w:t xml:space="preserve">Figure 1 dans AEWA/MOP 5.22). </w:t>
      </w:r>
      <w:r w:rsidR="00CB0CF3" w:rsidRPr="004138C2">
        <w:rPr>
          <w:sz w:val="22"/>
          <w:szCs w:val="22"/>
          <w:lang w:val="fr-FR"/>
        </w:rPr>
        <w:t xml:space="preserve"> </w:t>
      </w:r>
      <w:r w:rsidRPr="004138C2">
        <w:rPr>
          <w:sz w:val="22"/>
          <w:szCs w:val="22"/>
          <w:lang w:val="fr-FR"/>
        </w:rPr>
        <w:t>Ceci donnerait lieu à de très longues périodes d’évaluation sur 7,5 générations (</w:t>
      </w:r>
      <w:r w:rsidR="002743C9">
        <w:rPr>
          <w:sz w:val="22"/>
          <w:szCs w:val="22"/>
          <w:lang w:val="fr-FR"/>
        </w:rPr>
        <w:t>soit</w:t>
      </w:r>
      <w:r w:rsidRPr="004138C2">
        <w:rPr>
          <w:sz w:val="22"/>
          <w:szCs w:val="22"/>
          <w:lang w:val="fr-FR"/>
        </w:rPr>
        <w:t xml:space="preserve"> 52 et 104 ans dans le cas de générations durant 7 et 14 ans, voir la Figure 2 de ce document).</w:t>
      </w:r>
      <w:r w:rsidR="00CB0CF3" w:rsidRPr="004138C2">
        <w:rPr>
          <w:sz w:val="22"/>
          <w:szCs w:val="22"/>
          <w:lang w:val="fr-FR"/>
        </w:rPr>
        <w:t xml:space="preserve"> </w:t>
      </w:r>
    </w:p>
    <w:p w14:paraId="1ECD88FD" w14:textId="77777777" w:rsidR="0091332C" w:rsidRPr="004138C2" w:rsidRDefault="0091332C" w:rsidP="00BE2324">
      <w:pPr>
        <w:pStyle w:val="ListParagraph"/>
        <w:rPr>
          <w:sz w:val="12"/>
          <w:szCs w:val="12"/>
          <w:lang w:val="fr-FR"/>
        </w:rPr>
      </w:pPr>
    </w:p>
    <w:p w14:paraId="69B1E1FB" w14:textId="0256662E" w:rsidR="00A50F25" w:rsidRPr="004138C2" w:rsidRDefault="005A21CC"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 xml:space="preserve">La différence au niveau du nombre de générations dont l’AEWA </w:t>
      </w:r>
      <w:r w:rsidR="0011791E" w:rsidRPr="004138C2">
        <w:rPr>
          <w:sz w:val="22"/>
          <w:szCs w:val="22"/>
          <w:lang w:val="fr-FR"/>
        </w:rPr>
        <w:t xml:space="preserve">et les autres instruments </w:t>
      </w:r>
      <w:r w:rsidRPr="004138C2">
        <w:rPr>
          <w:sz w:val="22"/>
          <w:szCs w:val="22"/>
          <w:lang w:val="fr-FR"/>
        </w:rPr>
        <w:t>tien</w:t>
      </w:r>
      <w:r w:rsidR="0011791E" w:rsidRPr="004138C2">
        <w:rPr>
          <w:sz w:val="22"/>
          <w:szCs w:val="22"/>
          <w:lang w:val="fr-FR"/>
        </w:rPr>
        <w:t>nen</w:t>
      </w:r>
      <w:r w:rsidRPr="004138C2">
        <w:rPr>
          <w:sz w:val="22"/>
          <w:szCs w:val="22"/>
          <w:lang w:val="fr-FR"/>
        </w:rPr>
        <w:t xml:space="preserve">t compte </w:t>
      </w:r>
      <w:r w:rsidR="0011791E" w:rsidRPr="004138C2">
        <w:rPr>
          <w:sz w:val="22"/>
          <w:szCs w:val="22"/>
          <w:lang w:val="fr-FR"/>
        </w:rPr>
        <w:t>rend l’utilisation des données communiquées dans d’autres processus moins efficace</w:t>
      </w:r>
      <w:r w:rsidRPr="004138C2">
        <w:rPr>
          <w:sz w:val="22"/>
          <w:szCs w:val="22"/>
          <w:lang w:val="fr-FR"/>
        </w:rPr>
        <w:t xml:space="preserve"> (</w:t>
      </w:r>
      <w:r w:rsidR="0011791E" w:rsidRPr="004138C2">
        <w:rPr>
          <w:sz w:val="22"/>
          <w:szCs w:val="22"/>
          <w:lang w:val="fr-FR"/>
        </w:rPr>
        <w:t>c’est-</w:t>
      </w:r>
      <w:r w:rsidR="0011791E" w:rsidRPr="004138C2">
        <w:rPr>
          <w:sz w:val="22"/>
          <w:szCs w:val="22"/>
          <w:lang w:val="fr-FR"/>
        </w:rPr>
        <w:lastRenderedPageBreak/>
        <w:t>à-dire qu’il faut davantage de temps et d’argent pour extrapoler les résultats</w:t>
      </w:r>
      <w:r w:rsidRPr="004138C2">
        <w:rPr>
          <w:sz w:val="22"/>
          <w:szCs w:val="22"/>
          <w:lang w:val="fr-FR"/>
        </w:rPr>
        <w:t xml:space="preserve"> </w:t>
      </w:r>
      <w:r w:rsidR="0011791E" w:rsidRPr="004138C2">
        <w:rPr>
          <w:sz w:val="22"/>
          <w:szCs w:val="22"/>
          <w:lang w:val="fr-FR"/>
        </w:rPr>
        <w:t>sur</w:t>
      </w:r>
      <w:r w:rsidRPr="004138C2">
        <w:rPr>
          <w:sz w:val="22"/>
          <w:szCs w:val="22"/>
          <w:lang w:val="fr-FR"/>
        </w:rPr>
        <w:t xml:space="preserve"> 7</w:t>
      </w:r>
      <w:r w:rsidR="0011791E" w:rsidRPr="004138C2">
        <w:rPr>
          <w:sz w:val="22"/>
          <w:szCs w:val="22"/>
          <w:lang w:val="fr-FR"/>
        </w:rPr>
        <w:t>,</w:t>
      </w:r>
      <w:r w:rsidRPr="004138C2">
        <w:rPr>
          <w:sz w:val="22"/>
          <w:szCs w:val="22"/>
          <w:lang w:val="fr-FR"/>
        </w:rPr>
        <w:t>5 g</w:t>
      </w:r>
      <w:r w:rsidR="0011791E" w:rsidRPr="004138C2">
        <w:rPr>
          <w:sz w:val="22"/>
          <w:szCs w:val="22"/>
          <w:lang w:val="fr-FR"/>
        </w:rPr>
        <w:t>éné</w:t>
      </w:r>
      <w:r w:rsidRPr="004138C2">
        <w:rPr>
          <w:sz w:val="22"/>
          <w:szCs w:val="22"/>
          <w:lang w:val="fr-FR"/>
        </w:rPr>
        <w:t xml:space="preserve">rations) </w:t>
      </w:r>
      <w:r w:rsidR="0011791E" w:rsidRPr="004138C2">
        <w:rPr>
          <w:sz w:val="22"/>
          <w:szCs w:val="22"/>
          <w:lang w:val="fr-FR"/>
        </w:rPr>
        <w:t>et peut mener à des évaluations d’état différentes</w:t>
      </w:r>
      <w:r w:rsidRPr="004138C2">
        <w:rPr>
          <w:sz w:val="22"/>
          <w:szCs w:val="22"/>
          <w:lang w:val="fr-FR"/>
        </w:rPr>
        <w:t xml:space="preserve"> (</w:t>
      </w:r>
      <w:r w:rsidR="002743C9">
        <w:rPr>
          <w:sz w:val="22"/>
          <w:szCs w:val="22"/>
          <w:lang w:val="fr-FR"/>
        </w:rPr>
        <w:t>ce qui prête</w:t>
      </w:r>
      <w:r w:rsidR="0011791E" w:rsidRPr="004138C2">
        <w:rPr>
          <w:sz w:val="22"/>
          <w:szCs w:val="22"/>
          <w:lang w:val="fr-FR"/>
        </w:rPr>
        <w:t xml:space="preserve"> à confusion chez toutes les parties prenantes</w:t>
      </w:r>
      <w:r w:rsidRPr="004138C2">
        <w:rPr>
          <w:sz w:val="22"/>
          <w:szCs w:val="22"/>
          <w:lang w:val="fr-FR"/>
        </w:rPr>
        <w:t>)</w:t>
      </w:r>
      <w:r w:rsidR="00501974" w:rsidRPr="004138C2">
        <w:rPr>
          <w:sz w:val="22"/>
          <w:szCs w:val="22"/>
          <w:lang w:val="fr-FR"/>
        </w:rPr>
        <w:t xml:space="preserve">. </w:t>
      </w:r>
      <w:r w:rsidR="002743C9">
        <w:rPr>
          <w:sz w:val="22"/>
          <w:szCs w:val="22"/>
          <w:lang w:val="fr-FR"/>
        </w:rPr>
        <w:t>Qui plus est</w:t>
      </w:r>
      <w:r w:rsidR="0011791E" w:rsidRPr="004138C2">
        <w:rPr>
          <w:sz w:val="22"/>
          <w:szCs w:val="22"/>
          <w:lang w:val="fr-FR"/>
        </w:rPr>
        <w:t xml:space="preserve">, </w:t>
      </w:r>
      <w:r w:rsidR="00501974" w:rsidRPr="004138C2">
        <w:rPr>
          <w:sz w:val="22"/>
          <w:szCs w:val="22"/>
          <w:lang w:val="fr-FR"/>
        </w:rPr>
        <w:t xml:space="preserve">elle peut </w:t>
      </w:r>
      <w:r w:rsidR="0011791E" w:rsidRPr="004138C2">
        <w:rPr>
          <w:sz w:val="22"/>
          <w:szCs w:val="22"/>
          <w:lang w:val="fr-FR"/>
        </w:rPr>
        <w:t>résulter dans des conséquences politiques contradictoires.</w:t>
      </w:r>
    </w:p>
    <w:p w14:paraId="2DEB2FF9" w14:textId="77777777" w:rsidR="0091332C" w:rsidRPr="004138C2" w:rsidRDefault="0091332C" w:rsidP="00BE2324">
      <w:pPr>
        <w:pStyle w:val="ListParagraph"/>
        <w:tabs>
          <w:tab w:val="left" w:pos="4185"/>
        </w:tabs>
        <w:spacing w:line="276" w:lineRule="auto"/>
        <w:ind w:left="778"/>
        <w:jc w:val="both"/>
        <w:rPr>
          <w:sz w:val="12"/>
          <w:szCs w:val="12"/>
          <w:lang w:val="fr-FR"/>
        </w:rPr>
      </w:pPr>
    </w:p>
    <w:p w14:paraId="68375164" w14:textId="6977C761" w:rsidR="00964697" w:rsidRPr="004138C2" w:rsidRDefault="0011791E"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Dans le cas d’un déclin à court terme (c’est-à-dire sur 10 ans), tel qu’introduit par la Résolution 5.7 pour fournir une alerte précoce en cas de déclins rapides, il y a habituellement un nombre insuffisant de points de données à la lumière des fluctuations naturelles et de la variation des échantillonnages</w:t>
      </w:r>
      <w:r w:rsidR="00501974" w:rsidRPr="004138C2">
        <w:rPr>
          <w:sz w:val="22"/>
          <w:szCs w:val="22"/>
          <w:lang w:val="fr-FR"/>
        </w:rPr>
        <w:t>,</w:t>
      </w:r>
      <w:r w:rsidRPr="004138C2">
        <w:rPr>
          <w:sz w:val="22"/>
          <w:szCs w:val="22"/>
          <w:lang w:val="fr-FR"/>
        </w:rPr>
        <w:t xml:space="preserve"> pour identifier de façon objective de véritables déclins </w:t>
      </w:r>
      <w:proofErr w:type="spellStart"/>
      <w:r w:rsidR="002743C9">
        <w:rPr>
          <w:sz w:val="22"/>
          <w:szCs w:val="22"/>
          <w:lang w:val="fr-FR"/>
        </w:rPr>
        <w:t>mérotant</w:t>
      </w:r>
      <w:proofErr w:type="spellEnd"/>
      <w:r w:rsidRPr="004138C2">
        <w:rPr>
          <w:sz w:val="22"/>
          <w:szCs w:val="22"/>
          <w:lang w:val="fr-FR"/>
        </w:rPr>
        <w:t xml:space="preserve"> véritablement l’attention.</w:t>
      </w:r>
    </w:p>
    <w:p w14:paraId="2D3A6928" w14:textId="760BB706" w:rsidR="00964697" w:rsidRPr="004138C2" w:rsidRDefault="0011791E"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 xml:space="preserve">Plusieurs problèmes sont en outre liés au terme de </w:t>
      </w:r>
      <w:r w:rsidRPr="004138C2">
        <w:rPr>
          <w:i/>
          <w:sz w:val="22"/>
          <w:szCs w:val="22"/>
          <w:lang w:val="fr-FR"/>
        </w:rPr>
        <w:t>déclin significatif à long terme</w:t>
      </w:r>
      <w:r w:rsidRPr="004138C2">
        <w:rPr>
          <w:sz w:val="22"/>
          <w:szCs w:val="22"/>
          <w:lang w:val="fr-FR"/>
        </w:rPr>
        <w:t>.</w:t>
      </w:r>
      <w:r w:rsidR="00A50F25" w:rsidRPr="004138C2">
        <w:rPr>
          <w:sz w:val="22"/>
          <w:szCs w:val="22"/>
          <w:lang w:val="fr-FR"/>
        </w:rPr>
        <w:t xml:space="preserve"> </w:t>
      </w:r>
      <w:r w:rsidRPr="004138C2">
        <w:rPr>
          <w:sz w:val="22"/>
          <w:szCs w:val="22"/>
          <w:lang w:val="fr-FR"/>
        </w:rPr>
        <w:t>L’un d’entre eux est que le mot « significatif » peut être interprété aussi bien comme « significatif d’un point de vue statistique » que comme « substantiel ».</w:t>
      </w:r>
      <w:r w:rsidR="00964697" w:rsidRPr="004138C2">
        <w:rPr>
          <w:sz w:val="22"/>
          <w:szCs w:val="22"/>
          <w:lang w:val="fr-FR"/>
        </w:rPr>
        <w:t xml:space="preserve"> </w:t>
      </w:r>
      <w:r w:rsidRPr="004138C2">
        <w:rPr>
          <w:sz w:val="22"/>
          <w:szCs w:val="22"/>
          <w:lang w:val="fr-FR"/>
        </w:rPr>
        <w:t xml:space="preserve">Les Résolutions 3.3 et 5.7 ont déjà </w:t>
      </w:r>
      <w:r w:rsidR="002743C9">
        <w:rPr>
          <w:sz w:val="22"/>
          <w:szCs w:val="22"/>
          <w:lang w:val="fr-FR"/>
        </w:rPr>
        <w:t>d</w:t>
      </w:r>
      <w:r w:rsidRPr="004138C2">
        <w:rPr>
          <w:sz w:val="22"/>
          <w:szCs w:val="22"/>
          <w:lang w:val="fr-FR"/>
        </w:rPr>
        <w:t>é</w:t>
      </w:r>
      <w:r w:rsidR="002743C9">
        <w:rPr>
          <w:sz w:val="22"/>
          <w:szCs w:val="22"/>
          <w:lang w:val="fr-FR"/>
        </w:rPr>
        <w:t>terminé</w:t>
      </w:r>
      <w:r w:rsidRPr="004138C2">
        <w:rPr>
          <w:sz w:val="22"/>
          <w:szCs w:val="22"/>
          <w:lang w:val="fr-FR"/>
        </w:rPr>
        <w:t xml:space="preserve"> que </w:t>
      </w:r>
      <w:r w:rsidR="002743C9">
        <w:rPr>
          <w:sz w:val="22"/>
          <w:szCs w:val="22"/>
          <w:lang w:val="fr-FR"/>
        </w:rPr>
        <w:t xml:space="preserve">c’est </w:t>
      </w:r>
      <w:r w:rsidRPr="004138C2">
        <w:rPr>
          <w:sz w:val="22"/>
          <w:szCs w:val="22"/>
          <w:lang w:val="fr-FR"/>
        </w:rPr>
        <w:t xml:space="preserve">cette dernière signification </w:t>
      </w:r>
      <w:r w:rsidR="002743C9">
        <w:rPr>
          <w:sz w:val="22"/>
          <w:szCs w:val="22"/>
          <w:lang w:val="fr-FR"/>
        </w:rPr>
        <w:t xml:space="preserve">qui </w:t>
      </w:r>
      <w:r w:rsidRPr="004138C2">
        <w:rPr>
          <w:sz w:val="22"/>
          <w:szCs w:val="22"/>
          <w:lang w:val="fr-FR"/>
        </w:rPr>
        <w:t>est utilisée.</w:t>
      </w:r>
      <w:r w:rsidR="00964697" w:rsidRPr="004138C2">
        <w:rPr>
          <w:sz w:val="22"/>
          <w:szCs w:val="22"/>
          <w:lang w:val="fr-FR"/>
        </w:rPr>
        <w:t xml:space="preserve"> </w:t>
      </w:r>
      <w:r w:rsidR="0079799A" w:rsidRPr="004138C2">
        <w:rPr>
          <w:sz w:val="22"/>
          <w:szCs w:val="22"/>
          <w:lang w:val="fr-FR"/>
        </w:rPr>
        <w:t xml:space="preserve">Toutefois, dans d’autres évaluations, le même taux de déclin est considéré plus « modéré » et la Liste rouge européenne appelle </w:t>
      </w:r>
      <w:r w:rsidR="002743C9">
        <w:rPr>
          <w:sz w:val="22"/>
          <w:szCs w:val="22"/>
          <w:lang w:val="fr-FR"/>
        </w:rPr>
        <w:t>le</w:t>
      </w:r>
      <w:r w:rsidR="0079799A" w:rsidRPr="004138C2">
        <w:rPr>
          <w:sz w:val="22"/>
          <w:szCs w:val="22"/>
          <w:lang w:val="fr-FR"/>
        </w:rPr>
        <w:t xml:space="preserve"> changement équivalent tout simplement « en déclin ».</w:t>
      </w:r>
      <w:r w:rsidR="00964697" w:rsidRPr="004138C2">
        <w:rPr>
          <w:sz w:val="22"/>
          <w:szCs w:val="22"/>
          <w:lang w:val="fr-FR"/>
        </w:rPr>
        <w:t xml:space="preserve"> </w:t>
      </w:r>
      <w:r w:rsidR="0079799A" w:rsidRPr="004138C2">
        <w:rPr>
          <w:sz w:val="22"/>
          <w:szCs w:val="22"/>
          <w:lang w:val="fr-FR"/>
        </w:rPr>
        <w:t xml:space="preserve">Un autre problème lié à ce terme est que le critère est également utilisé pour estimer </w:t>
      </w:r>
      <w:r w:rsidR="002743C9">
        <w:rPr>
          <w:sz w:val="22"/>
          <w:szCs w:val="22"/>
          <w:lang w:val="fr-FR"/>
        </w:rPr>
        <w:t>l</w:t>
      </w:r>
      <w:r w:rsidR="0079799A" w:rsidRPr="004138C2">
        <w:rPr>
          <w:sz w:val="22"/>
          <w:szCs w:val="22"/>
          <w:lang w:val="fr-FR"/>
        </w:rPr>
        <w:t>es changements rapides à court terme.</w:t>
      </w:r>
      <w:r w:rsidR="00E30B25" w:rsidRPr="004138C2">
        <w:rPr>
          <w:sz w:val="22"/>
          <w:szCs w:val="22"/>
          <w:lang w:val="fr-FR"/>
        </w:rPr>
        <w:t xml:space="preserve"> </w:t>
      </w:r>
    </w:p>
    <w:p w14:paraId="34E0F8BA" w14:textId="77777777" w:rsidR="004C0A6D" w:rsidRPr="004138C2" w:rsidRDefault="004C0A6D">
      <w:pPr>
        <w:tabs>
          <w:tab w:val="left" w:pos="4185"/>
        </w:tabs>
        <w:spacing w:line="276" w:lineRule="auto"/>
        <w:jc w:val="both"/>
        <w:rPr>
          <w:sz w:val="22"/>
          <w:szCs w:val="22"/>
          <w:lang w:val="fr-FR"/>
        </w:rPr>
      </w:pPr>
    </w:p>
    <w:p w14:paraId="255DFA3F" w14:textId="77777777" w:rsidR="00FD5ECC" w:rsidRPr="004138C2" w:rsidRDefault="00FD5ECC">
      <w:pPr>
        <w:tabs>
          <w:tab w:val="left" w:pos="4185"/>
        </w:tabs>
        <w:spacing w:line="276" w:lineRule="auto"/>
        <w:jc w:val="both"/>
        <w:rPr>
          <w:sz w:val="22"/>
          <w:szCs w:val="22"/>
          <w:lang w:val="fr-FR"/>
        </w:rPr>
      </w:pPr>
    </w:p>
    <w:p w14:paraId="2155F9E3" w14:textId="77777777" w:rsidR="00322442" w:rsidRPr="004138C2" w:rsidRDefault="00D4043D" w:rsidP="00BE2324">
      <w:pPr>
        <w:tabs>
          <w:tab w:val="left" w:pos="4185"/>
        </w:tabs>
        <w:spacing w:line="276" w:lineRule="auto"/>
        <w:jc w:val="both"/>
        <w:rPr>
          <w:lang w:val="fr-FR"/>
        </w:rPr>
      </w:pPr>
      <w:r w:rsidRPr="004138C2">
        <w:rPr>
          <w:noProof/>
          <w:lang w:val="nl-NL" w:eastAsia="nl-NL"/>
        </w:rPr>
        <w:drawing>
          <wp:anchor distT="0" distB="0" distL="114300" distR="114300" simplePos="0" relativeHeight="251659264" behindDoc="1" locked="0" layoutInCell="1" allowOverlap="1" wp14:anchorId="6C4D860B" wp14:editId="05466C30">
            <wp:simplePos x="0" y="0"/>
            <wp:positionH relativeFrom="margin">
              <wp:posOffset>278765</wp:posOffset>
            </wp:positionH>
            <wp:positionV relativeFrom="paragraph">
              <wp:posOffset>15875</wp:posOffset>
            </wp:positionV>
            <wp:extent cx="4581525" cy="2762250"/>
            <wp:effectExtent l="0" t="0" r="9525" b="0"/>
            <wp:wrapTight wrapText="bothSides">
              <wp:wrapPolygon edited="0">
                <wp:start x="0" y="0"/>
                <wp:lineTo x="0" y="21451"/>
                <wp:lineTo x="21555" y="21451"/>
                <wp:lineTo x="21555" y="0"/>
                <wp:lineTo x="0" y="0"/>
              </wp:wrapPolygon>
            </wp:wrapTight>
            <wp:docPr id="2" name="Picture 2" descr="Start of the 7 half and 3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of the 7 half and 3 gener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03960" w14:textId="1AF35F07" w:rsidR="00B23D78" w:rsidRDefault="00B23D78" w:rsidP="00BE2324">
      <w:pPr>
        <w:tabs>
          <w:tab w:val="left" w:pos="4185"/>
        </w:tabs>
        <w:spacing w:line="276" w:lineRule="auto"/>
        <w:rPr>
          <w:sz w:val="6"/>
          <w:szCs w:val="6"/>
          <w:lang w:val="fr-FR"/>
        </w:rPr>
      </w:pPr>
    </w:p>
    <w:p w14:paraId="05915887" w14:textId="77777777" w:rsidR="0058457A" w:rsidRPr="0058457A" w:rsidRDefault="0058457A" w:rsidP="00BE2324">
      <w:pPr>
        <w:tabs>
          <w:tab w:val="left" w:pos="4185"/>
        </w:tabs>
        <w:spacing w:line="276" w:lineRule="auto"/>
        <w:rPr>
          <w:sz w:val="6"/>
          <w:szCs w:val="6"/>
          <w:lang w:val="fr-FR"/>
        </w:rPr>
      </w:pPr>
    </w:p>
    <w:p w14:paraId="6246B011" w14:textId="5723AE8C"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Entre 10 et 25 ans</w:t>
      </w:r>
    </w:p>
    <w:p w14:paraId="0EEC1378" w14:textId="77777777" w:rsidR="0058457A" w:rsidRPr="00A92D75" w:rsidRDefault="0058457A" w:rsidP="0058457A">
      <w:pPr>
        <w:tabs>
          <w:tab w:val="left" w:pos="4185"/>
        </w:tabs>
        <w:spacing w:line="276" w:lineRule="auto"/>
        <w:rPr>
          <w:color w:val="2F5496" w:themeColor="accent1" w:themeShade="BF"/>
          <w:sz w:val="28"/>
          <w:szCs w:val="28"/>
          <w:lang w:val="fr-FR"/>
        </w:rPr>
      </w:pPr>
    </w:p>
    <w:p w14:paraId="4CDD6201" w14:textId="18FDD1EA"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1980-1991 (après DO)</w:t>
      </w:r>
    </w:p>
    <w:p w14:paraId="5C6ACD0E" w14:textId="77777777" w:rsidR="0058457A" w:rsidRPr="00A92D75" w:rsidRDefault="0058457A" w:rsidP="0058457A">
      <w:pPr>
        <w:tabs>
          <w:tab w:val="left" w:pos="4185"/>
        </w:tabs>
        <w:spacing w:line="276" w:lineRule="auto"/>
        <w:rPr>
          <w:color w:val="2F5496" w:themeColor="accent1" w:themeShade="BF"/>
          <w:sz w:val="28"/>
          <w:szCs w:val="28"/>
          <w:lang w:val="fr-FR"/>
        </w:rPr>
      </w:pPr>
    </w:p>
    <w:p w14:paraId="6405946E" w14:textId="77777777"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1967-1980 (après IWC)</w:t>
      </w:r>
    </w:p>
    <w:p w14:paraId="5D61DDBE" w14:textId="77777777" w:rsidR="0058457A" w:rsidRPr="00A92D75" w:rsidRDefault="0058457A" w:rsidP="0058457A">
      <w:pPr>
        <w:tabs>
          <w:tab w:val="left" w:pos="4185"/>
        </w:tabs>
        <w:spacing w:line="276" w:lineRule="auto"/>
        <w:rPr>
          <w:color w:val="2F5496" w:themeColor="accent1" w:themeShade="BF"/>
          <w:sz w:val="28"/>
          <w:szCs w:val="28"/>
          <w:lang w:val="fr-FR"/>
        </w:rPr>
      </w:pPr>
    </w:p>
    <w:p w14:paraId="451C3885" w14:textId="1391D9EC"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1941-1967</w:t>
      </w:r>
    </w:p>
    <w:p w14:paraId="46B1FB4C" w14:textId="77777777" w:rsidR="0058457A" w:rsidRPr="00A92D75" w:rsidRDefault="0058457A" w:rsidP="0058457A">
      <w:pPr>
        <w:tabs>
          <w:tab w:val="left" w:pos="4185"/>
        </w:tabs>
        <w:spacing w:line="276" w:lineRule="auto"/>
        <w:rPr>
          <w:color w:val="2F5496" w:themeColor="accent1" w:themeShade="BF"/>
          <w:sz w:val="8"/>
          <w:szCs w:val="8"/>
          <w:lang w:val="fr-FR"/>
        </w:rPr>
      </w:pPr>
    </w:p>
    <w:p w14:paraId="28D614CE" w14:textId="77777777" w:rsidR="0058457A" w:rsidRPr="00A92D75" w:rsidRDefault="0058457A" w:rsidP="0058457A">
      <w:pPr>
        <w:tabs>
          <w:tab w:val="left" w:pos="4185"/>
        </w:tabs>
        <w:spacing w:line="276" w:lineRule="auto"/>
        <w:rPr>
          <w:color w:val="2F5496" w:themeColor="accent1" w:themeShade="BF"/>
          <w:sz w:val="18"/>
          <w:szCs w:val="18"/>
          <w:lang w:val="fr-FR"/>
        </w:rPr>
      </w:pPr>
    </w:p>
    <w:p w14:paraId="66B12A1E" w14:textId="106BCA58"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1914-1941 (entre-deux guerres)</w:t>
      </w:r>
    </w:p>
    <w:p w14:paraId="123E5435" w14:textId="5D6CE32D" w:rsidR="0058457A" w:rsidRPr="00A92D75" w:rsidRDefault="0058457A" w:rsidP="0058457A">
      <w:pPr>
        <w:tabs>
          <w:tab w:val="left" w:pos="4185"/>
        </w:tabs>
        <w:spacing w:line="276" w:lineRule="auto"/>
        <w:rPr>
          <w:color w:val="2F5496" w:themeColor="accent1" w:themeShade="BF"/>
          <w:sz w:val="6"/>
          <w:szCs w:val="6"/>
          <w:lang w:val="fr-FR"/>
        </w:rPr>
      </w:pPr>
    </w:p>
    <w:p w14:paraId="35541256" w14:textId="77777777" w:rsidR="0058457A" w:rsidRPr="00A92D75" w:rsidRDefault="0058457A" w:rsidP="0058457A">
      <w:pPr>
        <w:tabs>
          <w:tab w:val="left" w:pos="4185"/>
        </w:tabs>
        <w:spacing w:line="276" w:lineRule="auto"/>
        <w:rPr>
          <w:color w:val="2F5496" w:themeColor="accent1" w:themeShade="BF"/>
          <w:sz w:val="6"/>
          <w:szCs w:val="6"/>
          <w:lang w:val="fr-FR"/>
        </w:rPr>
      </w:pPr>
    </w:p>
    <w:p w14:paraId="35A9BF01" w14:textId="77777777"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Avant 1914</w:t>
      </w:r>
    </w:p>
    <w:p w14:paraId="588615C1" w14:textId="77777777" w:rsidR="00B23D78" w:rsidRPr="0058457A" w:rsidRDefault="00B23D78" w:rsidP="00BE2324">
      <w:pPr>
        <w:tabs>
          <w:tab w:val="left" w:pos="4185"/>
        </w:tabs>
        <w:spacing w:line="276" w:lineRule="auto"/>
        <w:rPr>
          <w:sz w:val="18"/>
          <w:szCs w:val="18"/>
          <w:lang w:val="fr-FR"/>
        </w:rPr>
      </w:pPr>
    </w:p>
    <w:p w14:paraId="2AFD6CF3" w14:textId="77777777" w:rsidR="00B23D78" w:rsidRPr="004138C2" w:rsidRDefault="00B23D78" w:rsidP="00BE2324">
      <w:pPr>
        <w:tabs>
          <w:tab w:val="left" w:pos="4185"/>
        </w:tabs>
        <w:spacing w:line="276" w:lineRule="auto"/>
        <w:rPr>
          <w:lang w:val="fr-FR"/>
        </w:rPr>
      </w:pPr>
    </w:p>
    <w:p w14:paraId="35D99DB5" w14:textId="77777777" w:rsidR="00B23D78" w:rsidRPr="004138C2" w:rsidRDefault="00B23D78" w:rsidP="00BE2324">
      <w:pPr>
        <w:tabs>
          <w:tab w:val="left" w:pos="4185"/>
        </w:tabs>
        <w:spacing w:line="276" w:lineRule="auto"/>
        <w:rPr>
          <w:lang w:val="fr-FR"/>
        </w:rPr>
      </w:pPr>
    </w:p>
    <w:p w14:paraId="76217879" w14:textId="365FBBCB" w:rsidR="0058457A" w:rsidRPr="00A92D75" w:rsidRDefault="0058457A" w:rsidP="0058457A">
      <w:pPr>
        <w:tabs>
          <w:tab w:val="left" w:pos="2127"/>
        </w:tabs>
        <w:spacing w:line="276" w:lineRule="auto"/>
        <w:rPr>
          <w:color w:val="2F5496" w:themeColor="accent1" w:themeShade="BF"/>
          <w:sz w:val="22"/>
          <w:szCs w:val="22"/>
          <w:lang w:val="fr-FR"/>
        </w:rPr>
      </w:pPr>
      <w:r w:rsidRPr="00A92D75">
        <w:rPr>
          <w:color w:val="2F5496" w:themeColor="accent1" w:themeShade="BF"/>
          <w:sz w:val="22"/>
          <w:szCs w:val="22"/>
          <w:lang w:val="fr-FR"/>
        </w:rPr>
        <w:t xml:space="preserve">                           3 générations</w:t>
      </w:r>
      <w:r w:rsidRPr="00A92D75">
        <w:rPr>
          <w:color w:val="2F5496" w:themeColor="accent1" w:themeShade="BF"/>
          <w:sz w:val="22"/>
          <w:szCs w:val="22"/>
          <w:lang w:val="fr-FR"/>
        </w:rPr>
        <w:tab/>
        <w:t xml:space="preserve">     7,5 générations</w:t>
      </w:r>
    </w:p>
    <w:p w14:paraId="1AC0C6D1" w14:textId="77777777" w:rsidR="004138C2" w:rsidRPr="004138C2" w:rsidRDefault="004138C2" w:rsidP="004138C2">
      <w:pPr>
        <w:tabs>
          <w:tab w:val="left" w:pos="2127"/>
        </w:tabs>
        <w:spacing w:line="276" w:lineRule="auto"/>
        <w:rPr>
          <w:sz w:val="22"/>
          <w:szCs w:val="22"/>
          <w:lang w:val="fr-FR"/>
        </w:rPr>
      </w:pPr>
    </w:p>
    <w:p w14:paraId="1CAC3913" w14:textId="43945A2D" w:rsidR="00D441B7" w:rsidRPr="004138C2" w:rsidRDefault="0079799A" w:rsidP="00501974">
      <w:pPr>
        <w:tabs>
          <w:tab w:val="left" w:pos="4185"/>
        </w:tabs>
        <w:spacing w:line="280" w:lineRule="auto"/>
        <w:rPr>
          <w:i/>
          <w:sz w:val="22"/>
          <w:szCs w:val="22"/>
          <w:lang w:val="fr-FR"/>
        </w:rPr>
        <w:sectPr w:rsidR="00D441B7" w:rsidRPr="004138C2" w:rsidSect="000434D4">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09" w:footer="709" w:gutter="0"/>
          <w:pgNumType w:start="1"/>
          <w:cols w:space="708"/>
          <w:titlePg/>
          <w:docGrid w:linePitch="360"/>
        </w:sectPr>
      </w:pPr>
      <w:r w:rsidRPr="004138C2">
        <w:rPr>
          <w:i/>
          <w:sz w:val="22"/>
          <w:szCs w:val="22"/>
          <w:lang w:val="fr-FR"/>
        </w:rPr>
        <w:t>Figure 2. Pourcentage des populations de l’AEWA selon le début des périodes de 3 et de 7,5 générations</w:t>
      </w:r>
    </w:p>
    <w:p w14:paraId="16165CCE" w14:textId="177510AE" w:rsidR="00781102" w:rsidRPr="004138C2" w:rsidRDefault="0079799A" w:rsidP="00501974">
      <w:pPr>
        <w:tabs>
          <w:tab w:val="left" w:pos="4185"/>
        </w:tabs>
        <w:spacing w:line="280" w:lineRule="auto"/>
        <w:jc w:val="both"/>
        <w:rPr>
          <w:b/>
          <w:lang w:val="fr-FR"/>
        </w:rPr>
      </w:pPr>
      <w:r w:rsidRPr="004138C2">
        <w:rPr>
          <w:b/>
          <w:lang w:val="fr-FR"/>
        </w:rPr>
        <w:lastRenderedPageBreak/>
        <w:t>Solution proposée</w:t>
      </w:r>
      <w:r w:rsidR="00781102" w:rsidRPr="004138C2">
        <w:rPr>
          <w:b/>
          <w:lang w:val="fr-FR"/>
        </w:rPr>
        <w:t xml:space="preserve"> </w:t>
      </w:r>
    </w:p>
    <w:p w14:paraId="12E56DD5" w14:textId="77777777" w:rsidR="0091332C" w:rsidRPr="004138C2" w:rsidRDefault="0091332C">
      <w:pPr>
        <w:tabs>
          <w:tab w:val="left" w:pos="4185"/>
        </w:tabs>
        <w:spacing w:line="276" w:lineRule="auto"/>
        <w:jc w:val="both"/>
        <w:rPr>
          <w:b/>
          <w:lang w:val="fr-FR"/>
        </w:rPr>
      </w:pPr>
    </w:p>
    <w:p w14:paraId="72F30893" w14:textId="0171AE94" w:rsidR="00413B34" w:rsidRPr="004138C2" w:rsidRDefault="0079799A" w:rsidP="00501974">
      <w:pPr>
        <w:tabs>
          <w:tab w:val="left" w:pos="4185"/>
        </w:tabs>
        <w:spacing w:line="280" w:lineRule="auto"/>
        <w:jc w:val="both"/>
        <w:rPr>
          <w:sz w:val="22"/>
          <w:szCs w:val="22"/>
          <w:lang w:val="fr-FR"/>
        </w:rPr>
      </w:pPr>
      <w:r w:rsidRPr="004138C2">
        <w:rPr>
          <w:sz w:val="22"/>
          <w:szCs w:val="22"/>
          <w:lang w:val="fr-FR"/>
        </w:rPr>
        <w:t>La présente proposition suggère les changements suivants :</w:t>
      </w:r>
    </w:p>
    <w:p w14:paraId="7B2C03CC" w14:textId="77777777" w:rsidR="0091332C" w:rsidRPr="004138C2" w:rsidRDefault="0091332C">
      <w:pPr>
        <w:tabs>
          <w:tab w:val="left" w:pos="4185"/>
        </w:tabs>
        <w:spacing w:line="276" w:lineRule="auto"/>
        <w:jc w:val="both"/>
        <w:rPr>
          <w:sz w:val="22"/>
          <w:szCs w:val="22"/>
          <w:lang w:val="fr-FR"/>
        </w:rPr>
      </w:pPr>
    </w:p>
    <w:p w14:paraId="4B2E128D" w14:textId="77777777" w:rsidR="0091332C" w:rsidRPr="004138C2" w:rsidRDefault="0091332C" w:rsidP="00BE2324">
      <w:pPr>
        <w:shd w:val="clear" w:color="auto" w:fill="F2F2F2" w:themeFill="background1" w:themeFillShade="F2"/>
        <w:tabs>
          <w:tab w:val="left" w:pos="4185"/>
        </w:tabs>
        <w:spacing w:line="276" w:lineRule="auto"/>
        <w:jc w:val="both"/>
        <w:rPr>
          <w:sz w:val="22"/>
          <w:szCs w:val="22"/>
          <w:lang w:val="fr-FR"/>
        </w:rPr>
      </w:pPr>
    </w:p>
    <w:p w14:paraId="709CE304" w14:textId="069D3A2A" w:rsidR="00E30B25" w:rsidRPr="004138C2" w:rsidRDefault="0079799A" w:rsidP="0050197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fr-FR"/>
        </w:rPr>
      </w:pPr>
      <w:r w:rsidRPr="004138C2">
        <w:rPr>
          <w:sz w:val="22"/>
          <w:szCs w:val="22"/>
          <w:lang w:val="fr-FR"/>
        </w:rPr>
        <w:t>Retire le mot « significatif » des critères A3(c) et B2(c) ;</w:t>
      </w:r>
    </w:p>
    <w:p w14:paraId="4DBDF4C8" w14:textId="4C32239A" w:rsidR="00E30B25" w:rsidRPr="004138C2" w:rsidRDefault="0079799A" w:rsidP="0050197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fr-FR"/>
        </w:rPr>
      </w:pPr>
      <w:r w:rsidRPr="004138C2">
        <w:rPr>
          <w:sz w:val="22"/>
          <w:szCs w:val="22"/>
          <w:lang w:val="fr-FR"/>
        </w:rPr>
        <w:t>Créer de nouveaux critères A3(e) et B2(e) pour </w:t>
      </w:r>
      <w:r w:rsidRPr="004138C2">
        <w:rPr>
          <w:i/>
          <w:sz w:val="22"/>
          <w:szCs w:val="22"/>
          <w:lang w:val="fr-FR"/>
        </w:rPr>
        <w:t xml:space="preserve">le déclin rapide à court terme </w:t>
      </w:r>
      <w:r w:rsidRPr="004138C2">
        <w:rPr>
          <w:sz w:val="22"/>
          <w:szCs w:val="22"/>
          <w:lang w:val="fr-FR"/>
        </w:rPr>
        <w:t>;</w:t>
      </w:r>
    </w:p>
    <w:p w14:paraId="0B647EE4" w14:textId="3F0DD68A" w:rsidR="00E30B25" w:rsidRPr="004138C2" w:rsidRDefault="0079799A" w:rsidP="0050197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fr-FR"/>
        </w:rPr>
      </w:pPr>
      <w:r w:rsidRPr="004138C2">
        <w:rPr>
          <w:sz w:val="22"/>
          <w:szCs w:val="22"/>
          <w:lang w:val="fr-FR"/>
        </w:rPr>
        <w:t>Réduire la période d’évaluation du déclin à long terme en le faisant passer de 7,5 à 3 générations ; et</w:t>
      </w:r>
    </w:p>
    <w:p w14:paraId="2964A953" w14:textId="374F19E7" w:rsidR="00E30B25" w:rsidRPr="004138C2" w:rsidRDefault="0079799A" w:rsidP="00501974">
      <w:pPr>
        <w:pStyle w:val="ListParagraph"/>
        <w:numPr>
          <w:ilvl w:val="0"/>
          <w:numId w:val="16"/>
        </w:numPr>
        <w:shd w:val="clear" w:color="auto" w:fill="F2F2F2" w:themeFill="background1" w:themeFillShade="F2"/>
        <w:tabs>
          <w:tab w:val="left" w:pos="4185"/>
        </w:tabs>
        <w:spacing w:line="280" w:lineRule="auto"/>
        <w:ind w:left="426" w:hanging="426"/>
        <w:jc w:val="both"/>
        <w:rPr>
          <w:sz w:val="22"/>
          <w:szCs w:val="22"/>
          <w:lang w:val="fr-FR"/>
        </w:rPr>
      </w:pPr>
      <w:r w:rsidRPr="004138C2">
        <w:rPr>
          <w:sz w:val="22"/>
          <w:szCs w:val="22"/>
          <w:lang w:val="fr-FR"/>
        </w:rPr>
        <w:t xml:space="preserve">Rehausser le seuil du déclin rapide à long terme en le faisant équivaloir à 30 % de déclins sur trois générations, </w:t>
      </w:r>
      <w:r w:rsidR="002743C9">
        <w:rPr>
          <w:sz w:val="22"/>
          <w:szCs w:val="22"/>
          <w:lang w:val="fr-FR"/>
        </w:rPr>
        <w:t>en se basant</w:t>
      </w:r>
      <w:r w:rsidRPr="004138C2">
        <w:rPr>
          <w:sz w:val="22"/>
          <w:szCs w:val="22"/>
          <w:lang w:val="fr-FR"/>
        </w:rPr>
        <w:t xml:space="preserve"> </w:t>
      </w:r>
      <w:r w:rsidR="002743C9">
        <w:rPr>
          <w:sz w:val="22"/>
          <w:szCs w:val="22"/>
          <w:lang w:val="fr-FR"/>
        </w:rPr>
        <w:t>sur l</w:t>
      </w:r>
      <w:r w:rsidRPr="004138C2">
        <w:rPr>
          <w:sz w:val="22"/>
          <w:szCs w:val="22"/>
          <w:lang w:val="fr-FR"/>
        </w:rPr>
        <w:t>es données les plus récentes</w:t>
      </w:r>
      <w:r w:rsidR="002743C9">
        <w:rPr>
          <w:sz w:val="22"/>
          <w:szCs w:val="22"/>
          <w:lang w:val="fr-FR"/>
        </w:rPr>
        <w:t xml:space="preserve"> des 10 dernières années</w:t>
      </w:r>
      <w:r w:rsidRPr="004138C2">
        <w:rPr>
          <w:sz w:val="22"/>
          <w:szCs w:val="22"/>
          <w:lang w:val="fr-FR"/>
        </w:rPr>
        <w:t>.</w:t>
      </w:r>
      <w:r w:rsidR="003A7B2F" w:rsidRPr="004138C2">
        <w:rPr>
          <w:sz w:val="22"/>
          <w:szCs w:val="22"/>
          <w:lang w:val="fr-FR"/>
        </w:rPr>
        <w:t xml:space="preserve"> </w:t>
      </w:r>
      <w:r w:rsidRPr="004138C2">
        <w:rPr>
          <w:sz w:val="22"/>
          <w:szCs w:val="22"/>
          <w:lang w:val="fr-FR"/>
        </w:rPr>
        <w:t xml:space="preserve">(Ce seuil est équivalent au critère </w:t>
      </w:r>
      <w:r w:rsidR="002743C9">
        <w:rPr>
          <w:sz w:val="22"/>
          <w:szCs w:val="22"/>
          <w:lang w:val="fr-FR"/>
        </w:rPr>
        <w:t>concerné</w:t>
      </w:r>
      <w:r w:rsidRPr="004138C2">
        <w:rPr>
          <w:sz w:val="22"/>
          <w:szCs w:val="22"/>
          <w:lang w:val="fr-FR"/>
        </w:rPr>
        <w:t xml:space="preserve"> de Vulnérable </w:t>
      </w:r>
      <w:r w:rsidR="002743C9">
        <w:rPr>
          <w:sz w:val="22"/>
          <w:szCs w:val="22"/>
          <w:lang w:val="fr-FR"/>
        </w:rPr>
        <w:t>sur</w:t>
      </w:r>
      <w:r w:rsidRPr="004138C2">
        <w:rPr>
          <w:sz w:val="22"/>
          <w:szCs w:val="22"/>
          <w:lang w:val="fr-FR"/>
        </w:rPr>
        <w:t xml:space="preserve"> la Liste rouge de l’UICN).</w:t>
      </w:r>
      <w:r w:rsidR="003A7B2F" w:rsidRPr="004138C2">
        <w:rPr>
          <w:sz w:val="22"/>
          <w:szCs w:val="22"/>
          <w:lang w:val="fr-FR"/>
        </w:rPr>
        <w:t xml:space="preserve"> </w:t>
      </w:r>
    </w:p>
    <w:p w14:paraId="29192B39" w14:textId="77777777" w:rsidR="0091332C" w:rsidRPr="004138C2" w:rsidRDefault="0091332C" w:rsidP="00BE2324">
      <w:pPr>
        <w:shd w:val="clear" w:color="auto" w:fill="F2F2F2" w:themeFill="background1" w:themeFillShade="F2"/>
        <w:tabs>
          <w:tab w:val="left" w:pos="4185"/>
        </w:tabs>
        <w:spacing w:line="360" w:lineRule="auto"/>
        <w:jc w:val="both"/>
        <w:rPr>
          <w:sz w:val="16"/>
          <w:szCs w:val="16"/>
          <w:lang w:val="fr-FR"/>
        </w:rPr>
      </w:pPr>
    </w:p>
    <w:p w14:paraId="15C0AD59" w14:textId="44A21750" w:rsidR="00E30B25" w:rsidRPr="004138C2" w:rsidRDefault="00E30B25">
      <w:pPr>
        <w:tabs>
          <w:tab w:val="left" w:pos="4185"/>
        </w:tabs>
        <w:spacing w:line="276" w:lineRule="auto"/>
        <w:jc w:val="both"/>
        <w:rPr>
          <w:sz w:val="22"/>
          <w:szCs w:val="22"/>
          <w:lang w:val="fr-FR"/>
        </w:rPr>
      </w:pPr>
    </w:p>
    <w:p w14:paraId="19653846" w14:textId="77777777" w:rsidR="0091332C" w:rsidRPr="004138C2" w:rsidRDefault="0091332C">
      <w:pPr>
        <w:tabs>
          <w:tab w:val="left" w:pos="4185"/>
        </w:tabs>
        <w:spacing w:line="276" w:lineRule="auto"/>
        <w:jc w:val="both"/>
        <w:rPr>
          <w:sz w:val="22"/>
          <w:szCs w:val="22"/>
          <w:lang w:val="fr-FR"/>
        </w:rPr>
      </w:pPr>
    </w:p>
    <w:p w14:paraId="1BC6DACB" w14:textId="2D608182" w:rsidR="00E30B25" w:rsidRPr="004138C2" w:rsidRDefault="0079799A" w:rsidP="00501974">
      <w:pPr>
        <w:tabs>
          <w:tab w:val="left" w:pos="4185"/>
        </w:tabs>
        <w:spacing w:line="280" w:lineRule="auto"/>
        <w:jc w:val="both"/>
        <w:rPr>
          <w:b/>
          <w:lang w:val="fr-FR"/>
        </w:rPr>
      </w:pPr>
      <w:r w:rsidRPr="004138C2">
        <w:rPr>
          <w:b/>
          <w:lang w:val="fr-FR"/>
        </w:rPr>
        <w:t>Conséquences attendues</w:t>
      </w:r>
    </w:p>
    <w:p w14:paraId="123A8AE4" w14:textId="77777777" w:rsidR="0091332C" w:rsidRPr="004138C2" w:rsidRDefault="0091332C">
      <w:pPr>
        <w:tabs>
          <w:tab w:val="left" w:pos="4185"/>
        </w:tabs>
        <w:spacing w:line="276" w:lineRule="auto"/>
        <w:jc w:val="both"/>
        <w:rPr>
          <w:b/>
          <w:lang w:val="fr-FR"/>
        </w:rPr>
      </w:pPr>
    </w:p>
    <w:p w14:paraId="36C45EB6" w14:textId="5E88E936" w:rsidR="00E30B25" w:rsidRPr="004138C2" w:rsidRDefault="0079799A" w:rsidP="00501974">
      <w:pPr>
        <w:tabs>
          <w:tab w:val="left" w:pos="4185"/>
        </w:tabs>
        <w:spacing w:line="280" w:lineRule="auto"/>
        <w:jc w:val="both"/>
        <w:rPr>
          <w:sz w:val="22"/>
          <w:szCs w:val="22"/>
          <w:lang w:val="fr-FR"/>
        </w:rPr>
      </w:pPr>
      <w:r w:rsidRPr="004138C2">
        <w:rPr>
          <w:sz w:val="22"/>
          <w:szCs w:val="22"/>
          <w:lang w:val="fr-FR"/>
        </w:rPr>
        <w:t xml:space="preserve">Les changements proposés </w:t>
      </w:r>
      <w:r w:rsidR="00BD375E" w:rsidRPr="004138C2">
        <w:rPr>
          <w:sz w:val="22"/>
          <w:szCs w:val="22"/>
          <w:lang w:val="fr-FR"/>
        </w:rPr>
        <w:t>permettraient</w:t>
      </w:r>
      <w:r w:rsidRPr="004138C2">
        <w:rPr>
          <w:sz w:val="22"/>
          <w:szCs w:val="22"/>
          <w:lang w:val="fr-FR"/>
        </w:rPr>
        <w:t xml:space="preserve"> une plus grande cohérence avec d’autres systèmes d’évaluation et </w:t>
      </w:r>
      <w:r w:rsidR="00BD375E" w:rsidRPr="004138C2">
        <w:rPr>
          <w:sz w:val="22"/>
          <w:szCs w:val="22"/>
          <w:lang w:val="fr-FR"/>
        </w:rPr>
        <w:t>une utilisation plus facile des données recueillies par leur intermédiaire</w:t>
      </w:r>
      <w:r w:rsidRPr="004138C2">
        <w:rPr>
          <w:sz w:val="22"/>
          <w:szCs w:val="22"/>
          <w:lang w:val="fr-FR"/>
        </w:rPr>
        <w:t>.</w:t>
      </w:r>
      <w:r w:rsidR="00E30B25" w:rsidRPr="004138C2">
        <w:rPr>
          <w:sz w:val="22"/>
          <w:szCs w:val="22"/>
          <w:lang w:val="fr-FR"/>
        </w:rPr>
        <w:t xml:space="preserve"> </w:t>
      </w:r>
    </w:p>
    <w:p w14:paraId="2672321A" w14:textId="77777777" w:rsidR="00E30B25" w:rsidRPr="004138C2" w:rsidRDefault="00E30B25">
      <w:pPr>
        <w:tabs>
          <w:tab w:val="left" w:pos="4185"/>
        </w:tabs>
        <w:spacing w:line="276" w:lineRule="auto"/>
        <w:jc w:val="both"/>
        <w:rPr>
          <w:sz w:val="22"/>
          <w:szCs w:val="22"/>
          <w:lang w:val="fr-FR"/>
        </w:rPr>
      </w:pPr>
    </w:p>
    <w:p w14:paraId="05F8DBF3" w14:textId="4D603124" w:rsidR="003A7B2F" w:rsidRPr="004138C2" w:rsidRDefault="002743C9" w:rsidP="00501974">
      <w:pPr>
        <w:tabs>
          <w:tab w:val="left" w:pos="4185"/>
        </w:tabs>
        <w:spacing w:line="280" w:lineRule="auto"/>
        <w:jc w:val="both"/>
        <w:rPr>
          <w:sz w:val="22"/>
          <w:szCs w:val="22"/>
          <w:lang w:val="fr-FR"/>
        </w:rPr>
      </w:pPr>
      <w:r>
        <w:rPr>
          <w:sz w:val="22"/>
          <w:szCs w:val="22"/>
          <w:lang w:val="fr-FR"/>
        </w:rPr>
        <w:t>D</w:t>
      </w:r>
      <w:r w:rsidR="00BD375E" w:rsidRPr="004138C2">
        <w:rPr>
          <w:sz w:val="22"/>
          <w:szCs w:val="22"/>
          <w:lang w:val="fr-FR"/>
        </w:rPr>
        <w:t>es périodes plus courtes d’évaluation permettraient à l’AEWA de réagir à temps aux changements.</w:t>
      </w:r>
      <w:r w:rsidR="003A7B2F" w:rsidRPr="004138C2">
        <w:rPr>
          <w:sz w:val="22"/>
          <w:szCs w:val="22"/>
          <w:lang w:val="fr-FR"/>
        </w:rPr>
        <w:t xml:space="preserve"> </w:t>
      </w:r>
      <w:r w:rsidR="00BD375E" w:rsidRPr="004138C2">
        <w:rPr>
          <w:sz w:val="22"/>
          <w:szCs w:val="22"/>
          <w:lang w:val="fr-FR"/>
        </w:rPr>
        <w:t xml:space="preserve">En cas de déclins rapides, </w:t>
      </w:r>
      <w:r w:rsidR="00501974" w:rsidRPr="004138C2">
        <w:rPr>
          <w:sz w:val="22"/>
          <w:szCs w:val="22"/>
          <w:lang w:val="fr-FR"/>
        </w:rPr>
        <w:t>cela</w:t>
      </w:r>
      <w:r w:rsidR="00BD375E" w:rsidRPr="004138C2">
        <w:rPr>
          <w:sz w:val="22"/>
          <w:szCs w:val="22"/>
          <w:lang w:val="fr-FR"/>
        </w:rPr>
        <w:t xml:space="preserve"> permettrait de </w:t>
      </w:r>
      <w:r>
        <w:rPr>
          <w:sz w:val="22"/>
          <w:szCs w:val="22"/>
          <w:lang w:val="fr-FR"/>
        </w:rPr>
        <w:t>résoudre</w:t>
      </w:r>
      <w:r w:rsidR="00BD375E" w:rsidRPr="004138C2">
        <w:rPr>
          <w:sz w:val="22"/>
          <w:szCs w:val="22"/>
          <w:lang w:val="fr-FR"/>
        </w:rPr>
        <w:t xml:space="preserve"> le problème avant qu’il </w:t>
      </w:r>
      <w:r>
        <w:rPr>
          <w:sz w:val="22"/>
          <w:szCs w:val="22"/>
          <w:lang w:val="fr-FR"/>
        </w:rPr>
        <w:t xml:space="preserve">ne </w:t>
      </w:r>
      <w:r w:rsidR="00BD375E" w:rsidRPr="004138C2">
        <w:rPr>
          <w:sz w:val="22"/>
          <w:szCs w:val="22"/>
          <w:lang w:val="fr-FR"/>
        </w:rPr>
        <w:t>soit trop tard et fournirait un passage progressif d’une catégorie à une autre.</w:t>
      </w:r>
      <w:r w:rsidR="003A7B2F" w:rsidRPr="004138C2">
        <w:rPr>
          <w:sz w:val="22"/>
          <w:szCs w:val="22"/>
          <w:lang w:val="fr-FR"/>
        </w:rPr>
        <w:t xml:space="preserve"> </w:t>
      </w:r>
      <w:r w:rsidR="00BD375E" w:rsidRPr="004138C2">
        <w:rPr>
          <w:sz w:val="22"/>
          <w:szCs w:val="22"/>
          <w:lang w:val="fr-FR"/>
        </w:rPr>
        <w:t xml:space="preserve">D’un autre côté, </w:t>
      </w:r>
      <w:r w:rsidR="00501974" w:rsidRPr="004138C2">
        <w:rPr>
          <w:sz w:val="22"/>
          <w:szCs w:val="22"/>
          <w:lang w:val="fr-FR"/>
        </w:rPr>
        <w:t>cela</w:t>
      </w:r>
      <w:r w:rsidR="00BD375E" w:rsidRPr="004138C2">
        <w:rPr>
          <w:sz w:val="22"/>
          <w:szCs w:val="22"/>
          <w:lang w:val="fr-FR"/>
        </w:rPr>
        <w:t xml:space="preserve"> permettrait d’assouplir plus tôt les restrictions dans le cas de populations en cours de rétablissement.</w:t>
      </w:r>
      <w:r w:rsidR="003A7B2F" w:rsidRPr="004138C2">
        <w:rPr>
          <w:sz w:val="22"/>
          <w:szCs w:val="22"/>
          <w:lang w:val="fr-FR"/>
        </w:rPr>
        <w:t xml:space="preserve">  </w:t>
      </w:r>
    </w:p>
    <w:p w14:paraId="371ABE36" w14:textId="77777777" w:rsidR="003A7B2F" w:rsidRPr="004138C2" w:rsidRDefault="003A7B2F">
      <w:pPr>
        <w:tabs>
          <w:tab w:val="left" w:pos="4185"/>
        </w:tabs>
        <w:spacing w:line="276" w:lineRule="auto"/>
        <w:jc w:val="both"/>
        <w:rPr>
          <w:sz w:val="22"/>
          <w:szCs w:val="22"/>
          <w:lang w:val="fr-FR"/>
        </w:rPr>
      </w:pPr>
    </w:p>
    <w:p w14:paraId="17FFFBA8" w14:textId="51531FAD" w:rsidR="003A7B2F" w:rsidRPr="004138C2" w:rsidRDefault="00BD375E" w:rsidP="00501974">
      <w:pPr>
        <w:tabs>
          <w:tab w:val="left" w:pos="4185"/>
        </w:tabs>
        <w:spacing w:line="280" w:lineRule="auto"/>
        <w:jc w:val="both"/>
        <w:rPr>
          <w:sz w:val="22"/>
          <w:szCs w:val="22"/>
          <w:lang w:val="fr-FR"/>
        </w:rPr>
      </w:pPr>
      <w:r w:rsidRPr="004138C2">
        <w:rPr>
          <w:sz w:val="22"/>
          <w:szCs w:val="22"/>
          <w:lang w:val="fr-FR"/>
        </w:rPr>
        <w:t xml:space="preserve">Toutefois, les périodes d’évaluation </w:t>
      </w:r>
      <w:r w:rsidR="002743C9">
        <w:rPr>
          <w:sz w:val="22"/>
          <w:szCs w:val="22"/>
          <w:lang w:val="fr-FR"/>
        </w:rPr>
        <w:t>d</w:t>
      </w:r>
      <w:r w:rsidRPr="004138C2">
        <w:rPr>
          <w:sz w:val="22"/>
          <w:szCs w:val="22"/>
          <w:lang w:val="fr-FR"/>
        </w:rPr>
        <w:t xml:space="preserve">u déclin à long terme seraient toujours comprises entre 21 et 42 ans pour les espèces </w:t>
      </w:r>
      <w:r w:rsidR="00501974" w:rsidRPr="004138C2">
        <w:rPr>
          <w:sz w:val="22"/>
          <w:szCs w:val="22"/>
          <w:lang w:val="fr-FR"/>
        </w:rPr>
        <w:t xml:space="preserve">ayant des </w:t>
      </w:r>
      <w:r w:rsidR="002743C9">
        <w:rPr>
          <w:sz w:val="22"/>
          <w:szCs w:val="22"/>
          <w:lang w:val="fr-FR"/>
        </w:rPr>
        <w:t xml:space="preserve">longueurs de </w:t>
      </w:r>
      <w:r w:rsidR="00501974" w:rsidRPr="004138C2">
        <w:rPr>
          <w:sz w:val="22"/>
          <w:szCs w:val="22"/>
          <w:lang w:val="fr-FR"/>
        </w:rPr>
        <w:t xml:space="preserve">générations </w:t>
      </w:r>
      <w:r w:rsidRPr="004138C2">
        <w:rPr>
          <w:sz w:val="22"/>
          <w:szCs w:val="22"/>
          <w:lang w:val="fr-FR"/>
        </w:rPr>
        <w:t>comprise</w:t>
      </w:r>
      <w:r w:rsidR="002743C9">
        <w:rPr>
          <w:sz w:val="22"/>
          <w:szCs w:val="22"/>
          <w:lang w:val="fr-FR"/>
        </w:rPr>
        <w:t>s</w:t>
      </w:r>
      <w:r w:rsidRPr="004138C2">
        <w:rPr>
          <w:sz w:val="22"/>
          <w:szCs w:val="22"/>
          <w:lang w:val="fr-FR"/>
        </w:rPr>
        <w:t xml:space="preserve"> entre 7 et 14 ans.</w:t>
      </w:r>
      <w:r w:rsidR="003A7B2F" w:rsidRPr="004138C2">
        <w:rPr>
          <w:sz w:val="22"/>
          <w:szCs w:val="22"/>
          <w:lang w:val="fr-FR"/>
        </w:rPr>
        <w:t xml:space="preserve"> </w:t>
      </w:r>
      <w:r w:rsidRPr="004138C2">
        <w:rPr>
          <w:sz w:val="22"/>
          <w:szCs w:val="22"/>
          <w:lang w:val="fr-FR"/>
        </w:rPr>
        <w:t>Avec le seuil rehaussé pour les déclins rapides à court terme, ce</w:t>
      </w:r>
      <w:r w:rsidR="002743C9">
        <w:rPr>
          <w:sz w:val="22"/>
          <w:szCs w:val="22"/>
          <w:lang w:val="fr-FR"/>
        </w:rPr>
        <w:t>la</w:t>
      </w:r>
      <w:r w:rsidRPr="004138C2">
        <w:rPr>
          <w:sz w:val="22"/>
          <w:szCs w:val="22"/>
          <w:lang w:val="fr-FR"/>
        </w:rPr>
        <w:t xml:space="preserve"> apporterait plus de stabilité au Tableau 1.</w:t>
      </w:r>
    </w:p>
    <w:p w14:paraId="52660DEF" w14:textId="77777777" w:rsidR="003A7B2F" w:rsidRPr="004138C2" w:rsidRDefault="003A7B2F">
      <w:pPr>
        <w:tabs>
          <w:tab w:val="left" w:pos="4185"/>
        </w:tabs>
        <w:spacing w:line="276" w:lineRule="auto"/>
        <w:jc w:val="both"/>
        <w:rPr>
          <w:sz w:val="22"/>
          <w:szCs w:val="22"/>
          <w:lang w:val="fr-FR"/>
        </w:rPr>
      </w:pPr>
    </w:p>
    <w:p w14:paraId="3031629E" w14:textId="66CAA853" w:rsidR="00E30B25" w:rsidRPr="004138C2" w:rsidRDefault="00BD375E" w:rsidP="00501974">
      <w:pPr>
        <w:tabs>
          <w:tab w:val="left" w:pos="4185"/>
        </w:tabs>
        <w:spacing w:line="280" w:lineRule="auto"/>
        <w:jc w:val="both"/>
        <w:rPr>
          <w:sz w:val="22"/>
          <w:szCs w:val="22"/>
          <w:lang w:val="fr-FR"/>
        </w:rPr>
      </w:pPr>
      <w:r w:rsidRPr="004138C2">
        <w:rPr>
          <w:sz w:val="22"/>
          <w:szCs w:val="22"/>
          <w:lang w:val="fr-FR"/>
        </w:rPr>
        <w:t xml:space="preserve">Séparer les déclins à long et </w:t>
      </w:r>
      <w:r w:rsidR="009558EE">
        <w:rPr>
          <w:sz w:val="22"/>
          <w:szCs w:val="22"/>
          <w:lang w:val="fr-FR"/>
        </w:rPr>
        <w:t xml:space="preserve">à </w:t>
      </w:r>
      <w:r w:rsidRPr="004138C2">
        <w:rPr>
          <w:sz w:val="22"/>
          <w:szCs w:val="22"/>
          <w:lang w:val="fr-FR"/>
        </w:rPr>
        <w:t>court terme aiderait davantage les autorités nationales.</w:t>
      </w:r>
    </w:p>
    <w:p w14:paraId="71A1043D" w14:textId="48E08F07" w:rsidR="001A4538" w:rsidRPr="004138C2" w:rsidRDefault="001A4538" w:rsidP="00BE2324">
      <w:pPr>
        <w:tabs>
          <w:tab w:val="left" w:pos="4185"/>
        </w:tabs>
        <w:spacing w:line="276" w:lineRule="auto"/>
        <w:jc w:val="both"/>
        <w:rPr>
          <w:lang w:val="fr-FR"/>
        </w:rPr>
      </w:pPr>
    </w:p>
    <w:p w14:paraId="69DBC9B8" w14:textId="77777777" w:rsidR="0091332C" w:rsidRPr="004138C2" w:rsidRDefault="0091332C" w:rsidP="00BE2324">
      <w:pPr>
        <w:tabs>
          <w:tab w:val="left" w:pos="4185"/>
        </w:tabs>
        <w:spacing w:line="276" w:lineRule="auto"/>
        <w:jc w:val="both"/>
        <w:rPr>
          <w:lang w:val="fr-FR"/>
        </w:rPr>
      </w:pPr>
    </w:p>
    <w:p w14:paraId="492C84E2" w14:textId="047764B9" w:rsidR="001A4538" w:rsidRPr="004138C2" w:rsidRDefault="00BD375E" w:rsidP="00501974">
      <w:pPr>
        <w:suppressAutoHyphens/>
        <w:autoSpaceDN w:val="0"/>
        <w:spacing w:line="280" w:lineRule="auto"/>
        <w:jc w:val="both"/>
        <w:textAlignment w:val="baseline"/>
        <w:rPr>
          <w:b/>
          <w:lang w:val="fr-FR"/>
        </w:rPr>
      </w:pPr>
      <w:r w:rsidRPr="004138C2">
        <w:rPr>
          <w:b/>
          <w:lang w:val="fr-FR"/>
        </w:rPr>
        <w:t>Action requise du Comité permanent</w:t>
      </w:r>
    </w:p>
    <w:p w14:paraId="4BF29B28" w14:textId="77777777" w:rsidR="001A4538" w:rsidRPr="004138C2" w:rsidRDefault="001A4538" w:rsidP="00BE2324">
      <w:pPr>
        <w:suppressAutoHyphens/>
        <w:autoSpaceDN w:val="0"/>
        <w:spacing w:line="276" w:lineRule="auto"/>
        <w:jc w:val="both"/>
        <w:textAlignment w:val="baseline"/>
        <w:rPr>
          <w:b/>
          <w:lang w:val="fr-FR"/>
        </w:rPr>
      </w:pPr>
    </w:p>
    <w:p w14:paraId="35372B31" w14:textId="5494DFFE" w:rsidR="001A4538" w:rsidRPr="004138C2" w:rsidRDefault="00BD375E" w:rsidP="00501974">
      <w:pPr>
        <w:suppressAutoHyphens/>
        <w:autoSpaceDN w:val="0"/>
        <w:spacing w:line="280" w:lineRule="auto"/>
        <w:jc w:val="both"/>
        <w:textAlignment w:val="baseline"/>
        <w:rPr>
          <w:sz w:val="22"/>
          <w:szCs w:val="22"/>
          <w:lang w:val="fr-FR"/>
        </w:rPr>
      </w:pPr>
      <w:r w:rsidRPr="004138C2">
        <w:rPr>
          <w:sz w:val="22"/>
          <w:szCs w:val="22"/>
          <w:lang w:val="fr-FR"/>
        </w:rPr>
        <w:t xml:space="preserve">Le Comité permanent est prié d’étudier et d’approuver </w:t>
      </w:r>
      <w:r w:rsidR="00501974" w:rsidRPr="004138C2">
        <w:rPr>
          <w:sz w:val="22"/>
          <w:szCs w:val="22"/>
          <w:lang w:val="fr-FR"/>
        </w:rPr>
        <w:t xml:space="preserve">cette proposition de définition et de conseils révisés, ainsi que les avant-projets de résolutions qui les accompagnent (Doc StC13.DR6 et StC13DR9) </w:t>
      </w:r>
      <w:r w:rsidRPr="004138C2">
        <w:rPr>
          <w:sz w:val="22"/>
          <w:szCs w:val="22"/>
          <w:lang w:val="fr-FR"/>
        </w:rPr>
        <w:t>pour soumission à la 7</w:t>
      </w:r>
      <w:r w:rsidR="000E2F9E">
        <w:rPr>
          <w:sz w:val="22"/>
          <w:szCs w:val="22"/>
          <w:vertAlign w:val="superscript"/>
          <w:lang w:val="fr-FR"/>
        </w:rPr>
        <w:t>ème</w:t>
      </w:r>
      <w:r w:rsidR="00501974" w:rsidRPr="004138C2">
        <w:rPr>
          <w:sz w:val="22"/>
          <w:szCs w:val="22"/>
          <w:lang w:val="fr-FR"/>
        </w:rPr>
        <w:t xml:space="preserve"> </w:t>
      </w:r>
      <w:r w:rsidRPr="004138C2">
        <w:rPr>
          <w:sz w:val="22"/>
          <w:szCs w:val="22"/>
          <w:lang w:val="fr-FR"/>
        </w:rPr>
        <w:t>session de la Réunion des Parties à l’AEWA.</w:t>
      </w:r>
    </w:p>
    <w:p w14:paraId="2080D297" w14:textId="77777777" w:rsidR="00413B34" w:rsidRPr="004138C2" w:rsidRDefault="00413B34">
      <w:pPr>
        <w:tabs>
          <w:tab w:val="left" w:pos="4185"/>
        </w:tabs>
        <w:spacing w:line="276" w:lineRule="auto"/>
        <w:jc w:val="both"/>
        <w:rPr>
          <w:sz w:val="22"/>
          <w:szCs w:val="22"/>
          <w:lang w:val="fr-FR"/>
        </w:rPr>
      </w:pPr>
    </w:p>
    <w:p w14:paraId="068432CD" w14:textId="77777777" w:rsidR="00413B34" w:rsidRPr="004138C2" w:rsidRDefault="00413B34" w:rsidP="0060207D">
      <w:pPr>
        <w:tabs>
          <w:tab w:val="left" w:pos="4185"/>
        </w:tabs>
        <w:jc w:val="center"/>
        <w:rPr>
          <w:lang w:val="fr-FR"/>
        </w:rPr>
      </w:pPr>
    </w:p>
    <w:p w14:paraId="6A61309F" w14:textId="0ECECD40" w:rsidR="006E5C40" w:rsidRPr="004138C2" w:rsidRDefault="006E5C40" w:rsidP="00BE2324">
      <w:pPr>
        <w:tabs>
          <w:tab w:val="left" w:pos="4185"/>
        </w:tabs>
        <w:jc w:val="center"/>
        <w:rPr>
          <w:sz w:val="22"/>
          <w:szCs w:val="22"/>
          <w:lang w:val="fr-FR"/>
        </w:rPr>
      </w:pPr>
    </w:p>
    <w:sectPr w:rsidR="006E5C40" w:rsidRPr="004138C2" w:rsidSect="00BE2324">
      <w:headerReference w:type="first" r:id="rId16"/>
      <w:footerReference w:type="first" r:id="rId17"/>
      <w:pgSz w:w="11900" w:h="1682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9913" w14:textId="77777777" w:rsidR="0011791E" w:rsidRDefault="0011791E">
      <w:r>
        <w:separator/>
      </w:r>
    </w:p>
  </w:endnote>
  <w:endnote w:type="continuationSeparator" w:id="0">
    <w:p w14:paraId="01508D18" w14:textId="77777777" w:rsidR="0011791E" w:rsidRDefault="0011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BC9F" w14:textId="77777777" w:rsidR="0011791E" w:rsidRDefault="0011791E"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5FE65" w14:textId="77777777" w:rsidR="0011791E" w:rsidRDefault="0011791E"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B1CA" w14:textId="7186DA13" w:rsidR="0011791E" w:rsidRDefault="0011791E">
    <w:pPr>
      <w:pStyle w:val="Footer"/>
      <w:jc w:val="center"/>
      <w:rPr>
        <w:noProof/>
        <w:sz w:val="20"/>
        <w:szCs w:val="20"/>
      </w:rPr>
    </w:pPr>
    <w:r w:rsidRPr="007D3C9E">
      <w:rPr>
        <w:sz w:val="20"/>
        <w:szCs w:val="20"/>
      </w:rPr>
      <w:fldChar w:fldCharType="begin"/>
    </w:r>
    <w:r w:rsidRPr="007D3C9E">
      <w:rPr>
        <w:sz w:val="20"/>
        <w:szCs w:val="20"/>
      </w:rPr>
      <w:instrText xml:space="preserve"> PAGE   \* MERGEFORMAT </w:instrText>
    </w:r>
    <w:r w:rsidRPr="007D3C9E">
      <w:rPr>
        <w:sz w:val="20"/>
        <w:szCs w:val="20"/>
      </w:rPr>
      <w:fldChar w:fldCharType="separate"/>
    </w:r>
    <w:r w:rsidR="00831DA4">
      <w:rPr>
        <w:noProof/>
        <w:sz w:val="20"/>
        <w:szCs w:val="20"/>
      </w:rPr>
      <w:t>3</w:t>
    </w:r>
    <w:r w:rsidRPr="007D3C9E">
      <w:rPr>
        <w:noProof/>
        <w:sz w:val="20"/>
        <w:szCs w:val="20"/>
      </w:rPr>
      <w:fldChar w:fldCharType="end"/>
    </w:r>
  </w:p>
  <w:p w14:paraId="09BD7897" w14:textId="77777777" w:rsidR="0011791E" w:rsidRDefault="0011791E" w:rsidP="004F5E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347F" w14:textId="77777777" w:rsidR="0058457A" w:rsidRDefault="005845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91A2" w14:textId="333353FD" w:rsidR="0011791E" w:rsidRDefault="0011791E" w:rsidP="00335022">
    <w:pPr>
      <w:pStyle w:val="Footer"/>
      <w:jc w:val="center"/>
    </w:pPr>
    <w:r w:rsidRPr="000C6C45">
      <w:rPr>
        <w:sz w:val="20"/>
        <w:szCs w:val="20"/>
      </w:rPr>
      <w:fldChar w:fldCharType="begin"/>
    </w:r>
    <w:r w:rsidRPr="000C6C45">
      <w:rPr>
        <w:sz w:val="20"/>
        <w:szCs w:val="20"/>
      </w:rPr>
      <w:instrText xml:space="preserve"> PAGE   \* MERGEFORMAT </w:instrText>
    </w:r>
    <w:r w:rsidRPr="000C6C45">
      <w:rPr>
        <w:sz w:val="20"/>
        <w:szCs w:val="20"/>
      </w:rPr>
      <w:fldChar w:fldCharType="separate"/>
    </w:r>
    <w:r w:rsidR="007B19A9">
      <w:rPr>
        <w:noProof/>
        <w:sz w:val="20"/>
        <w:szCs w:val="20"/>
      </w:rPr>
      <w:t>4</w:t>
    </w:r>
    <w:r w:rsidRPr="000C6C4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65DE" w14:textId="77777777" w:rsidR="0011791E" w:rsidRDefault="0011791E">
      <w:r>
        <w:separator/>
      </w:r>
    </w:p>
  </w:footnote>
  <w:footnote w:type="continuationSeparator" w:id="0">
    <w:p w14:paraId="426CFC42" w14:textId="77777777" w:rsidR="0011791E" w:rsidRDefault="0011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6602" w14:textId="77777777" w:rsidR="0058457A" w:rsidRDefault="00584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D2C0" w14:textId="77777777" w:rsidR="0058457A" w:rsidRDefault="00584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2" w:space="0" w:color="auto"/>
      </w:tblBorders>
      <w:tblLook w:val="0000" w:firstRow="0" w:lastRow="0" w:firstColumn="0" w:lastColumn="0" w:noHBand="0" w:noVBand="0"/>
    </w:tblPr>
    <w:tblGrid>
      <w:gridCol w:w="2211"/>
      <w:gridCol w:w="5126"/>
      <w:gridCol w:w="2302"/>
    </w:tblGrid>
    <w:tr w:rsidR="0011791E" w:rsidRPr="00A61241" w14:paraId="367859DC" w14:textId="77777777" w:rsidTr="0011791E">
      <w:trPr>
        <w:trHeight w:val="1256"/>
      </w:trPr>
      <w:tc>
        <w:tcPr>
          <w:tcW w:w="1147" w:type="pct"/>
        </w:tcPr>
        <w:p w14:paraId="11559434" w14:textId="77777777" w:rsidR="0011791E" w:rsidRPr="00A61241" w:rsidRDefault="0011791E" w:rsidP="000434D4">
          <w:pPr>
            <w:rPr>
              <w:lang w:val="en-GB"/>
            </w:rPr>
          </w:pPr>
          <w:r w:rsidRPr="00A61241">
            <w:rPr>
              <w:noProof/>
              <w:lang w:val="nl-NL" w:eastAsia="nl-NL"/>
            </w:rPr>
            <w:drawing>
              <wp:inline distT="0" distB="0" distL="0" distR="0" wp14:anchorId="738814C6" wp14:editId="4691E32B">
                <wp:extent cx="800100" cy="666750"/>
                <wp:effectExtent l="0" t="0" r="0" b="0"/>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31E40B43" w14:textId="7FFEFA03" w:rsidR="0011791E" w:rsidRPr="00E00441" w:rsidRDefault="0011791E" w:rsidP="000434D4">
          <w:pPr>
            <w:jc w:val="center"/>
            <w:rPr>
              <w:sz w:val="22"/>
              <w:szCs w:val="22"/>
              <w:lang w:val="fr-FR"/>
            </w:rPr>
          </w:pPr>
          <w:r w:rsidRPr="00E00441">
            <w:rPr>
              <w:i/>
              <w:sz w:val="22"/>
              <w:szCs w:val="22"/>
              <w:lang w:val="fr-FR"/>
            </w:rPr>
            <w:t>ACCORD SUR LA CONSERVATION DES OISEAUX D’EAU MIGRATEURS D’AFRIQUE-EURASIE</w:t>
          </w:r>
        </w:p>
      </w:tc>
      <w:tc>
        <w:tcPr>
          <w:tcW w:w="1194" w:type="pct"/>
        </w:tcPr>
        <w:p w14:paraId="1490DCAA" w14:textId="30DEF45B" w:rsidR="0011791E" w:rsidRPr="00783D2C" w:rsidRDefault="0011791E" w:rsidP="000434D4">
          <w:pPr>
            <w:jc w:val="right"/>
            <w:rPr>
              <w:i/>
              <w:iCs/>
              <w:sz w:val="20"/>
              <w:szCs w:val="20"/>
              <w:lang w:val="fr-FR"/>
            </w:rPr>
          </w:pPr>
          <w:r w:rsidRPr="00783D2C">
            <w:rPr>
              <w:i/>
              <w:iCs/>
              <w:sz w:val="20"/>
              <w:szCs w:val="20"/>
              <w:lang w:val="fr-FR"/>
            </w:rPr>
            <w:t xml:space="preserve">Doc. AEWA/StC13.30 </w:t>
          </w:r>
        </w:p>
        <w:p w14:paraId="146E18A3" w14:textId="4AF1DAA8" w:rsidR="0011791E" w:rsidRPr="00783D2C" w:rsidRDefault="0011791E" w:rsidP="00E00441">
          <w:pPr>
            <w:ind w:left="-247"/>
            <w:jc w:val="right"/>
            <w:rPr>
              <w:i/>
              <w:iCs/>
              <w:sz w:val="20"/>
              <w:szCs w:val="20"/>
              <w:lang w:val="fr-FR"/>
            </w:rPr>
          </w:pPr>
          <w:r w:rsidRPr="00783D2C">
            <w:rPr>
              <w:i/>
              <w:iCs/>
              <w:sz w:val="20"/>
              <w:szCs w:val="20"/>
              <w:lang w:val="fr-FR"/>
            </w:rPr>
            <w:t>Point 17de l’ordre du jour</w:t>
          </w:r>
        </w:p>
        <w:p w14:paraId="5EB3E580" w14:textId="7D5B499A" w:rsidR="0011791E" w:rsidRPr="00A61241" w:rsidRDefault="00E00441" w:rsidP="002743C9">
          <w:pPr>
            <w:jc w:val="right"/>
            <w:rPr>
              <w:lang w:val="en-GB"/>
            </w:rPr>
          </w:pPr>
          <w:r>
            <w:rPr>
              <w:i/>
              <w:iCs/>
              <w:sz w:val="20"/>
              <w:szCs w:val="20"/>
              <w:lang w:val="fr-FR"/>
            </w:rPr>
            <w:t>0</w:t>
          </w:r>
          <w:r w:rsidR="0011791E">
            <w:rPr>
              <w:i/>
              <w:iCs/>
              <w:sz w:val="20"/>
              <w:szCs w:val="20"/>
              <w:lang w:val="en-GB"/>
            </w:rPr>
            <w:t xml:space="preserve">1 </w:t>
          </w:r>
          <w:proofErr w:type="spellStart"/>
          <w:r w:rsidR="0011791E">
            <w:rPr>
              <w:i/>
              <w:iCs/>
              <w:sz w:val="20"/>
              <w:szCs w:val="20"/>
              <w:lang w:val="en-GB"/>
            </w:rPr>
            <w:t>juin</w:t>
          </w:r>
          <w:proofErr w:type="spellEnd"/>
          <w:r w:rsidR="0011791E">
            <w:rPr>
              <w:i/>
              <w:iCs/>
              <w:sz w:val="20"/>
              <w:szCs w:val="20"/>
              <w:lang w:val="en-GB"/>
            </w:rPr>
            <w:t xml:space="preserve"> 2018</w:t>
          </w:r>
        </w:p>
      </w:tc>
    </w:tr>
    <w:tr w:rsidR="0011791E" w:rsidRPr="00A92D75" w14:paraId="41674A4D" w14:textId="77777777" w:rsidTr="0011791E">
      <w:tc>
        <w:tcPr>
          <w:tcW w:w="5000" w:type="pct"/>
          <w:gridSpan w:val="3"/>
        </w:tcPr>
        <w:p w14:paraId="421C1826" w14:textId="513CDA0A" w:rsidR="0011791E" w:rsidRPr="006453CE" w:rsidRDefault="0011791E" w:rsidP="000434D4">
          <w:pPr>
            <w:jc w:val="center"/>
            <w:rPr>
              <w:b/>
              <w:bCs/>
              <w:caps/>
              <w:sz w:val="26"/>
              <w:szCs w:val="26"/>
              <w:lang w:val="fr-FR"/>
            </w:rPr>
          </w:pPr>
          <w:r w:rsidRPr="006453CE">
            <w:rPr>
              <w:b/>
              <w:bCs/>
              <w:sz w:val="26"/>
              <w:szCs w:val="26"/>
              <w:lang w:val="fr-FR"/>
            </w:rPr>
            <w:t>13</w:t>
          </w:r>
          <w:r w:rsidR="0058457A" w:rsidRPr="0058457A">
            <w:rPr>
              <w:b/>
              <w:bCs/>
              <w:sz w:val="26"/>
              <w:szCs w:val="26"/>
              <w:vertAlign w:val="superscript"/>
              <w:lang w:val="fr-FR"/>
            </w:rPr>
            <w:t>éme</w:t>
          </w:r>
          <w:r w:rsidRPr="006453CE">
            <w:rPr>
              <w:b/>
              <w:bCs/>
              <w:sz w:val="26"/>
              <w:szCs w:val="26"/>
              <w:lang w:val="fr-FR"/>
            </w:rPr>
            <w:t xml:space="preserve"> RÉUNION DU COMITÉ PERMANENT</w:t>
          </w:r>
        </w:p>
        <w:p w14:paraId="4AD751BB" w14:textId="1BD8040B" w:rsidR="0011791E" w:rsidRPr="006453CE" w:rsidRDefault="0011791E" w:rsidP="006453CE">
          <w:pPr>
            <w:jc w:val="center"/>
            <w:rPr>
              <w:i/>
              <w:sz w:val="22"/>
              <w:szCs w:val="22"/>
              <w:lang w:val="fr-FR"/>
            </w:rPr>
          </w:pPr>
          <w:r w:rsidRPr="006453CE">
            <w:rPr>
              <w:i/>
              <w:iCs/>
              <w:sz w:val="22"/>
              <w:szCs w:val="22"/>
              <w:lang w:val="fr-FR"/>
            </w:rPr>
            <w:t>03 - 05 juillet 2018, La Haye, Pays-Bas</w:t>
          </w:r>
        </w:p>
      </w:tc>
    </w:tr>
    <w:tr w:rsidR="0011791E" w:rsidRPr="00A92D75" w14:paraId="62445BF1" w14:textId="77777777" w:rsidTr="0011791E">
      <w:trPr>
        <w:trHeight w:val="270"/>
      </w:trPr>
      <w:tc>
        <w:tcPr>
          <w:tcW w:w="5000" w:type="pct"/>
          <w:gridSpan w:val="3"/>
          <w:vAlign w:val="center"/>
        </w:tcPr>
        <w:p w14:paraId="329A3DDF" w14:textId="77777777" w:rsidR="0011791E" w:rsidRPr="006453CE" w:rsidRDefault="0011791E" w:rsidP="000434D4">
          <w:pPr>
            <w:rPr>
              <w:bCs/>
              <w:i/>
              <w:lang w:val="fr-FR"/>
            </w:rPr>
          </w:pPr>
          <w:bookmarkStart w:id="1" w:name="_Hlk513643711"/>
        </w:p>
      </w:tc>
    </w:tr>
    <w:bookmarkEnd w:id="1"/>
  </w:tbl>
  <w:p w14:paraId="78CC7F3C" w14:textId="77777777" w:rsidR="0011791E" w:rsidRPr="00783D2C" w:rsidRDefault="0011791E">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F82D" w14:textId="77777777" w:rsidR="0011791E" w:rsidRDefault="00117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D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A04D09"/>
    <w:multiLevelType w:val="hybridMultilevel"/>
    <w:tmpl w:val="D526C19A"/>
    <w:lvl w:ilvl="0" w:tplc="D1E6E02E">
      <w:start w:val="1"/>
      <w:numFmt w:val="bullet"/>
      <w:lvlText w:val="-"/>
      <w:lvlJc w:val="left"/>
      <w:pPr>
        <w:ind w:left="5460" w:hanging="360"/>
      </w:pPr>
      <w:rPr>
        <w:rFonts w:ascii="Times New Roman" w:eastAsia="Times New Roman" w:hAnsi="Times New Roman" w:cs="Times New Roman"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2" w15:restartNumberingAfterBreak="0">
    <w:nsid w:val="1E50220F"/>
    <w:multiLevelType w:val="hybridMultilevel"/>
    <w:tmpl w:val="B9265C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EEE40A9"/>
    <w:multiLevelType w:val="hybridMultilevel"/>
    <w:tmpl w:val="8C0C528E"/>
    <w:lvl w:ilvl="0" w:tplc="0407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228D3CC1"/>
    <w:multiLevelType w:val="hybridMultilevel"/>
    <w:tmpl w:val="D4C06E14"/>
    <w:lvl w:ilvl="0" w:tplc="8A240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901AD"/>
    <w:multiLevelType w:val="hybridMultilevel"/>
    <w:tmpl w:val="CB7E325E"/>
    <w:lvl w:ilvl="0" w:tplc="7A104866">
      <w:start w:val="1"/>
      <w:numFmt w:val="bullet"/>
      <w:lvlText w:val="-"/>
      <w:lvlJc w:val="left"/>
      <w:pPr>
        <w:ind w:left="5460" w:hanging="360"/>
      </w:pPr>
      <w:rPr>
        <w:rFonts w:ascii="Times New Roman" w:eastAsia="Times New Roman" w:hAnsi="Times New Roman" w:cs="Times New Roman"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7591B"/>
    <w:multiLevelType w:val="hybridMultilevel"/>
    <w:tmpl w:val="42D4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F15F2"/>
    <w:multiLevelType w:val="multilevel"/>
    <w:tmpl w:val="4444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D771C"/>
    <w:multiLevelType w:val="hybridMultilevel"/>
    <w:tmpl w:val="DE44994A"/>
    <w:lvl w:ilvl="0" w:tplc="8A9035B6">
      <w:start w:val="1"/>
      <w:numFmt w:val="bullet"/>
      <w:lvlText w:val="-"/>
      <w:lvlJc w:val="left"/>
      <w:pPr>
        <w:ind w:left="5463" w:hanging="360"/>
      </w:pPr>
      <w:rPr>
        <w:rFonts w:ascii="Times New Roman" w:eastAsia="Times New Roman" w:hAnsi="Times New Roman" w:cs="Times New Roman" w:hint="default"/>
        <w:color w:val="0070C0"/>
        <w:sz w:val="56"/>
      </w:rPr>
    </w:lvl>
    <w:lvl w:ilvl="1" w:tplc="08090003" w:tentative="1">
      <w:start w:val="1"/>
      <w:numFmt w:val="bullet"/>
      <w:lvlText w:val="o"/>
      <w:lvlJc w:val="left"/>
      <w:pPr>
        <w:ind w:left="6183"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16"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E142B40"/>
    <w:multiLevelType w:val="hybridMultilevel"/>
    <w:tmpl w:val="9782CD7E"/>
    <w:lvl w:ilvl="0" w:tplc="2ADE003E">
      <w:start w:val="1"/>
      <w:numFmt w:val="bullet"/>
      <w:lvlText w:val="-"/>
      <w:lvlJc w:val="left"/>
      <w:pPr>
        <w:ind w:left="720" w:hanging="360"/>
      </w:pPr>
      <w:rPr>
        <w:rFonts w:ascii="Times New Roman" w:eastAsia="Times New Roman" w:hAnsi="Times New Roman" w:cs="Times New Roman" w:hint="default"/>
        <w:color w:val="0070C0"/>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97162"/>
    <w:multiLevelType w:val="hybridMultilevel"/>
    <w:tmpl w:val="1DBC1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4"/>
  </w:num>
  <w:num w:numId="5">
    <w:abstractNumId w:val="13"/>
  </w:num>
  <w:num w:numId="6">
    <w:abstractNumId w:val="16"/>
  </w:num>
  <w:num w:numId="7">
    <w:abstractNumId w:val="10"/>
  </w:num>
  <w:num w:numId="8">
    <w:abstractNumId w:val="9"/>
  </w:num>
  <w:num w:numId="9">
    <w:abstractNumId w:val="11"/>
  </w:num>
  <w:num w:numId="10">
    <w:abstractNumId w:val="0"/>
  </w:num>
  <w:num w:numId="11">
    <w:abstractNumId w:val="8"/>
  </w:num>
  <w:num w:numId="12">
    <w:abstractNumId w:val="2"/>
  </w:num>
  <w:num w:numId="13">
    <w:abstractNumId w:val="3"/>
  </w:num>
  <w:num w:numId="14">
    <w:abstractNumId w:val="19"/>
  </w:num>
  <w:num w:numId="15">
    <w:abstractNumId w:val="4"/>
  </w:num>
  <w:num w:numId="16">
    <w:abstractNumId w:val="7"/>
  </w:num>
  <w:num w:numId="17">
    <w:abstractNumId w:val="1"/>
  </w:num>
  <w:num w:numId="18">
    <w:abstractNumId w:val="5"/>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DE"/>
    <w:rsid w:val="00016E7B"/>
    <w:rsid w:val="00040FCA"/>
    <w:rsid w:val="000434D4"/>
    <w:rsid w:val="00046B01"/>
    <w:rsid w:val="00051C54"/>
    <w:rsid w:val="00053571"/>
    <w:rsid w:val="00060494"/>
    <w:rsid w:val="0006129C"/>
    <w:rsid w:val="000977BB"/>
    <w:rsid w:val="000A14AD"/>
    <w:rsid w:val="000A51FB"/>
    <w:rsid w:val="000A5A47"/>
    <w:rsid w:val="000A6F3A"/>
    <w:rsid w:val="000B656B"/>
    <w:rsid w:val="000C53FE"/>
    <w:rsid w:val="000C6C45"/>
    <w:rsid w:val="000D3AF0"/>
    <w:rsid w:val="000E153E"/>
    <w:rsid w:val="000E2F9E"/>
    <w:rsid w:val="000F2170"/>
    <w:rsid w:val="000F22CC"/>
    <w:rsid w:val="00104C13"/>
    <w:rsid w:val="0011791E"/>
    <w:rsid w:val="00125FAA"/>
    <w:rsid w:val="00132F2E"/>
    <w:rsid w:val="00137F79"/>
    <w:rsid w:val="00147704"/>
    <w:rsid w:val="00163B75"/>
    <w:rsid w:val="00163D0E"/>
    <w:rsid w:val="00167D59"/>
    <w:rsid w:val="0017712F"/>
    <w:rsid w:val="00180A4D"/>
    <w:rsid w:val="00182DCC"/>
    <w:rsid w:val="00185CD4"/>
    <w:rsid w:val="00186687"/>
    <w:rsid w:val="00196E67"/>
    <w:rsid w:val="001A00B6"/>
    <w:rsid w:val="001A4538"/>
    <w:rsid w:val="001A51B7"/>
    <w:rsid w:val="001B186D"/>
    <w:rsid w:val="001D21F7"/>
    <w:rsid w:val="001D519A"/>
    <w:rsid w:val="001E0C2A"/>
    <w:rsid w:val="001F1D9A"/>
    <w:rsid w:val="001F2EE5"/>
    <w:rsid w:val="001F4345"/>
    <w:rsid w:val="00203243"/>
    <w:rsid w:val="0020640C"/>
    <w:rsid w:val="00207325"/>
    <w:rsid w:val="002077F1"/>
    <w:rsid w:val="00215143"/>
    <w:rsid w:val="00243B4B"/>
    <w:rsid w:val="00260D5D"/>
    <w:rsid w:val="002743C9"/>
    <w:rsid w:val="00286103"/>
    <w:rsid w:val="002904E2"/>
    <w:rsid w:val="002A3D00"/>
    <w:rsid w:val="002C58BF"/>
    <w:rsid w:val="002C6C40"/>
    <w:rsid w:val="002E4C1F"/>
    <w:rsid w:val="002E6092"/>
    <w:rsid w:val="002F0141"/>
    <w:rsid w:val="002F7147"/>
    <w:rsid w:val="00303606"/>
    <w:rsid w:val="0030710F"/>
    <w:rsid w:val="003072A9"/>
    <w:rsid w:val="00312BA0"/>
    <w:rsid w:val="003166BB"/>
    <w:rsid w:val="00316D81"/>
    <w:rsid w:val="003209C2"/>
    <w:rsid w:val="00322442"/>
    <w:rsid w:val="003251E0"/>
    <w:rsid w:val="00332937"/>
    <w:rsid w:val="003332C4"/>
    <w:rsid w:val="00335022"/>
    <w:rsid w:val="003412DF"/>
    <w:rsid w:val="00353767"/>
    <w:rsid w:val="00361673"/>
    <w:rsid w:val="00376C90"/>
    <w:rsid w:val="00381660"/>
    <w:rsid w:val="00383FCF"/>
    <w:rsid w:val="003849FB"/>
    <w:rsid w:val="00393891"/>
    <w:rsid w:val="003A2E63"/>
    <w:rsid w:val="003A33FF"/>
    <w:rsid w:val="003A596F"/>
    <w:rsid w:val="003A7B2F"/>
    <w:rsid w:val="003B2918"/>
    <w:rsid w:val="003B4398"/>
    <w:rsid w:val="003B58AA"/>
    <w:rsid w:val="003B7A22"/>
    <w:rsid w:val="003B7AF6"/>
    <w:rsid w:val="003C320A"/>
    <w:rsid w:val="003C6E09"/>
    <w:rsid w:val="003D030A"/>
    <w:rsid w:val="003D13D0"/>
    <w:rsid w:val="003D21C2"/>
    <w:rsid w:val="003E0DB9"/>
    <w:rsid w:val="003E2C15"/>
    <w:rsid w:val="003E6BE8"/>
    <w:rsid w:val="004138C2"/>
    <w:rsid w:val="00413B34"/>
    <w:rsid w:val="00423640"/>
    <w:rsid w:val="004256C2"/>
    <w:rsid w:val="00425ADE"/>
    <w:rsid w:val="004313BF"/>
    <w:rsid w:val="004370A6"/>
    <w:rsid w:val="00441563"/>
    <w:rsid w:val="00446E4B"/>
    <w:rsid w:val="00454E8B"/>
    <w:rsid w:val="004623B2"/>
    <w:rsid w:val="00466A3C"/>
    <w:rsid w:val="00497689"/>
    <w:rsid w:val="004A5FDE"/>
    <w:rsid w:val="004B57A6"/>
    <w:rsid w:val="004B75C0"/>
    <w:rsid w:val="004C0A6D"/>
    <w:rsid w:val="004C26D2"/>
    <w:rsid w:val="004C49A2"/>
    <w:rsid w:val="004C4E42"/>
    <w:rsid w:val="004E70D8"/>
    <w:rsid w:val="004F13A5"/>
    <w:rsid w:val="004F42E0"/>
    <w:rsid w:val="004F4E6A"/>
    <w:rsid w:val="004F5E23"/>
    <w:rsid w:val="005018C8"/>
    <w:rsid w:val="00501974"/>
    <w:rsid w:val="00506661"/>
    <w:rsid w:val="00517C62"/>
    <w:rsid w:val="00532F56"/>
    <w:rsid w:val="005426DD"/>
    <w:rsid w:val="00543F4E"/>
    <w:rsid w:val="00551530"/>
    <w:rsid w:val="00565AA8"/>
    <w:rsid w:val="00567628"/>
    <w:rsid w:val="00575367"/>
    <w:rsid w:val="0058457A"/>
    <w:rsid w:val="005922AD"/>
    <w:rsid w:val="005970C7"/>
    <w:rsid w:val="00597566"/>
    <w:rsid w:val="005A0AC0"/>
    <w:rsid w:val="005A21CC"/>
    <w:rsid w:val="005B689B"/>
    <w:rsid w:val="005D0005"/>
    <w:rsid w:val="005D51B6"/>
    <w:rsid w:val="005D54ED"/>
    <w:rsid w:val="0060207D"/>
    <w:rsid w:val="00603ECA"/>
    <w:rsid w:val="006059D0"/>
    <w:rsid w:val="006075EE"/>
    <w:rsid w:val="006122CD"/>
    <w:rsid w:val="006230B0"/>
    <w:rsid w:val="00623898"/>
    <w:rsid w:val="006264D8"/>
    <w:rsid w:val="006318A6"/>
    <w:rsid w:val="006332A1"/>
    <w:rsid w:val="00636ECB"/>
    <w:rsid w:val="00637651"/>
    <w:rsid w:val="006453CE"/>
    <w:rsid w:val="00655E24"/>
    <w:rsid w:val="006566F2"/>
    <w:rsid w:val="00657A1D"/>
    <w:rsid w:val="0066160A"/>
    <w:rsid w:val="00664089"/>
    <w:rsid w:val="0066689B"/>
    <w:rsid w:val="00673033"/>
    <w:rsid w:val="006764CD"/>
    <w:rsid w:val="0069010A"/>
    <w:rsid w:val="00697DC3"/>
    <w:rsid w:val="006A4A6F"/>
    <w:rsid w:val="006B6B98"/>
    <w:rsid w:val="006C67D2"/>
    <w:rsid w:val="006D0329"/>
    <w:rsid w:val="006D24EE"/>
    <w:rsid w:val="006E0905"/>
    <w:rsid w:val="006E5C40"/>
    <w:rsid w:val="00703647"/>
    <w:rsid w:val="00757F53"/>
    <w:rsid w:val="00767C3A"/>
    <w:rsid w:val="00772C93"/>
    <w:rsid w:val="0077356B"/>
    <w:rsid w:val="00781102"/>
    <w:rsid w:val="00782700"/>
    <w:rsid w:val="00783D2C"/>
    <w:rsid w:val="00786AF1"/>
    <w:rsid w:val="00790A62"/>
    <w:rsid w:val="0079491B"/>
    <w:rsid w:val="0079698D"/>
    <w:rsid w:val="0079799A"/>
    <w:rsid w:val="007B19A9"/>
    <w:rsid w:val="007D3C9E"/>
    <w:rsid w:val="007E054A"/>
    <w:rsid w:val="007E1121"/>
    <w:rsid w:val="007E39C9"/>
    <w:rsid w:val="00806F40"/>
    <w:rsid w:val="008115B4"/>
    <w:rsid w:val="0082215E"/>
    <w:rsid w:val="00822276"/>
    <w:rsid w:val="008235E1"/>
    <w:rsid w:val="00831DA4"/>
    <w:rsid w:val="00850274"/>
    <w:rsid w:val="008650A4"/>
    <w:rsid w:val="00867AEA"/>
    <w:rsid w:val="00874EB9"/>
    <w:rsid w:val="008A1F0D"/>
    <w:rsid w:val="008A29B1"/>
    <w:rsid w:val="008B0B3F"/>
    <w:rsid w:val="008B1AE8"/>
    <w:rsid w:val="008B3285"/>
    <w:rsid w:val="008D026A"/>
    <w:rsid w:val="008D17FB"/>
    <w:rsid w:val="008D305B"/>
    <w:rsid w:val="008D6144"/>
    <w:rsid w:val="008E2B64"/>
    <w:rsid w:val="008E791B"/>
    <w:rsid w:val="008F0DEA"/>
    <w:rsid w:val="008F4E75"/>
    <w:rsid w:val="008F5A3E"/>
    <w:rsid w:val="00903E6E"/>
    <w:rsid w:val="0091332C"/>
    <w:rsid w:val="009164F2"/>
    <w:rsid w:val="00917FB3"/>
    <w:rsid w:val="009558EE"/>
    <w:rsid w:val="00960059"/>
    <w:rsid w:val="00960705"/>
    <w:rsid w:val="00964697"/>
    <w:rsid w:val="0096757D"/>
    <w:rsid w:val="0096780E"/>
    <w:rsid w:val="00986E71"/>
    <w:rsid w:val="00990AB9"/>
    <w:rsid w:val="00995095"/>
    <w:rsid w:val="009973FC"/>
    <w:rsid w:val="009A0EC5"/>
    <w:rsid w:val="009A7FBB"/>
    <w:rsid w:val="00A07EE3"/>
    <w:rsid w:val="00A13B54"/>
    <w:rsid w:val="00A15368"/>
    <w:rsid w:val="00A36A12"/>
    <w:rsid w:val="00A44FC5"/>
    <w:rsid w:val="00A50CC4"/>
    <w:rsid w:val="00A50F25"/>
    <w:rsid w:val="00A540D0"/>
    <w:rsid w:val="00A81D75"/>
    <w:rsid w:val="00A84DF2"/>
    <w:rsid w:val="00A852E5"/>
    <w:rsid w:val="00A86EF9"/>
    <w:rsid w:val="00A90FEA"/>
    <w:rsid w:val="00A92D75"/>
    <w:rsid w:val="00A97206"/>
    <w:rsid w:val="00AA28AA"/>
    <w:rsid w:val="00AB7B63"/>
    <w:rsid w:val="00AC188C"/>
    <w:rsid w:val="00AC55DC"/>
    <w:rsid w:val="00AD5FBE"/>
    <w:rsid w:val="00AE44EE"/>
    <w:rsid w:val="00AF7358"/>
    <w:rsid w:val="00AF7A81"/>
    <w:rsid w:val="00B03E26"/>
    <w:rsid w:val="00B04408"/>
    <w:rsid w:val="00B23D78"/>
    <w:rsid w:val="00B30BE0"/>
    <w:rsid w:val="00B37E95"/>
    <w:rsid w:val="00B51146"/>
    <w:rsid w:val="00B53055"/>
    <w:rsid w:val="00B56DEB"/>
    <w:rsid w:val="00B57E4F"/>
    <w:rsid w:val="00B77837"/>
    <w:rsid w:val="00B86D30"/>
    <w:rsid w:val="00B9472A"/>
    <w:rsid w:val="00BA03CC"/>
    <w:rsid w:val="00BA3572"/>
    <w:rsid w:val="00BA790F"/>
    <w:rsid w:val="00BB60C5"/>
    <w:rsid w:val="00BD375E"/>
    <w:rsid w:val="00BE11A7"/>
    <w:rsid w:val="00BE2324"/>
    <w:rsid w:val="00C10107"/>
    <w:rsid w:val="00C1287C"/>
    <w:rsid w:val="00C128FD"/>
    <w:rsid w:val="00C1396F"/>
    <w:rsid w:val="00C170E1"/>
    <w:rsid w:val="00C24C93"/>
    <w:rsid w:val="00C31A30"/>
    <w:rsid w:val="00C37179"/>
    <w:rsid w:val="00C645F5"/>
    <w:rsid w:val="00C72ED1"/>
    <w:rsid w:val="00C72EF1"/>
    <w:rsid w:val="00C7646F"/>
    <w:rsid w:val="00C82830"/>
    <w:rsid w:val="00C83EC9"/>
    <w:rsid w:val="00CA73F7"/>
    <w:rsid w:val="00CB0CF3"/>
    <w:rsid w:val="00CB1CAA"/>
    <w:rsid w:val="00CB264B"/>
    <w:rsid w:val="00CB74E9"/>
    <w:rsid w:val="00CC10A0"/>
    <w:rsid w:val="00CC3F9D"/>
    <w:rsid w:val="00CC509F"/>
    <w:rsid w:val="00CD2B42"/>
    <w:rsid w:val="00CE340A"/>
    <w:rsid w:val="00CF5F07"/>
    <w:rsid w:val="00D14397"/>
    <w:rsid w:val="00D17FDB"/>
    <w:rsid w:val="00D4043D"/>
    <w:rsid w:val="00D441B7"/>
    <w:rsid w:val="00D52834"/>
    <w:rsid w:val="00D52BC5"/>
    <w:rsid w:val="00D604E7"/>
    <w:rsid w:val="00D64003"/>
    <w:rsid w:val="00D801A7"/>
    <w:rsid w:val="00D97245"/>
    <w:rsid w:val="00DA2E04"/>
    <w:rsid w:val="00DB6FF8"/>
    <w:rsid w:val="00DD04AE"/>
    <w:rsid w:val="00DE6C76"/>
    <w:rsid w:val="00DF26A5"/>
    <w:rsid w:val="00E00441"/>
    <w:rsid w:val="00E01B27"/>
    <w:rsid w:val="00E02643"/>
    <w:rsid w:val="00E043A4"/>
    <w:rsid w:val="00E30B25"/>
    <w:rsid w:val="00E32E05"/>
    <w:rsid w:val="00E55F1B"/>
    <w:rsid w:val="00E62524"/>
    <w:rsid w:val="00E719DA"/>
    <w:rsid w:val="00E73590"/>
    <w:rsid w:val="00E76AEC"/>
    <w:rsid w:val="00E82367"/>
    <w:rsid w:val="00E94DC6"/>
    <w:rsid w:val="00E96069"/>
    <w:rsid w:val="00E965A8"/>
    <w:rsid w:val="00E97DB7"/>
    <w:rsid w:val="00EA1BA4"/>
    <w:rsid w:val="00EB196B"/>
    <w:rsid w:val="00EC5C49"/>
    <w:rsid w:val="00EC7C77"/>
    <w:rsid w:val="00ED6A3C"/>
    <w:rsid w:val="00EE19A4"/>
    <w:rsid w:val="00EF01DD"/>
    <w:rsid w:val="00EF13A0"/>
    <w:rsid w:val="00EF5E50"/>
    <w:rsid w:val="00F1400B"/>
    <w:rsid w:val="00F627E9"/>
    <w:rsid w:val="00F81B26"/>
    <w:rsid w:val="00F85886"/>
    <w:rsid w:val="00F94586"/>
    <w:rsid w:val="00FA1954"/>
    <w:rsid w:val="00FA2143"/>
    <w:rsid w:val="00FD5ECC"/>
    <w:rsid w:val="00FE19F6"/>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9A46689"/>
  <w15:docId w15:val="{535BC5BD-9B78-4E68-92A4-2019533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customStyle="1" w:styleId="ColorfulShading-Accent11">
    <w:name w:val="Colorful Shading - Accent 11"/>
    <w:hidden/>
    <w:uiPriority w:val="71"/>
    <w:rsid w:val="00413B34"/>
    <w:rPr>
      <w:sz w:val="24"/>
      <w:szCs w:val="24"/>
      <w:lang w:val="en-US" w:eastAsia="en-US"/>
    </w:rPr>
  </w:style>
  <w:style w:type="paragraph" w:styleId="NormalWeb">
    <w:name w:val="Normal (Web)"/>
    <w:basedOn w:val="Normal"/>
    <w:uiPriority w:val="99"/>
    <w:unhideWhenUsed/>
    <w:rsid w:val="003D21C2"/>
    <w:pPr>
      <w:spacing w:before="100" w:beforeAutospacing="1" w:after="100" w:afterAutospacing="1"/>
    </w:pPr>
    <w:rPr>
      <w:sz w:val="20"/>
      <w:szCs w:val="20"/>
      <w:lang w:val="en-GB"/>
    </w:rPr>
  </w:style>
  <w:style w:type="paragraph" w:styleId="ListParagraph">
    <w:name w:val="List Paragraph"/>
    <w:basedOn w:val="Normal"/>
    <w:uiPriority w:val="34"/>
    <w:qFormat/>
    <w:rsid w:val="00CB74E9"/>
    <w:pPr>
      <w:ind w:left="720"/>
      <w:contextualSpacing/>
    </w:pPr>
  </w:style>
  <w:style w:type="paragraph" w:styleId="Caption">
    <w:name w:val="caption"/>
    <w:basedOn w:val="Normal"/>
    <w:next w:val="Normal"/>
    <w:unhideWhenUsed/>
    <w:qFormat/>
    <w:rsid w:val="00A50F25"/>
    <w:pPr>
      <w:spacing w:after="200"/>
    </w:pPr>
    <w:rPr>
      <w:b/>
      <w:bCs/>
      <w:color w:val="4472C4" w:themeColor="accent1"/>
      <w:sz w:val="18"/>
      <w:szCs w:val="18"/>
    </w:rPr>
  </w:style>
  <w:style w:type="character" w:styleId="Hyperlink">
    <w:name w:val="Hyperlink"/>
    <w:basedOn w:val="DefaultParagraphFont"/>
    <w:unhideWhenUsed/>
    <w:rsid w:val="00645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3861">
      <w:bodyDiv w:val="1"/>
      <w:marLeft w:val="0"/>
      <w:marRight w:val="0"/>
      <w:marTop w:val="0"/>
      <w:marBottom w:val="0"/>
      <w:divBdr>
        <w:top w:val="none" w:sz="0" w:space="0" w:color="auto"/>
        <w:left w:val="none" w:sz="0" w:space="0" w:color="auto"/>
        <w:bottom w:val="none" w:sz="0" w:space="0" w:color="auto"/>
        <w:right w:val="none" w:sz="0" w:space="0" w:color="auto"/>
      </w:divBdr>
      <w:divsChild>
        <w:div w:id="1197432332">
          <w:marLeft w:val="0"/>
          <w:marRight w:val="0"/>
          <w:marTop w:val="0"/>
          <w:marBottom w:val="0"/>
          <w:divBdr>
            <w:top w:val="none" w:sz="0" w:space="0" w:color="auto"/>
            <w:left w:val="none" w:sz="0" w:space="0" w:color="auto"/>
            <w:bottom w:val="none" w:sz="0" w:space="0" w:color="auto"/>
            <w:right w:val="none" w:sz="0" w:space="0" w:color="auto"/>
          </w:divBdr>
          <w:divsChild>
            <w:div w:id="1865056013">
              <w:marLeft w:val="0"/>
              <w:marRight w:val="0"/>
              <w:marTop w:val="0"/>
              <w:marBottom w:val="0"/>
              <w:divBdr>
                <w:top w:val="none" w:sz="0" w:space="0" w:color="auto"/>
                <w:left w:val="none" w:sz="0" w:space="0" w:color="auto"/>
                <w:bottom w:val="none" w:sz="0" w:space="0" w:color="auto"/>
                <w:right w:val="none" w:sz="0" w:space="0" w:color="auto"/>
              </w:divBdr>
              <w:divsChild>
                <w:div w:id="17056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409">
      <w:bodyDiv w:val="1"/>
      <w:marLeft w:val="0"/>
      <w:marRight w:val="0"/>
      <w:marTop w:val="0"/>
      <w:marBottom w:val="0"/>
      <w:divBdr>
        <w:top w:val="none" w:sz="0" w:space="0" w:color="auto"/>
        <w:left w:val="none" w:sz="0" w:space="0" w:color="auto"/>
        <w:bottom w:val="none" w:sz="0" w:space="0" w:color="auto"/>
        <w:right w:val="none" w:sz="0" w:space="0" w:color="auto"/>
      </w:divBdr>
      <w:divsChild>
        <w:div w:id="1257441856">
          <w:marLeft w:val="0"/>
          <w:marRight w:val="0"/>
          <w:marTop w:val="0"/>
          <w:marBottom w:val="0"/>
          <w:divBdr>
            <w:top w:val="none" w:sz="0" w:space="0" w:color="auto"/>
            <w:left w:val="none" w:sz="0" w:space="0" w:color="auto"/>
            <w:bottom w:val="none" w:sz="0" w:space="0" w:color="auto"/>
            <w:right w:val="none" w:sz="0" w:space="0" w:color="auto"/>
          </w:divBdr>
          <w:divsChild>
            <w:div w:id="176046523">
              <w:marLeft w:val="0"/>
              <w:marRight w:val="0"/>
              <w:marTop w:val="0"/>
              <w:marBottom w:val="0"/>
              <w:divBdr>
                <w:top w:val="none" w:sz="0" w:space="0" w:color="auto"/>
                <w:left w:val="none" w:sz="0" w:space="0" w:color="auto"/>
                <w:bottom w:val="none" w:sz="0" w:space="0" w:color="auto"/>
                <w:right w:val="none" w:sz="0" w:space="0" w:color="auto"/>
              </w:divBdr>
              <w:divsChild>
                <w:div w:id="915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21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3">
          <w:marLeft w:val="0"/>
          <w:marRight w:val="0"/>
          <w:marTop w:val="0"/>
          <w:marBottom w:val="0"/>
          <w:divBdr>
            <w:top w:val="none" w:sz="0" w:space="0" w:color="auto"/>
            <w:left w:val="none" w:sz="0" w:space="0" w:color="auto"/>
            <w:bottom w:val="none" w:sz="0" w:space="0" w:color="auto"/>
            <w:right w:val="none" w:sz="0" w:space="0" w:color="auto"/>
          </w:divBdr>
          <w:divsChild>
            <w:div w:id="1159924318">
              <w:marLeft w:val="0"/>
              <w:marRight w:val="0"/>
              <w:marTop w:val="0"/>
              <w:marBottom w:val="0"/>
              <w:divBdr>
                <w:top w:val="none" w:sz="0" w:space="0" w:color="auto"/>
                <w:left w:val="none" w:sz="0" w:space="0" w:color="auto"/>
                <w:bottom w:val="none" w:sz="0" w:space="0" w:color="auto"/>
                <w:right w:val="none" w:sz="0" w:space="0" w:color="auto"/>
              </w:divBdr>
              <w:divsChild>
                <w:div w:id="334958418">
                  <w:marLeft w:val="0"/>
                  <w:marRight w:val="0"/>
                  <w:marTop w:val="0"/>
                  <w:marBottom w:val="0"/>
                  <w:divBdr>
                    <w:top w:val="none" w:sz="0" w:space="0" w:color="auto"/>
                    <w:left w:val="none" w:sz="0" w:space="0" w:color="auto"/>
                    <w:bottom w:val="none" w:sz="0" w:space="0" w:color="auto"/>
                    <w:right w:val="none" w:sz="0" w:space="0" w:color="auto"/>
                  </w:divBdr>
                  <w:divsChild>
                    <w:div w:id="9905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5537">
      <w:bodyDiv w:val="1"/>
      <w:marLeft w:val="0"/>
      <w:marRight w:val="0"/>
      <w:marTop w:val="0"/>
      <w:marBottom w:val="0"/>
      <w:divBdr>
        <w:top w:val="none" w:sz="0" w:space="0" w:color="auto"/>
        <w:left w:val="none" w:sz="0" w:space="0" w:color="auto"/>
        <w:bottom w:val="none" w:sz="0" w:space="0" w:color="auto"/>
        <w:right w:val="none" w:sz="0" w:space="0" w:color="auto"/>
      </w:divBdr>
      <w:divsChild>
        <w:div w:id="888610220">
          <w:marLeft w:val="0"/>
          <w:marRight w:val="0"/>
          <w:marTop w:val="0"/>
          <w:marBottom w:val="0"/>
          <w:divBdr>
            <w:top w:val="none" w:sz="0" w:space="0" w:color="auto"/>
            <w:left w:val="none" w:sz="0" w:space="0" w:color="auto"/>
            <w:bottom w:val="none" w:sz="0" w:space="0" w:color="auto"/>
            <w:right w:val="none" w:sz="0" w:space="0" w:color="auto"/>
          </w:divBdr>
          <w:divsChild>
            <w:div w:id="453791260">
              <w:marLeft w:val="0"/>
              <w:marRight w:val="0"/>
              <w:marTop w:val="0"/>
              <w:marBottom w:val="0"/>
              <w:divBdr>
                <w:top w:val="none" w:sz="0" w:space="0" w:color="auto"/>
                <w:left w:val="none" w:sz="0" w:space="0" w:color="auto"/>
                <w:bottom w:val="none" w:sz="0" w:space="0" w:color="auto"/>
                <w:right w:val="none" w:sz="0" w:space="0" w:color="auto"/>
              </w:divBdr>
              <w:divsChild>
                <w:div w:id="6694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zabika:Dropbox:My%20files:Work:Wetlands%20International:Closed%20projects:1284%20CSR6:Methodology:Generation%20length%20dependent%20thresholds%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3"/>
          <c:order val="0"/>
          <c:tx>
            <c:strRef>
              <c:f>Sheet6!$F$3</c:f>
              <c:strCache>
                <c:ptCount val="1"/>
                <c:pt idx="0">
                  <c:v>AEWA definition</c:v>
                </c:pt>
              </c:strCache>
            </c:strRef>
          </c:tx>
          <c:spPr>
            <a:ln>
              <a:solidFill>
                <a:schemeClr val="accent6"/>
              </a:solidFill>
              <a:prstDash val="solid"/>
            </a:ln>
          </c:spPr>
          <c:marker>
            <c:symbol val="none"/>
          </c:marker>
          <c:val>
            <c:numRef>
              <c:f>Sheet6!$F$4:$F$28</c:f>
              <c:numCache>
                <c:formatCode>_-* #,##0.0000_-;\-* #,##0.0000_-;_-* "-"??_-;_-@_-</c:formatCode>
                <c:ptCount val="25"/>
                <c:pt idx="0">
                  <c:v>0.98808480191600601</c:v>
                </c:pt>
                <c:pt idx="1">
                  <c:v>0.98808480191600601</c:v>
                </c:pt>
                <c:pt idx="2">
                  <c:v>0.98808480191600601</c:v>
                </c:pt>
                <c:pt idx="3">
                  <c:v>0.99012897014567702</c:v>
                </c:pt>
                <c:pt idx="4">
                  <c:v>0.99214927854426005</c:v>
                </c:pt>
                <c:pt idx="5">
                  <c:v>0.99348309879220698</c:v>
                </c:pt>
                <c:pt idx="6">
                  <c:v>0.99442951336123298</c:v>
                </c:pt>
                <c:pt idx="7">
                  <c:v>0.99513590090147097</c:v>
                </c:pt>
                <c:pt idx="8">
                  <c:v>0.99568329765674501</c:v>
                </c:pt>
                <c:pt idx="9">
                  <c:v>0.99611995134304498</c:v>
                </c:pt>
                <c:pt idx="10">
                  <c:v>0.99647638118659598</c:v>
                </c:pt>
                <c:pt idx="11">
                  <c:v>0.99677283568859298</c:v>
                </c:pt>
                <c:pt idx="12">
                  <c:v>0.99702327787653899</c:v>
                </c:pt>
                <c:pt idx="13">
                  <c:v>0.99723764855987296</c:v>
                </c:pt>
                <c:pt idx="14">
                  <c:v>0.99742321734547301</c:v>
                </c:pt>
                <c:pt idx="15">
                  <c:v>0.99758542338394596</c:v>
                </c:pt>
                <c:pt idx="16">
                  <c:v>0.99772841737701701</c:v>
                </c:pt>
                <c:pt idx="17">
                  <c:v>0.997855421763297</c:v>
                </c:pt>
                <c:pt idx="18">
                  <c:v>0.99796897647398897</c:v>
                </c:pt>
                <c:pt idx="19">
                  <c:v>0.998071110538855</c:v>
                </c:pt>
                <c:pt idx="20">
                  <c:v>0.99816346439403503</c:v>
                </c:pt>
                <c:pt idx="21">
                  <c:v>0.99824737865927804</c:v>
                </c:pt>
                <c:pt idx="22">
                  <c:v>0.99832395964041398</c:v>
                </c:pt>
                <c:pt idx="23">
                  <c:v>0.99839412837798602</c:v>
                </c:pt>
                <c:pt idx="24">
                  <c:v>0.99845865787022003</c:v>
                </c:pt>
              </c:numCache>
            </c:numRef>
          </c:val>
          <c:smooth val="0"/>
          <c:extLst>
            <c:ext xmlns:c16="http://schemas.microsoft.com/office/drawing/2014/chart" uri="{C3380CC4-5D6E-409C-BE32-E72D297353CC}">
              <c16:uniqueId val="{00000000-66DD-4843-8D53-7EE467D77720}"/>
            </c:ext>
          </c:extLst>
        </c:ser>
        <c:ser>
          <c:idx val="5"/>
          <c:order val="1"/>
          <c:tx>
            <c:strRef>
              <c:f>Sheet6!$H$3</c:f>
              <c:strCache>
                <c:ptCount val="1"/>
                <c:pt idx="0">
                  <c:v>European Red List of Birds Declining category</c:v>
                </c:pt>
              </c:strCache>
            </c:strRef>
          </c:tx>
          <c:spPr>
            <a:ln>
              <a:solidFill>
                <a:srgbClr val="3366FF"/>
              </a:solidFill>
            </a:ln>
          </c:spPr>
          <c:marker>
            <c:symbol val="none"/>
          </c:marker>
          <c:val>
            <c:numRef>
              <c:f>Sheet6!$H$4:$H$28</c:f>
              <c:numCache>
                <c:formatCode>_-* #,##0.0000_-;\-* #,##0.0000_-;_-* "-"??_-;_-@_-</c:formatCode>
                <c:ptCount val="25"/>
                <c:pt idx="0">
                  <c:v>0.98836153311574804</c:v>
                </c:pt>
                <c:pt idx="1">
                  <c:v>0.98836153311574804</c:v>
                </c:pt>
                <c:pt idx="2">
                  <c:v>0.98836153311574804</c:v>
                </c:pt>
                <c:pt idx="3">
                  <c:v>0.99046749643128396</c:v>
                </c:pt>
                <c:pt idx="4">
                  <c:v>0.99250249644074695</c:v>
                </c:pt>
                <c:pt idx="5">
                  <c:v>0.99382148859557895</c:v>
                </c:pt>
                <c:pt idx="6">
                  <c:v>0.99474582593053096</c:v>
                </c:pt>
                <c:pt idx="7">
                  <c:v>0.99542958429755601</c:v>
                </c:pt>
                <c:pt idx="8">
                  <c:v>0.99595587207432501</c:v>
                </c:pt>
                <c:pt idx="9">
                  <c:v>0.99637347057000203</c:v>
                </c:pt>
                <c:pt idx="10">
                  <c:v>0.99671289827292497</c:v>
                </c:pt>
                <c:pt idx="11">
                  <c:v>0.99699422596393295</c:v>
                </c:pt>
                <c:pt idx="12">
                  <c:v>0.99723119508165203</c:v>
                </c:pt>
                <c:pt idx="13">
                  <c:v>0.99743353035441995</c:v>
                </c:pt>
                <c:pt idx="14">
                  <c:v>0.99760830749099705</c:v>
                </c:pt>
                <c:pt idx="15">
                  <c:v>0.99776079766322001</c:v>
                </c:pt>
                <c:pt idx="16">
                  <c:v>0.99789500829586297</c:v>
                </c:pt>
                <c:pt idx="17">
                  <c:v>0.99801404037491503</c:v>
                </c:pt>
                <c:pt idx="18">
                  <c:v>0.99812033101498898</c:v>
                </c:pt>
                <c:pt idx="19">
                  <c:v>0.99821582208930404</c:v>
                </c:pt>
                <c:pt idx="20">
                  <c:v>0.99830207994423004</c:v>
                </c:pt>
                <c:pt idx="21">
                  <c:v>0.99838038198902701</c:v>
                </c:pt>
                <c:pt idx="22">
                  <c:v>0.99845178038254001</c:v>
                </c:pt>
                <c:pt idx="23">
                  <c:v>0.99851714958598004</c:v>
                </c:pt>
                <c:pt idx="24">
                  <c:v>0.99857722235704505</c:v>
                </c:pt>
              </c:numCache>
            </c:numRef>
          </c:val>
          <c:smooth val="0"/>
          <c:extLst>
            <c:ext xmlns:c16="http://schemas.microsoft.com/office/drawing/2014/chart" uri="{C3380CC4-5D6E-409C-BE32-E72D297353CC}">
              <c16:uniqueId val="{00000001-66DD-4843-8D53-7EE467D77720}"/>
            </c:ext>
          </c:extLst>
        </c:ser>
        <c:dLbls>
          <c:showLegendKey val="0"/>
          <c:showVal val="0"/>
          <c:showCatName val="0"/>
          <c:showSerName val="0"/>
          <c:showPercent val="0"/>
          <c:showBubbleSize val="0"/>
        </c:dLbls>
        <c:smooth val="0"/>
        <c:axId val="177867008"/>
        <c:axId val="253018496"/>
      </c:lineChart>
      <c:catAx>
        <c:axId val="177867008"/>
        <c:scaling>
          <c:orientation val="minMax"/>
        </c:scaling>
        <c:delete val="0"/>
        <c:axPos val="b"/>
        <c:title>
          <c:tx>
            <c:rich>
              <a:bodyPr/>
              <a:lstStyle/>
              <a:p>
                <a:pPr>
                  <a:defRPr/>
                </a:pPr>
                <a:r>
                  <a:rPr lang="en-US"/>
                  <a:t>Generation length</a:t>
                </a:r>
              </a:p>
            </c:rich>
          </c:tx>
          <c:overlay val="0"/>
        </c:title>
        <c:numFmt formatCode="General" sourceLinked="1"/>
        <c:majorTickMark val="out"/>
        <c:minorTickMark val="none"/>
        <c:tickLblPos val="nextTo"/>
        <c:crossAx val="253018496"/>
        <c:crossesAt val="0"/>
        <c:auto val="1"/>
        <c:lblAlgn val="ctr"/>
        <c:lblOffset val="100"/>
        <c:noMultiLvlLbl val="0"/>
      </c:catAx>
      <c:valAx>
        <c:axId val="253018496"/>
        <c:scaling>
          <c:orientation val="minMax"/>
        </c:scaling>
        <c:delete val="0"/>
        <c:axPos val="l"/>
        <c:majorGridlines/>
        <c:title>
          <c:tx>
            <c:rich>
              <a:bodyPr rot="-5400000" vert="horz"/>
              <a:lstStyle/>
              <a:p>
                <a:pPr>
                  <a:defRPr/>
                </a:pPr>
                <a:r>
                  <a:rPr lang="en-US"/>
                  <a:t>Multiplicative rate of change</a:t>
                </a:r>
              </a:p>
            </c:rich>
          </c:tx>
          <c:overlay val="0"/>
        </c:title>
        <c:numFmt formatCode="_-* #,##0.0000_-;\-* #,##0.0000_-;_-* &quot;-&quot;??_-;_-@_-" sourceLinked="1"/>
        <c:majorTickMark val="out"/>
        <c:minorTickMark val="none"/>
        <c:tickLblPos val="nextTo"/>
        <c:crossAx val="177867008"/>
        <c:crosses val="autoZero"/>
        <c:crossBetween val="between"/>
        <c:majorUnit val="0.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B3C4-DFDA-44C2-A720-1F858741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1225</Words>
  <Characters>6383</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cp:lastModifiedBy>
  <cp:revision>3</cp:revision>
  <cp:lastPrinted>2018-06-19T13:23:00Z</cp:lastPrinted>
  <dcterms:created xsi:type="dcterms:W3CDTF">2018-06-19T13:22:00Z</dcterms:created>
  <dcterms:modified xsi:type="dcterms:W3CDTF">2018-06-19T14:17:00Z</dcterms:modified>
</cp:coreProperties>
</file>