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158D" w14:textId="77777777" w:rsidR="00D441B7" w:rsidRDefault="00D441B7" w:rsidP="00B23D78">
      <w:pPr>
        <w:tabs>
          <w:tab w:val="left" w:pos="4185"/>
        </w:tabs>
        <w:spacing w:line="276" w:lineRule="auto"/>
        <w:jc w:val="center"/>
        <w:rPr>
          <w:b/>
          <w:bCs/>
          <w:lang w:val="en-GB"/>
        </w:rPr>
      </w:pPr>
      <w:bookmarkStart w:id="0" w:name="_GoBack"/>
      <w:bookmarkEnd w:id="0"/>
    </w:p>
    <w:p w14:paraId="0DDB852B" w14:textId="47149CD6" w:rsidR="00413B34" w:rsidRPr="00413B34" w:rsidRDefault="00413B34" w:rsidP="00B23D78">
      <w:pPr>
        <w:tabs>
          <w:tab w:val="left" w:pos="4185"/>
        </w:tabs>
        <w:spacing w:line="276" w:lineRule="auto"/>
        <w:jc w:val="center"/>
        <w:rPr>
          <w:b/>
          <w:lang w:val="en-GB"/>
        </w:rPr>
      </w:pPr>
      <w:r>
        <w:rPr>
          <w:b/>
          <w:bCs/>
          <w:lang w:val="en-GB"/>
        </w:rPr>
        <w:t xml:space="preserve">PROPOSAL TO </w:t>
      </w:r>
      <w:r w:rsidRPr="00413B34">
        <w:rPr>
          <w:b/>
          <w:bCs/>
          <w:lang w:val="en-GB"/>
        </w:rPr>
        <w:t xml:space="preserve">AMEND </w:t>
      </w:r>
      <w:r>
        <w:rPr>
          <w:b/>
          <w:bCs/>
          <w:lang w:val="en-GB"/>
        </w:rPr>
        <w:t>THE DEFINITION OF SIGNIFICANT LONG-TERM DECLINE</w:t>
      </w:r>
      <w:r w:rsidR="00E96069">
        <w:rPr>
          <w:b/>
          <w:bCs/>
          <w:lang w:val="en-GB"/>
        </w:rPr>
        <w:t xml:space="preserve"> AND ESTABLISH A CRITERION ON SHORT-TERM DECLINE</w:t>
      </w:r>
      <w:r>
        <w:rPr>
          <w:b/>
          <w:bCs/>
          <w:lang w:val="en-GB"/>
        </w:rPr>
        <w:t xml:space="preserve"> TO APPLY WHEN CLASSIFYING POPULATIONS IN TABLE 1 OF ANNEX 3 OF THE AGREEMENT</w:t>
      </w:r>
    </w:p>
    <w:p w14:paraId="399084DC" w14:textId="64EBB3BE" w:rsidR="00413B34" w:rsidRDefault="00413B34" w:rsidP="0060207D">
      <w:pPr>
        <w:tabs>
          <w:tab w:val="left" w:pos="4185"/>
        </w:tabs>
        <w:jc w:val="center"/>
        <w:rPr>
          <w:sz w:val="18"/>
          <w:szCs w:val="18"/>
          <w:lang w:val="en-GB"/>
        </w:rPr>
      </w:pPr>
    </w:p>
    <w:p w14:paraId="415B61E1" w14:textId="20A85C09" w:rsidR="00C72ED1" w:rsidRPr="00BE2324" w:rsidRDefault="00C72ED1" w:rsidP="0060207D">
      <w:pPr>
        <w:tabs>
          <w:tab w:val="left" w:pos="4185"/>
        </w:tabs>
        <w:jc w:val="center"/>
        <w:rPr>
          <w:sz w:val="22"/>
          <w:szCs w:val="22"/>
          <w:lang w:val="en-GB"/>
        </w:rPr>
      </w:pPr>
      <w:r w:rsidRPr="00BE2324">
        <w:rPr>
          <w:sz w:val="22"/>
          <w:szCs w:val="22"/>
          <w:lang w:val="en-GB"/>
        </w:rPr>
        <w:t>(</w:t>
      </w:r>
      <w:r w:rsidRPr="00BE2324">
        <w:rPr>
          <w:i/>
          <w:sz w:val="22"/>
          <w:szCs w:val="22"/>
          <w:lang w:val="en-GB"/>
        </w:rPr>
        <w:t>Proposed by the Technical Committee</w:t>
      </w:r>
      <w:r w:rsidRPr="00BE2324">
        <w:rPr>
          <w:sz w:val="22"/>
          <w:szCs w:val="22"/>
          <w:lang w:val="en-GB"/>
        </w:rPr>
        <w:t>)</w:t>
      </w:r>
    </w:p>
    <w:p w14:paraId="7845B546" w14:textId="77777777" w:rsidR="00FD5ECC" w:rsidRPr="007D3C9E" w:rsidRDefault="00FD5ECC" w:rsidP="0060207D">
      <w:pPr>
        <w:tabs>
          <w:tab w:val="left" w:pos="4185"/>
        </w:tabs>
        <w:jc w:val="center"/>
        <w:rPr>
          <w:sz w:val="18"/>
          <w:szCs w:val="18"/>
          <w:lang w:val="en-GB"/>
        </w:rPr>
      </w:pPr>
    </w:p>
    <w:p w14:paraId="08A4AE03" w14:textId="2B006BF7" w:rsidR="000434D4" w:rsidRDefault="000434D4" w:rsidP="00413B34">
      <w:pPr>
        <w:tabs>
          <w:tab w:val="left" w:pos="4185"/>
        </w:tabs>
        <w:rPr>
          <w:b/>
          <w:lang w:val="en-GB"/>
        </w:rPr>
      </w:pPr>
    </w:p>
    <w:p w14:paraId="4A3A9CCD" w14:textId="77777777" w:rsidR="000434D4" w:rsidRDefault="000434D4" w:rsidP="00413B34">
      <w:pPr>
        <w:tabs>
          <w:tab w:val="left" w:pos="4185"/>
        </w:tabs>
        <w:rPr>
          <w:b/>
          <w:lang w:val="en-GB"/>
        </w:rPr>
      </w:pPr>
    </w:p>
    <w:p w14:paraId="254837F7" w14:textId="6A779539" w:rsidR="00413B34" w:rsidRPr="00413B34" w:rsidRDefault="00413B34" w:rsidP="00413B34">
      <w:pPr>
        <w:tabs>
          <w:tab w:val="left" w:pos="4185"/>
        </w:tabs>
        <w:rPr>
          <w:b/>
          <w:lang w:val="en-GB"/>
        </w:rPr>
      </w:pPr>
      <w:r w:rsidRPr="00413B34">
        <w:rPr>
          <w:b/>
          <w:lang w:val="en-GB"/>
        </w:rPr>
        <w:t>Background</w:t>
      </w:r>
    </w:p>
    <w:p w14:paraId="5E97CA2F" w14:textId="77777777" w:rsidR="00413B34" w:rsidRDefault="00413B34" w:rsidP="00413B34">
      <w:pPr>
        <w:tabs>
          <w:tab w:val="left" w:pos="4185"/>
        </w:tabs>
        <w:rPr>
          <w:lang w:val="en-GB"/>
        </w:rPr>
      </w:pPr>
    </w:p>
    <w:p w14:paraId="0034438C" w14:textId="77777777" w:rsidR="00147704" w:rsidRDefault="00147704">
      <w:pPr>
        <w:tabs>
          <w:tab w:val="left" w:pos="4185"/>
        </w:tabs>
        <w:spacing w:line="276" w:lineRule="auto"/>
        <w:jc w:val="both"/>
        <w:rPr>
          <w:sz w:val="22"/>
          <w:szCs w:val="22"/>
          <w:lang w:val="en-GB"/>
        </w:rPr>
      </w:pPr>
      <w:r>
        <w:rPr>
          <w:sz w:val="22"/>
          <w:szCs w:val="22"/>
          <w:lang w:val="en-GB"/>
        </w:rPr>
        <w:t xml:space="preserve">Categories 3 of Column A and 2 of Column B </w:t>
      </w:r>
      <w:r w:rsidR="00D52BC5">
        <w:rPr>
          <w:sz w:val="22"/>
          <w:szCs w:val="22"/>
          <w:lang w:val="en-GB"/>
        </w:rPr>
        <w:t xml:space="preserve">include a </w:t>
      </w:r>
      <w:r>
        <w:rPr>
          <w:sz w:val="22"/>
          <w:szCs w:val="22"/>
          <w:lang w:val="en-GB"/>
        </w:rPr>
        <w:t xml:space="preserve">criterion to identify respectively populations in risk or that </w:t>
      </w:r>
      <w:proofErr w:type="gramStart"/>
      <w:r>
        <w:rPr>
          <w:sz w:val="22"/>
          <w:szCs w:val="22"/>
          <w:lang w:val="en-GB"/>
        </w:rPr>
        <w:t>are in need of</w:t>
      </w:r>
      <w:proofErr w:type="gramEnd"/>
      <w:r>
        <w:rPr>
          <w:sz w:val="22"/>
          <w:szCs w:val="22"/>
          <w:lang w:val="en-GB"/>
        </w:rPr>
        <w:t xml:space="preserve"> special attention as a result of </w:t>
      </w:r>
      <w:r w:rsidRPr="00D64003">
        <w:rPr>
          <w:i/>
          <w:sz w:val="22"/>
          <w:szCs w:val="22"/>
          <w:lang w:val="en-GB"/>
        </w:rPr>
        <w:t>significant long-term decline</w:t>
      </w:r>
      <w:r>
        <w:rPr>
          <w:sz w:val="22"/>
          <w:szCs w:val="22"/>
          <w:lang w:val="en-GB"/>
        </w:rPr>
        <w:t>.</w:t>
      </w:r>
    </w:p>
    <w:p w14:paraId="700FF67F" w14:textId="7CD1A298" w:rsidR="00D52BC5" w:rsidRDefault="00147704" w:rsidP="00BE2324">
      <w:pPr>
        <w:pStyle w:val="NormalWeb"/>
        <w:spacing w:line="276" w:lineRule="auto"/>
        <w:jc w:val="both"/>
      </w:pPr>
      <w:r>
        <w:rPr>
          <w:sz w:val="22"/>
          <w:szCs w:val="22"/>
        </w:rPr>
        <w:t xml:space="preserve">AEWA Resolutions 3.3 and 5.7 provided </w:t>
      </w:r>
      <w:r w:rsidR="00CC10A0">
        <w:rPr>
          <w:sz w:val="22"/>
          <w:szCs w:val="22"/>
        </w:rPr>
        <w:t xml:space="preserve">an evolving </w:t>
      </w:r>
      <w:r w:rsidR="00E97DB7" w:rsidRPr="00D64003">
        <w:rPr>
          <w:i/>
          <w:sz w:val="22"/>
          <w:szCs w:val="22"/>
        </w:rPr>
        <w:t xml:space="preserve">definition </w:t>
      </w:r>
      <w:r w:rsidR="00D52BC5">
        <w:rPr>
          <w:sz w:val="22"/>
          <w:szCs w:val="22"/>
        </w:rPr>
        <w:t xml:space="preserve">of significant long-term decline and </w:t>
      </w:r>
      <w:r w:rsidR="00D52BC5" w:rsidRPr="00D64003">
        <w:rPr>
          <w:i/>
          <w:sz w:val="22"/>
          <w:szCs w:val="22"/>
        </w:rPr>
        <w:t>guidance</w:t>
      </w:r>
      <w:r w:rsidR="00D52BC5">
        <w:rPr>
          <w:sz w:val="22"/>
          <w:szCs w:val="22"/>
        </w:rPr>
        <w:t xml:space="preserve"> for the application of this criterion. The former has established </w:t>
      </w:r>
      <w:r w:rsidR="003166BB" w:rsidRPr="007D3C9E">
        <w:rPr>
          <w:sz w:val="22"/>
          <w:szCs w:val="22"/>
        </w:rPr>
        <w:t>that a population should be classified as being in significant long-</w:t>
      </w:r>
      <w:r w:rsidR="00322442" w:rsidRPr="007D3C9E">
        <w:rPr>
          <w:sz w:val="22"/>
          <w:szCs w:val="22"/>
        </w:rPr>
        <w:t xml:space="preserve">term decline if it its </w:t>
      </w:r>
      <w:r w:rsidR="00322442" w:rsidRPr="00D64003">
        <w:rPr>
          <w:i/>
          <w:sz w:val="22"/>
          <w:szCs w:val="22"/>
        </w:rPr>
        <w:t xml:space="preserve">decline is equivalent </w:t>
      </w:r>
      <w:r w:rsidR="00CC10A0">
        <w:rPr>
          <w:i/>
          <w:sz w:val="22"/>
          <w:szCs w:val="22"/>
        </w:rPr>
        <w:t xml:space="preserve">to </w:t>
      </w:r>
      <w:r w:rsidR="003166BB" w:rsidRPr="00D64003">
        <w:rPr>
          <w:i/>
          <w:sz w:val="22"/>
          <w:szCs w:val="22"/>
        </w:rPr>
        <w:t>25% over 25 years or 7.5 generations</w:t>
      </w:r>
      <w:r w:rsidR="00322442" w:rsidRPr="00D64003">
        <w:rPr>
          <w:i/>
          <w:sz w:val="22"/>
          <w:szCs w:val="22"/>
        </w:rPr>
        <w:t>, whichever is the longer</w:t>
      </w:r>
      <w:r w:rsidR="00322442" w:rsidRPr="007D3C9E">
        <w:rPr>
          <w:sz w:val="22"/>
          <w:szCs w:val="22"/>
        </w:rPr>
        <w:t xml:space="preserve">. </w:t>
      </w:r>
      <w:r w:rsidR="00D52BC5">
        <w:rPr>
          <w:sz w:val="22"/>
          <w:szCs w:val="22"/>
        </w:rPr>
        <w:t xml:space="preserve">Resolution 5.7 has added that a population can also </w:t>
      </w:r>
      <w:r w:rsidR="000434D4">
        <w:rPr>
          <w:sz w:val="22"/>
          <w:szCs w:val="22"/>
        </w:rPr>
        <w:t xml:space="preserve">be </w:t>
      </w:r>
      <w:r w:rsidR="00D52BC5">
        <w:rPr>
          <w:sz w:val="22"/>
          <w:szCs w:val="22"/>
        </w:rPr>
        <w:t xml:space="preserve">considered </w:t>
      </w:r>
      <w:r w:rsidR="000434D4">
        <w:rPr>
          <w:sz w:val="22"/>
          <w:szCs w:val="22"/>
        </w:rPr>
        <w:t xml:space="preserve">as </w:t>
      </w:r>
      <w:r w:rsidR="00D52BC5">
        <w:rPr>
          <w:sz w:val="22"/>
          <w:szCs w:val="22"/>
        </w:rPr>
        <w:t xml:space="preserve">being in significant long-term decline on a precautionary basis when </w:t>
      </w:r>
      <w:r w:rsidR="00D52BC5" w:rsidRPr="00D64003">
        <w:rPr>
          <w:i/>
          <w:sz w:val="22"/>
          <w:szCs w:val="22"/>
        </w:rPr>
        <w:t>similar decline can be predicted based on at least 10 years of the most recent data</w:t>
      </w:r>
      <w:r w:rsidR="00D52BC5">
        <w:rPr>
          <w:sz w:val="22"/>
          <w:szCs w:val="22"/>
        </w:rPr>
        <w:t xml:space="preserve">.  </w:t>
      </w:r>
    </w:p>
    <w:p w14:paraId="0E12C53A" w14:textId="11578DCB" w:rsidR="0091332C" w:rsidRDefault="00D52BC5">
      <w:pPr>
        <w:tabs>
          <w:tab w:val="left" w:pos="4185"/>
        </w:tabs>
        <w:spacing w:line="276" w:lineRule="auto"/>
        <w:jc w:val="both"/>
        <w:rPr>
          <w:sz w:val="22"/>
          <w:szCs w:val="22"/>
          <w:lang w:val="en-GB"/>
        </w:rPr>
      </w:pPr>
      <w:r>
        <w:rPr>
          <w:sz w:val="22"/>
          <w:szCs w:val="22"/>
          <w:lang w:val="en-GB"/>
        </w:rPr>
        <w:t xml:space="preserve">The rate of decline used in the 25% over 25 years or 7.5 generations, is almost equal to </w:t>
      </w:r>
      <w:r w:rsidR="00322442" w:rsidRPr="007D3C9E">
        <w:rPr>
          <w:sz w:val="22"/>
          <w:szCs w:val="22"/>
          <w:lang w:val="en-GB"/>
        </w:rPr>
        <w:t xml:space="preserve">the definition of 20% over 20 years </w:t>
      </w:r>
      <w:r>
        <w:rPr>
          <w:sz w:val="22"/>
          <w:szCs w:val="22"/>
          <w:lang w:val="en-GB"/>
        </w:rPr>
        <w:t xml:space="preserve">used in </w:t>
      </w:r>
      <w:r w:rsidR="00322442" w:rsidRPr="007D3C9E">
        <w:rPr>
          <w:sz w:val="22"/>
          <w:szCs w:val="22"/>
          <w:lang w:val="en-GB"/>
        </w:rPr>
        <w:t xml:space="preserve">Tucker &amp; Heath (1994) </w:t>
      </w:r>
      <w:r w:rsidR="00CB74E9">
        <w:rPr>
          <w:sz w:val="22"/>
          <w:szCs w:val="22"/>
          <w:lang w:val="en-GB"/>
        </w:rPr>
        <w:t xml:space="preserve">as a threshold for moderate decline and with the </w:t>
      </w:r>
      <w:r w:rsidR="00322442" w:rsidRPr="007D3C9E">
        <w:rPr>
          <w:sz w:val="22"/>
          <w:szCs w:val="22"/>
          <w:lang w:val="en-GB"/>
        </w:rPr>
        <w:t xml:space="preserve">10% over 10 years or </w:t>
      </w:r>
      <w:r w:rsidR="00986E71">
        <w:rPr>
          <w:sz w:val="22"/>
          <w:szCs w:val="22"/>
          <w:lang w:val="en-GB"/>
        </w:rPr>
        <w:t>three</w:t>
      </w:r>
      <w:r w:rsidR="00986E71" w:rsidRPr="007D3C9E">
        <w:rPr>
          <w:sz w:val="22"/>
          <w:szCs w:val="22"/>
          <w:lang w:val="en-GB"/>
        </w:rPr>
        <w:t xml:space="preserve"> </w:t>
      </w:r>
      <w:r w:rsidR="00322442" w:rsidRPr="007D3C9E">
        <w:rPr>
          <w:sz w:val="22"/>
          <w:szCs w:val="22"/>
          <w:lang w:val="en-GB"/>
        </w:rPr>
        <w:t xml:space="preserve">generations, whichever is the longer </w:t>
      </w:r>
      <w:r w:rsidR="00CB74E9">
        <w:rPr>
          <w:sz w:val="22"/>
          <w:szCs w:val="22"/>
          <w:lang w:val="en-GB"/>
        </w:rPr>
        <w:t xml:space="preserve">used in the Birds in Europe and European Red List of Birds </w:t>
      </w:r>
      <w:r w:rsidR="00322442" w:rsidRPr="007D3C9E">
        <w:rPr>
          <w:sz w:val="22"/>
          <w:szCs w:val="22"/>
          <w:lang w:val="en-GB"/>
        </w:rPr>
        <w:t>(</w:t>
      </w:r>
      <w:proofErr w:type="spellStart"/>
      <w:r w:rsidR="00322442" w:rsidRPr="007D3C9E">
        <w:rPr>
          <w:sz w:val="22"/>
          <w:szCs w:val="22"/>
          <w:lang w:val="en-GB"/>
        </w:rPr>
        <w:t>BirdLife</w:t>
      </w:r>
      <w:proofErr w:type="spellEnd"/>
      <w:r w:rsidR="00322442" w:rsidRPr="007D3C9E">
        <w:rPr>
          <w:sz w:val="22"/>
          <w:szCs w:val="22"/>
          <w:lang w:val="en-GB"/>
        </w:rPr>
        <w:t xml:space="preserve"> International 2004, 2015</w:t>
      </w:r>
      <w:r w:rsidR="00A50F25">
        <w:rPr>
          <w:sz w:val="22"/>
          <w:szCs w:val="22"/>
          <w:lang w:val="en-GB"/>
        </w:rPr>
        <w:t>, Figure 1</w:t>
      </w:r>
      <w:r w:rsidR="00322442" w:rsidRPr="007D3C9E">
        <w:rPr>
          <w:sz w:val="22"/>
          <w:szCs w:val="22"/>
          <w:lang w:val="en-GB"/>
        </w:rPr>
        <w:t>).</w:t>
      </w:r>
      <w:r w:rsidR="00CB74E9">
        <w:rPr>
          <w:sz w:val="22"/>
          <w:szCs w:val="22"/>
          <w:lang w:val="en-GB"/>
        </w:rPr>
        <w:t xml:space="preserve"> </w:t>
      </w:r>
    </w:p>
    <w:p w14:paraId="038ABAEA" w14:textId="77777777" w:rsidR="0091332C" w:rsidRDefault="0091332C">
      <w:pPr>
        <w:tabs>
          <w:tab w:val="left" w:pos="4185"/>
        </w:tabs>
        <w:spacing w:line="276" w:lineRule="auto"/>
        <w:jc w:val="both"/>
        <w:rPr>
          <w:sz w:val="22"/>
          <w:szCs w:val="22"/>
          <w:lang w:val="en-GB"/>
        </w:rPr>
      </w:pPr>
    </w:p>
    <w:p w14:paraId="2F705F86" w14:textId="66E75FDD" w:rsidR="00CB74E9" w:rsidRDefault="00CB74E9">
      <w:pPr>
        <w:tabs>
          <w:tab w:val="left" w:pos="4185"/>
        </w:tabs>
        <w:spacing w:line="276" w:lineRule="auto"/>
        <w:jc w:val="both"/>
        <w:rPr>
          <w:sz w:val="22"/>
          <w:szCs w:val="22"/>
          <w:lang w:val="en-GB"/>
        </w:rPr>
      </w:pPr>
      <w:r>
        <w:rPr>
          <w:sz w:val="22"/>
          <w:szCs w:val="22"/>
          <w:lang w:val="en-GB"/>
        </w:rPr>
        <w:t>The latter publication is the basis of the European Environmental Agencies assessment of the EU27 overall trend</w:t>
      </w:r>
      <w:r w:rsidR="00960059">
        <w:rPr>
          <w:sz w:val="22"/>
          <w:szCs w:val="22"/>
          <w:lang w:val="en-GB"/>
        </w:rPr>
        <w:t xml:space="preserve"> based on the EU Birds Directive Article 12 reporting</w:t>
      </w:r>
      <w:r>
        <w:rPr>
          <w:sz w:val="22"/>
          <w:szCs w:val="22"/>
          <w:lang w:val="en-GB"/>
        </w:rPr>
        <w:t xml:space="preserve">. </w:t>
      </w:r>
      <w:proofErr w:type="spellStart"/>
      <w:r>
        <w:rPr>
          <w:sz w:val="22"/>
          <w:szCs w:val="22"/>
          <w:lang w:val="en-GB"/>
        </w:rPr>
        <w:t>BirdLife</w:t>
      </w:r>
      <w:proofErr w:type="spellEnd"/>
      <w:r>
        <w:rPr>
          <w:sz w:val="22"/>
          <w:szCs w:val="22"/>
          <w:lang w:val="en-GB"/>
        </w:rPr>
        <w:t xml:space="preserve"> International (2004) has shorten</w:t>
      </w:r>
      <w:r w:rsidR="0030710F">
        <w:rPr>
          <w:sz w:val="22"/>
          <w:szCs w:val="22"/>
          <w:lang w:val="en-GB"/>
        </w:rPr>
        <w:t>ed</w:t>
      </w:r>
      <w:r>
        <w:rPr>
          <w:sz w:val="22"/>
          <w:szCs w:val="22"/>
          <w:lang w:val="en-GB"/>
        </w:rPr>
        <w:t xml:space="preserve"> the assessment period from 20 years to </w:t>
      </w:r>
      <w:r w:rsidR="004C0A6D" w:rsidRPr="007D3C9E">
        <w:rPr>
          <w:sz w:val="22"/>
          <w:szCs w:val="22"/>
          <w:lang w:val="en-GB"/>
        </w:rPr>
        <w:t xml:space="preserve">10 years or </w:t>
      </w:r>
      <w:r w:rsidR="00986E71">
        <w:rPr>
          <w:sz w:val="22"/>
          <w:szCs w:val="22"/>
          <w:lang w:val="en-GB"/>
        </w:rPr>
        <w:t xml:space="preserve">three </w:t>
      </w:r>
      <w:r w:rsidR="004C0A6D" w:rsidRPr="007D3C9E">
        <w:rPr>
          <w:sz w:val="22"/>
          <w:szCs w:val="22"/>
          <w:lang w:val="en-GB"/>
        </w:rPr>
        <w:t xml:space="preserve">generations </w:t>
      </w:r>
      <w:r>
        <w:rPr>
          <w:sz w:val="22"/>
          <w:szCs w:val="22"/>
          <w:lang w:val="en-GB"/>
        </w:rPr>
        <w:t xml:space="preserve">to be </w:t>
      </w:r>
      <w:r w:rsidR="004C0A6D" w:rsidRPr="007D3C9E">
        <w:rPr>
          <w:sz w:val="22"/>
          <w:szCs w:val="22"/>
          <w:lang w:val="en-GB"/>
        </w:rPr>
        <w:t xml:space="preserve">consistent with the IUCN Red List criteria related to population decline. </w:t>
      </w:r>
    </w:p>
    <w:p w14:paraId="050D6370" w14:textId="77777777" w:rsidR="00A50F25" w:rsidRDefault="00A50F25">
      <w:pPr>
        <w:tabs>
          <w:tab w:val="left" w:pos="4185"/>
        </w:tabs>
        <w:spacing w:line="276" w:lineRule="auto"/>
        <w:jc w:val="both"/>
        <w:rPr>
          <w:sz w:val="22"/>
          <w:szCs w:val="22"/>
          <w:lang w:val="en-GB"/>
        </w:rPr>
      </w:pPr>
    </w:p>
    <w:p w14:paraId="6DAC654D" w14:textId="77777777" w:rsidR="00A50F25" w:rsidRDefault="00A50F25" w:rsidP="00D64003">
      <w:pPr>
        <w:keepNext/>
        <w:tabs>
          <w:tab w:val="left" w:pos="4185"/>
        </w:tabs>
        <w:spacing w:line="276" w:lineRule="auto"/>
        <w:jc w:val="both"/>
      </w:pPr>
      <w:r>
        <w:rPr>
          <w:noProof/>
        </w:rPr>
        <w:lastRenderedPageBreak/>
        <w:drawing>
          <wp:inline distT="0" distB="0" distL="0" distR="0" wp14:anchorId="2D932D30" wp14:editId="023953B9">
            <wp:extent cx="5486400" cy="3450590"/>
            <wp:effectExtent l="0" t="0" r="25400"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B71BDC" w14:textId="244EAB80" w:rsidR="00A50F25" w:rsidRPr="00BE2324" w:rsidRDefault="00A50F25" w:rsidP="00D64003">
      <w:pPr>
        <w:pStyle w:val="Caption"/>
        <w:jc w:val="both"/>
        <w:rPr>
          <w:b w:val="0"/>
          <w:i/>
          <w:color w:val="auto"/>
          <w:sz w:val="22"/>
          <w:szCs w:val="22"/>
          <w:lang w:val="en-GB"/>
        </w:rPr>
      </w:pPr>
      <w:r w:rsidRPr="00BE2324">
        <w:rPr>
          <w:b w:val="0"/>
          <w:i/>
          <w:color w:val="auto"/>
          <w:sz w:val="22"/>
          <w:szCs w:val="22"/>
        </w:rPr>
        <w:t xml:space="preserve">Figure </w:t>
      </w:r>
      <w:r w:rsidRPr="00BE2324">
        <w:rPr>
          <w:b w:val="0"/>
          <w:i/>
          <w:color w:val="auto"/>
          <w:sz w:val="22"/>
          <w:szCs w:val="22"/>
        </w:rPr>
        <w:fldChar w:fldCharType="begin"/>
      </w:r>
      <w:r w:rsidRPr="00BE2324">
        <w:rPr>
          <w:b w:val="0"/>
          <w:i/>
          <w:color w:val="auto"/>
          <w:sz w:val="22"/>
          <w:szCs w:val="22"/>
        </w:rPr>
        <w:instrText xml:space="preserve"> SEQ Figure \* ARABIC </w:instrText>
      </w:r>
      <w:r w:rsidRPr="00BE2324">
        <w:rPr>
          <w:b w:val="0"/>
          <w:i/>
          <w:color w:val="auto"/>
          <w:sz w:val="22"/>
          <w:szCs w:val="22"/>
        </w:rPr>
        <w:fldChar w:fldCharType="separate"/>
      </w:r>
      <w:r w:rsidR="009A7FBB">
        <w:rPr>
          <w:b w:val="0"/>
          <w:i/>
          <w:noProof/>
          <w:color w:val="auto"/>
          <w:sz w:val="22"/>
          <w:szCs w:val="22"/>
        </w:rPr>
        <w:t>1</w:t>
      </w:r>
      <w:r w:rsidRPr="00BE2324">
        <w:rPr>
          <w:b w:val="0"/>
          <w:i/>
          <w:color w:val="auto"/>
          <w:sz w:val="22"/>
          <w:szCs w:val="22"/>
        </w:rPr>
        <w:fldChar w:fldCharType="end"/>
      </w:r>
      <w:r w:rsidRPr="00BE2324">
        <w:rPr>
          <w:b w:val="0"/>
          <w:i/>
          <w:color w:val="auto"/>
          <w:sz w:val="22"/>
          <w:szCs w:val="22"/>
        </w:rPr>
        <w:t>. The multiplicative rate of change required by the significant long-term decline definition of AEWA and the Declining category of the European Red List of Birds.</w:t>
      </w:r>
    </w:p>
    <w:p w14:paraId="50B47527" w14:textId="77777777" w:rsidR="00CB74E9" w:rsidRDefault="00CB74E9" w:rsidP="00D52BC5">
      <w:pPr>
        <w:tabs>
          <w:tab w:val="left" w:pos="4185"/>
        </w:tabs>
        <w:spacing w:line="276" w:lineRule="auto"/>
        <w:jc w:val="both"/>
        <w:rPr>
          <w:sz w:val="22"/>
          <w:szCs w:val="22"/>
          <w:lang w:val="en-GB"/>
        </w:rPr>
      </w:pPr>
    </w:p>
    <w:p w14:paraId="35FF35C8" w14:textId="21DC2C5D" w:rsidR="00CB74E9" w:rsidRPr="00BE2324" w:rsidRDefault="00CB74E9">
      <w:pPr>
        <w:tabs>
          <w:tab w:val="left" w:pos="4185"/>
        </w:tabs>
        <w:spacing w:line="276" w:lineRule="auto"/>
        <w:jc w:val="both"/>
        <w:rPr>
          <w:b/>
          <w:lang w:val="en-GB"/>
        </w:rPr>
      </w:pPr>
      <w:r w:rsidRPr="00BE2324">
        <w:rPr>
          <w:b/>
          <w:lang w:val="en-GB"/>
        </w:rPr>
        <w:t>Problems to be addressed</w:t>
      </w:r>
    </w:p>
    <w:p w14:paraId="169EB990" w14:textId="77777777" w:rsidR="0091332C" w:rsidRPr="00D64003" w:rsidRDefault="0091332C">
      <w:pPr>
        <w:tabs>
          <w:tab w:val="left" w:pos="4185"/>
        </w:tabs>
        <w:spacing w:line="276" w:lineRule="auto"/>
        <w:jc w:val="both"/>
        <w:rPr>
          <w:b/>
          <w:sz w:val="22"/>
          <w:szCs w:val="22"/>
          <w:lang w:val="en-GB"/>
        </w:rPr>
      </w:pPr>
    </w:p>
    <w:p w14:paraId="1ABF009E" w14:textId="55558730" w:rsidR="00CB74E9" w:rsidRDefault="00CB74E9">
      <w:pPr>
        <w:tabs>
          <w:tab w:val="left" w:pos="4185"/>
        </w:tabs>
        <w:spacing w:line="276" w:lineRule="auto"/>
        <w:jc w:val="both"/>
        <w:rPr>
          <w:sz w:val="22"/>
          <w:szCs w:val="22"/>
          <w:lang w:val="en-GB"/>
        </w:rPr>
      </w:pPr>
      <w:r>
        <w:rPr>
          <w:sz w:val="22"/>
          <w:szCs w:val="22"/>
          <w:lang w:val="en-GB"/>
        </w:rPr>
        <w:t>The trend analyses and reporting for the 7</w:t>
      </w:r>
      <w:r w:rsidRPr="00BE2324">
        <w:rPr>
          <w:sz w:val="22"/>
          <w:szCs w:val="22"/>
          <w:vertAlign w:val="superscript"/>
          <w:lang w:val="en-GB"/>
        </w:rPr>
        <w:t>th</w:t>
      </w:r>
      <w:r>
        <w:rPr>
          <w:sz w:val="22"/>
          <w:szCs w:val="22"/>
          <w:lang w:val="en-GB"/>
        </w:rPr>
        <w:t xml:space="preserve"> edition of the AEWA Conservation Status Report (CSR7) highlighted the following problems with the AEWA definition of </w:t>
      </w:r>
      <w:r w:rsidRPr="00D64003">
        <w:rPr>
          <w:i/>
          <w:sz w:val="22"/>
          <w:szCs w:val="22"/>
          <w:lang w:val="en-GB"/>
        </w:rPr>
        <w:t>significant long-term decline</w:t>
      </w:r>
      <w:r>
        <w:rPr>
          <w:sz w:val="22"/>
          <w:szCs w:val="22"/>
          <w:lang w:val="en-GB"/>
        </w:rPr>
        <w:t xml:space="preserve">. </w:t>
      </w:r>
    </w:p>
    <w:p w14:paraId="5A52D3F0" w14:textId="77777777" w:rsidR="0091332C" w:rsidRDefault="0091332C">
      <w:pPr>
        <w:tabs>
          <w:tab w:val="left" w:pos="4185"/>
        </w:tabs>
        <w:spacing w:line="276" w:lineRule="auto"/>
        <w:jc w:val="both"/>
        <w:rPr>
          <w:sz w:val="22"/>
          <w:szCs w:val="22"/>
          <w:lang w:val="en-GB"/>
        </w:rPr>
      </w:pPr>
    </w:p>
    <w:p w14:paraId="2C876166" w14:textId="5560FA59" w:rsidR="00CB74E9" w:rsidRDefault="00CB74E9"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Although the </w:t>
      </w:r>
      <w:r w:rsidR="00960059">
        <w:rPr>
          <w:sz w:val="22"/>
          <w:szCs w:val="22"/>
          <w:lang w:val="en-GB"/>
        </w:rPr>
        <w:t>annual rate of decline is the same, t</w:t>
      </w:r>
      <w:r>
        <w:rPr>
          <w:sz w:val="22"/>
          <w:szCs w:val="22"/>
          <w:lang w:val="en-GB"/>
        </w:rPr>
        <w:t xml:space="preserve">he AEWA assessment period </w:t>
      </w:r>
      <w:r w:rsidR="00960059">
        <w:rPr>
          <w:sz w:val="22"/>
          <w:szCs w:val="22"/>
          <w:lang w:val="en-GB"/>
        </w:rPr>
        <w:t xml:space="preserve">used by AEWA (25 years or 7.5 generations) is 2.5-times longer than </w:t>
      </w:r>
      <w:r w:rsidR="00986E71">
        <w:rPr>
          <w:sz w:val="22"/>
          <w:szCs w:val="22"/>
          <w:lang w:val="en-GB"/>
        </w:rPr>
        <w:t xml:space="preserve">the one </w:t>
      </w:r>
      <w:r w:rsidR="00960059">
        <w:rPr>
          <w:sz w:val="22"/>
          <w:szCs w:val="22"/>
          <w:lang w:val="en-GB"/>
        </w:rPr>
        <w:t xml:space="preserve">used by other international assessments implemented in the agreement area </w:t>
      </w:r>
      <w:r w:rsidR="00EF5E50">
        <w:rPr>
          <w:sz w:val="22"/>
          <w:szCs w:val="22"/>
          <w:lang w:val="en-GB"/>
        </w:rPr>
        <w:t>(10 years or three</w:t>
      </w:r>
      <w:r w:rsidR="00960059">
        <w:rPr>
          <w:sz w:val="22"/>
          <w:szCs w:val="22"/>
          <w:lang w:val="en-GB"/>
        </w:rPr>
        <w:t xml:space="preserve"> generations) by other treaties and conservation organisations and which assessments provide an important input in the AEWA Conservation Status Reports. </w:t>
      </w:r>
    </w:p>
    <w:p w14:paraId="047105C6" w14:textId="77777777" w:rsidR="0091332C" w:rsidRPr="00BE2324" w:rsidRDefault="0091332C" w:rsidP="00BE2324">
      <w:pPr>
        <w:pStyle w:val="ListParagraph"/>
        <w:tabs>
          <w:tab w:val="left" w:pos="4185"/>
        </w:tabs>
        <w:spacing w:line="276" w:lineRule="auto"/>
        <w:ind w:left="778"/>
        <w:jc w:val="both"/>
        <w:rPr>
          <w:sz w:val="12"/>
          <w:szCs w:val="12"/>
          <w:lang w:val="en-GB"/>
        </w:rPr>
      </w:pPr>
    </w:p>
    <w:p w14:paraId="60B06224" w14:textId="4574BE57" w:rsidR="00960059" w:rsidRDefault="00960059" w:rsidP="00BE2324">
      <w:pPr>
        <w:pStyle w:val="ListParagraph"/>
        <w:numPr>
          <w:ilvl w:val="0"/>
          <w:numId w:val="13"/>
        </w:numPr>
        <w:tabs>
          <w:tab w:val="left" w:pos="4185"/>
        </w:tabs>
        <w:spacing w:line="276" w:lineRule="auto"/>
        <w:jc w:val="both"/>
        <w:rPr>
          <w:sz w:val="22"/>
          <w:szCs w:val="22"/>
          <w:lang w:val="en-GB"/>
        </w:rPr>
      </w:pPr>
      <w:r>
        <w:rPr>
          <w:sz w:val="22"/>
          <w:szCs w:val="22"/>
          <w:lang w:val="en-GB"/>
        </w:rPr>
        <w:t>The generation length</w:t>
      </w:r>
      <w:r w:rsidR="00CB0CF3">
        <w:rPr>
          <w:sz w:val="22"/>
          <w:szCs w:val="22"/>
          <w:lang w:val="en-GB"/>
        </w:rPr>
        <w:t>s</w:t>
      </w:r>
      <w:r>
        <w:rPr>
          <w:sz w:val="22"/>
          <w:szCs w:val="22"/>
          <w:lang w:val="en-GB"/>
        </w:rPr>
        <w:t xml:space="preserve"> </w:t>
      </w:r>
      <w:r w:rsidR="00CB0CF3">
        <w:rPr>
          <w:sz w:val="22"/>
          <w:szCs w:val="22"/>
          <w:lang w:val="en-GB"/>
        </w:rPr>
        <w:t xml:space="preserve">of </w:t>
      </w:r>
      <w:r>
        <w:rPr>
          <w:sz w:val="22"/>
          <w:szCs w:val="22"/>
          <w:lang w:val="en-GB"/>
        </w:rPr>
        <w:t xml:space="preserve">most waterbirds </w:t>
      </w:r>
      <w:r w:rsidR="00CB0CF3">
        <w:rPr>
          <w:sz w:val="22"/>
          <w:szCs w:val="22"/>
          <w:lang w:val="en-GB"/>
        </w:rPr>
        <w:t xml:space="preserve">are </w:t>
      </w:r>
      <w:r>
        <w:rPr>
          <w:sz w:val="22"/>
          <w:szCs w:val="22"/>
          <w:lang w:val="en-GB"/>
        </w:rPr>
        <w:t xml:space="preserve">rather long. No species on Annex 2 of AEWA would have a </w:t>
      </w:r>
      <w:r w:rsidR="0030710F">
        <w:rPr>
          <w:sz w:val="22"/>
          <w:szCs w:val="22"/>
          <w:lang w:val="en-GB"/>
        </w:rPr>
        <w:t>generation length shorter than four</w:t>
      </w:r>
      <w:r>
        <w:rPr>
          <w:sz w:val="22"/>
          <w:szCs w:val="22"/>
          <w:lang w:val="en-GB"/>
        </w:rPr>
        <w:t xml:space="preserve"> years according the data on the </w:t>
      </w:r>
      <w:proofErr w:type="spellStart"/>
      <w:r>
        <w:rPr>
          <w:sz w:val="22"/>
          <w:szCs w:val="22"/>
          <w:lang w:val="en-GB"/>
        </w:rPr>
        <w:t>BirdLife</w:t>
      </w:r>
      <w:proofErr w:type="spellEnd"/>
      <w:r>
        <w:rPr>
          <w:sz w:val="22"/>
          <w:szCs w:val="22"/>
          <w:lang w:val="en-GB"/>
        </w:rPr>
        <w:t xml:space="preserve"> International </w:t>
      </w:r>
      <w:proofErr w:type="spellStart"/>
      <w:r>
        <w:rPr>
          <w:sz w:val="22"/>
          <w:szCs w:val="22"/>
          <w:lang w:val="en-GB"/>
        </w:rPr>
        <w:t>DataZone</w:t>
      </w:r>
      <w:proofErr w:type="spellEnd"/>
      <w:r>
        <w:rPr>
          <w:sz w:val="22"/>
          <w:szCs w:val="22"/>
          <w:lang w:val="en-GB"/>
        </w:rPr>
        <w:t xml:space="preserve"> calculated </w:t>
      </w:r>
      <w:r w:rsidR="0030710F">
        <w:rPr>
          <w:sz w:val="22"/>
          <w:szCs w:val="22"/>
          <w:lang w:val="en-GB"/>
        </w:rPr>
        <w:t xml:space="preserve">following </w:t>
      </w:r>
      <w:r>
        <w:rPr>
          <w:sz w:val="22"/>
          <w:szCs w:val="22"/>
          <w:lang w:val="en-GB"/>
        </w:rPr>
        <w:t>IUCN Red List criteria definitions. M</w:t>
      </w:r>
      <w:r w:rsidR="0030710F">
        <w:rPr>
          <w:sz w:val="22"/>
          <w:szCs w:val="22"/>
          <w:lang w:val="en-GB"/>
        </w:rPr>
        <w:t xml:space="preserve">ost </w:t>
      </w:r>
      <w:r>
        <w:rPr>
          <w:sz w:val="22"/>
          <w:szCs w:val="22"/>
          <w:lang w:val="en-GB"/>
        </w:rPr>
        <w:t xml:space="preserve">AEWA species would have a generation </w:t>
      </w:r>
      <w:r w:rsidR="00EF5E50">
        <w:rPr>
          <w:sz w:val="22"/>
          <w:szCs w:val="22"/>
          <w:lang w:val="en-GB"/>
        </w:rPr>
        <w:t>length between seven</w:t>
      </w:r>
      <w:r>
        <w:rPr>
          <w:sz w:val="22"/>
          <w:szCs w:val="22"/>
          <w:lang w:val="en-GB"/>
        </w:rPr>
        <w:t xml:space="preserve"> and 14 years (see Figure 1 in AEWA/MOP 5.22).</w:t>
      </w:r>
      <w:r w:rsidR="00CB0CF3">
        <w:rPr>
          <w:sz w:val="22"/>
          <w:szCs w:val="22"/>
          <w:lang w:val="en-GB"/>
        </w:rPr>
        <w:t xml:space="preserve"> This would result in very long assessment periods over 7.5 generations (i.e. 52 and 104 years in</w:t>
      </w:r>
      <w:r w:rsidR="00EF5E50">
        <w:rPr>
          <w:sz w:val="22"/>
          <w:szCs w:val="22"/>
          <w:lang w:val="en-GB"/>
        </w:rPr>
        <w:t xml:space="preserve"> case of generation lengths of seven</w:t>
      </w:r>
      <w:r w:rsidR="00CB0CF3">
        <w:rPr>
          <w:sz w:val="22"/>
          <w:szCs w:val="22"/>
          <w:lang w:val="en-GB"/>
        </w:rPr>
        <w:t xml:space="preserve"> and 14 years, see Figure </w:t>
      </w:r>
      <w:r w:rsidR="00E30B25">
        <w:rPr>
          <w:sz w:val="22"/>
          <w:szCs w:val="22"/>
          <w:lang w:val="en-GB"/>
        </w:rPr>
        <w:t>2</w:t>
      </w:r>
      <w:r w:rsidR="00CB0CF3">
        <w:rPr>
          <w:sz w:val="22"/>
          <w:szCs w:val="22"/>
          <w:lang w:val="en-GB"/>
        </w:rPr>
        <w:t xml:space="preserve"> in this document). </w:t>
      </w:r>
    </w:p>
    <w:p w14:paraId="1ECD88FD" w14:textId="77777777" w:rsidR="0091332C" w:rsidRPr="00BE2324" w:rsidRDefault="0091332C" w:rsidP="00BE2324">
      <w:pPr>
        <w:pStyle w:val="ListParagraph"/>
        <w:rPr>
          <w:sz w:val="12"/>
          <w:szCs w:val="12"/>
          <w:lang w:val="en-GB"/>
        </w:rPr>
      </w:pPr>
    </w:p>
    <w:p w14:paraId="69B1E1FB" w14:textId="26949A2B" w:rsidR="00A50F25" w:rsidRDefault="00CB0CF3"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The difference in number of generations </w:t>
      </w:r>
      <w:proofErr w:type="gramStart"/>
      <w:r>
        <w:rPr>
          <w:sz w:val="22"/>
          <w:szCs w:val="22"/>
          <w:lang w:val="en-GB"/>
        </w:rPr>
        <w:t>taken into account</w:t>
      </w:r>
      <w:proofErr w:type="gramEnd"/>
      <w:r>
        <w:rPr>
          <w:sz w:val="22"/>
          <w:szCs w:val="22"/>
          <w:lang w:val="en-GB"/>
        </w:rPr>
        <w:t xml:space="preserve"> by AEWA and other instruments makes the use of data reported in other processes less efficient (i.e. it costs more time and money to extrapolate the results to 7.5 generations) and can lead to different status assessments </w:t>
      </w:r>
      <w:r w:rsidR="00A50F25">
        <w:rPr>
          <w:sz w:val="22"/>
          <w:szCs w:val="22"/>
          <w:lang w:val="en-GB"/>
        </w:rPr>
        <w:t xml:space="preserve">(which is confusing to all stakeholders) and most importantly </w:t>
      </w:r>
      <w:r>
        <w:rPr>
          <w:sz w:val="22"/>
          <w:szCs w:val="22"/>
          <w:lang w:val="en-GB"/>
        </w:rPr>
        <w:t>resulting in conflicting policy consequences</w:t>
      </w:r>
      <w:r w:rsidR="00A50F25">
        <w:rPr>
          <w:sz w:val="22"/>
          <w:szCs w:val="22"/>
          <w:lang w:val="en-GB"/>
        </w:rPr>
        <w:t>.</w:t>
      </w:r>
    </w:p>
    <w:p w14:paraId="2DEB2FF9" w14:textId="77777777" w:rsidR="0091332C" w:rsidRPr="00BE2324" w:rsidRDefault="0091332C" w:rsidP="00BE2324">
      <w:pPr>
        <w:pStyle w:val="ListParagraph"/>
        <w:tabs>
          <w:tab w:val="left" w:pos="4185"/>
        </w:tabs>
        <w:spacing w:line="276" w:lineRule="auto"/>
        <w:ind w:left="778"/>
        <w:jc w:val="both"/>
        <w:rPr>
          <w:sz w:val="12"/>
          <w:szCs w:val="12"/>
          <w:lang w:val="en-GB"/>
        </w:rPr>
      </w:pPr>
    </w:p>
    <w:p w14:paraId="68375164" w14:textId="4D30177A" w:rsidR="00964697" w:rsidRDefault="00964697"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In case of the short-term decline (i.e. over 10 years), which was introduced by Resolution 5.7 to provide early warning for rapid declines, there are usually </w:t>
      </w:r>
      <w:r w:rsidR="0091332C">
        <w:rPr>
          <w:sz w:val="22"/>
          <w:szCs w:val="22"/>
          <w:lang w:val="en-GB"/>
        </w:rPr>
        <w:t xml:space="preserve">an </w:t>
      </w:r>
      <w:r>
        <w:rPr>
          <w:sz w:val="22"/>
          <w:szCs w:val="22"/>
          <w:lang w:val="en-GB"/>
        </w:rPr>
        <w:t xml:space="preserve">insufficient number of data points in the light of natural fluctuations and sampling variation to objectively </w:t>
      </w:r>
      <w:r w:rsidR="0091332C">
        <w:rPr>
          <w:sz w:val="22"/>
          <w:szCs w:val="22"/>
          <w:lang w:val="en-GB"/>
        </w:rPr>
        <w:t xml:space="preserve">identify </w:t>
      </w:r>
      <w:r>
        <w:rPr>
          <w:sz w:val="22"/>
          <w:szCs w:val="22"/>
          <w:lang w:val="en-GB"/>
        </w:rPr>
        <w:t>genuine decl</w:t>
      </w:r>
      <w:r w:rsidR="00E30B25">
        <w:rPr>
          <w:sz w:val="22"/>
          <w:szCs w:val="22"/>
          <w:lang w:val="en-GB"/>
        </w:rPr>
        <w:t>ines that really require attention.</w:t>
      </w:r>
    </w:p>
    <w:p w14:paraId="2D3A6928" w14:textId="49017165" w:rsidR="00964697" w:rsidRDefault="00A50F25" w:rsidP="00BE2324">
      <w:pPr>
        <w:pStyle w:val="ListParagraph"/>
        <w:numPr>
          <w:ilvl w:val="0"/>
          <w:numId w:val="13"/>
        </w:numPr>
        <w:tabs>
          <w:tab w:val="left" w:pos="4185"/>
        </w:tabs>
        <w:spacing w:line="276" w:lineRule="auto"/>
        <w:jc w:val="both"/>
        <w:rPr>
          <w:sz w:val="22"/>
          <w:szCs w:val="22"/>
          <w:lang w:val="en-GB"/>
        </w:rPr>
      </w:pPr>
      <w:proofErr w:type="gramStart"/>
      <w:r>
        <w:rPr>
          <w:sz w:val="22"/>
          <w:szCs w:val="22"/>
          <w:lang w:val="en-GB"/>
        </w:rPr>
        <w:lastRenderedPageBreak/>
        <w:t>A number of</w:t>
      </w:r>
      <w:proofErr w:type="gramEnd"/>
      <w:r>
        <w:rPr>
          <w:sz w:val="22"/>
          <w:szCs w:val="22"/>
          <w:lang w:val="en-GB"/>
        </w:rPr>
        <w:t xml:space="preserve"> problems also relate to the term </w:t>
      </w:r>
      <w:r w:rsidRPr="00D64003">
        <w:rPr>
          <w:i/>
          <w:sz w:val="22"/>
          <w:szCs w:val="22"/>
          <w:lang w:val="en-GB"/>
        </w:rPr>
        <w:t>significant long-term decline</w:t>
      </w:r>
      <w:r>
        <w:rPr>
          <w:sz w:val="22"/>
          <w:szCs w:val="22"/>
          <w:lang w:val="en-GB"/>
        </w:rPr>
        <w:t xml:space="preserve">. One issue is that the </w:t>
      </w:r>
      <w:r w:rsidR="00964697">
        <w:rPr>
          <w:sz w:val="22"/>
          <w:szCs w:val="22"/>
          <w:lang w:val="en-GB"/>
        </w:rPr>
        <w:t xml:space="preserve">word </w:t>
      </w:r>
      <w:r>
        <w:rPr>
          <w:sz w:val="22"/>
          <w:szCs w:val="22"/>
          <w:lang w:val="en-GB"/>
        </w:rPr>
        <w:t>"significant"</w:t>
      </w:r>
      <w:r w:rsidR="00964697">
        <w:rPr>
          <w:sz w:val="22"/>
          <w:szCs w:val="22"/>
          <w:lang w:val="en-GB"/>
        </w:rPr>
        <w:t xml:space="preserve"> can be interpreted as statistically significant or as "substantial". Resolutions 3.3 and 5.7 have already established that the latter meaning is used. However, the same rate of decline in other assessments is considered more "moderate" and the European Red List calls the equivalent change simply "declining". </w:t>
      </w:r>
      <w:r w:rsidR="00E30B25">
        <w:rPr>
          <w:sz w:val="22"/>
          <w:szCs w:val="22"/>
          <w:lang w:val="en-GB"/>
        </w:rPr>
        <w:t xml:space="preserve">Another issue related to the term is that the criterion is also used to consider rapid short-term changes. </w:t>
      </w:r>
    </w:p>
    <w:p w14:paraId="34E0F8BA" w14:textId="77777777" w:rsidR="004C0A6D" w:rsidRPr="007D3C9E" w:rsidRDefault="004C0A6D">
      <w:pPr>
        <w:tabs>
          <w:tab w:val="left" w:pos="4185"/>
        </w:tabs>
        <w:spacing w:line="276" w:lineRule="auto"/>
        <w:jc w:val="both"/>
        <w:rPr>
          <w:sz w:val="22"/>
          <w:szCs w:val="22"/>
          <w:lang w:val="en-GB"/>
        </w:rPr>
      </w:pPr>
    </w:p>
    <w:p w14:paraId="35B2BF34" w14:textId="77777777" w:rsidR="004C0A6D" w:rsidRPr="007D3C9E" w:rsidRDefault="004C0A6D">
      <w:pPr>
        <w:tabs>
          <w:tab w:val="left" w:pos="4185"/>
        </w:tabs>
        <w:spacing w:line="276" w:lineRule="auto"/>
        <w:jc w:val="both"/>
        <w:rPr>
          <w:sz w:val="22"/>
          <w:szCs w:val="22"/>
          <w:lang w:val="en-GB"/>
        </w:rPr>
      </w:pPr>
    </w:p>
    <w:p w14:paraId="255DFA3F" w14:textId="77777777" w:rsidR="00FD5ECC" w:rsidRPr="007D3C9E" w:rsidRDefault="00FD5ECC">
      <w:pPr>
        <w:tabs>
          <w:tab w:val="left" w:pos="4185"/>
        </w:tabs>
        <w:spacing w:line="276" w:lineRule="auto"/>
        <w:jc w:val="both"/>
        <w:rPr>
          <w:sz w:val="22"/>
          <w:szCs w:val="22"/>
          <w:lang w:val="en-GB"/>
        </w:rPr>
      </w:pPr>
    </w:p>
    <w:p w14:paraId="2155F9E3" w14:textId="77777777" w:rsidR="00322442" w:rsidRDefault="00D4043D" w:rsidP="00BE2324">
      <w:pPr>
        <w:tabs>
          <w:tab w:val="left" w:pos="4185"/>
        </w:tabs>
        <w:spacing w:line="276" w:lineRule="auto"/>
        <w:jc w:val="both"/>
        <w:rPr>
          <w:lang w:val="en-GB"/>
        </w:rPr>
      </w:pPr>
      <w:r>
        <w:rPr>
          <w:noProof/>
        </w:rPr>
        <w:drawing>
          <wp:anchor distT="0" distB="0" distL="114300" distR="114300" simplePos="0" relativeHeight="251659264" behindDoc="1" locked="0" layoutInCell="1" allowOverlap="1" wp14:anchorId="6C4D860B" wp14:editId="751C49C8">
            <wp:simplePos x="0" y="0"/>
            <wp:positionH relativeFrom="margin">
              <wp:align>center</wp:align>
            </wp:positionH>
            <wp:positionV relativeFrom="paragraph">
              <wp:posOffset>25400</wp:posOffset>
            </wp:positionV>
            <wp:extent cx="4581525" cy="2762250"/>
            <wp:effectExtent l="0" t="0" r="9525" b="0"/>
            <wp:wrapTight wrapText="bothSides">
              <wp:wrapPolygon edited="0">
                <wp:start x="0" y="0"/>
                <wp:lineTo x="0" y="21451"/>
                <wp:lineTo x="21555" y="21451"/>
                <wp:lineTo x="21555" y="0"/>
                <wp:lineTo x="0" y="0"/>
              </wp:wrapPolygon>
            </wp:wrapTight>
            <wp:docPr id="2" name="Picture 2" descr="Start of the 7 half and 3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of the 7 half and 3 gener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03960" w14:textId="77777777" w:rsidR="00B23D78" w:rsidRDefault="00B23D78" w:rsidP="00BE2324">
      <w:pPr>
        <w:tabs>
          <w:tab w:val="left" w:pos="4185"/>
        </w:tabs>
        <w:spacing w:line="276" w:lineRule="auto"/>
        <w:rPr>
          <w:lang w:val="en-GB"/>
        </w:rPr>
      </w:pPr>
    </w:p>
    <w:p w14:paraId="588615C1" w14:textId="77777777" w:rsidR="00B23D78" w:rsidRDefault="00B23D78" w:rsidP="00BE2324">
      <w:pPr>
        <w:tabs>
          <w:tab w:val="left" w:pos="4185"/>
        </w:tabs>
        <w:spacing w:line="276" w:lineRule="auto"/>
        <w:rPr>
          <w:lang w:val="en-GB"/>
        </w:rPr>
      </w:pPr>
    </w:p>
    <w:p w14:paraId="2AFD6CF3" w14:textId="77777777" w:rsidR="00B23D78" w:rsidRDefault="00B23D78" w:rsidP="00BE2324">
      <w:pPr>
        <w:tabs>
          <w:tab w:val="left" w:pos="4185"/>
        </w:tabs>
        <w:spacing w:line="276" w:lineRule="auto"/>
        <w:rPr>
          <w:lang w:val="en-GB"/>
        </w:rPr>
      </w:pPr>
    </w:p>
    <w:p w14:paraId="574965F7" w14:textId="77777777" w:rsidR="00B23D78" w:rsidRDefault="00B23D78" w:rsidP="00BE2324">
      <w:pPr>
        <w:tabs>
          <w:tab w:val="left" w:pos="4185"/>
        </w:tabs>
        <w:spacing w:line="276" w:lineRule="auto"/>
        <w:rPr>
          <w:lang w:val="en-GB"/>
        </w:rPr>
      </w:pPr>
    </w:p>
    <w:p w14:paraId="35D99DB5" w14:textId="77777777" w:rsidR="00B23D78" w:rsidRDefault="00B23D78" w:rsidP="00BE2324">
      <w:pPr>
        <w:tabs>
          <w:tab w:val="left" w:pos="4185"/>
        </w:tabs>
        <w:spacing w:line="276" w:lineRule="auto"/>
        <w:rPr>
          <w:lang w:val="en-GB"/>
        </w:rPr>
      </w:pPr>
    </w:p>
    <w:p w14:paraId="7883EE95" w14:textId="77777777" w:rsidR="00B23D78" w:rsidRDefault="00B23D78" w:rsidP="00BE2324">
      <w:pPr>
        <w:tabs>
          <w:tab w:val="left" w:pos="4185"/>
        </w:tabs>
        <w:spacing w:line="276" w:lineRule="auto"/>
        <w:rPr>
          <w:lang w:val="en-GB"/>
        </w:rPr>
      </w:pPr>
    </w:p>
    <w:p w14:paraId="7864D56B" w14:textId="77777777" w:rsidR="00B23D78" w:rsidRDefault="00B23D78" w:rsidP="00BE2324">
      <w:pPr>
        <w:tabs>
          <w:tab w:val="left" w:pos="4185"/>
        </w:tabs>
        <w:spacing w:line="276" w:lineRule="auto"/>
        <w:rPr>
          <w:lang w:val="en-GB"/>
        </w:rPr>
      </w:pPr>
    </w:p>
    <w:p w14:paraId="4F5C5D7C" w14:textId="77777777" w:rsidR="00B23D78" w:rsidRDefault="00B23D78" w:rsidP="00BE2324">
      <w:pPr>
        <w:tabs>
          <w:tab w:val="left" w:pos="4185"/>
        </w:tabs>
        <w:spacing w:line="276" w:lineRule="auto"/>
        <w:rPr>
          <w:lang w:val="en-GB"/>
        </w:rPr>
      </w:pPr>
    </w:p>
    <w:p w14:paraId="257B4261" w14:textId="77777777" w:rsidR="00B23D78" w:rsidRDefault="00B23D78" w:rsidP="00BE2324">
      <w:pPr>
        <w:tabs>
          <w:tab w:val="left" w:pos="4185"/>
        </w:tabs>
        <w:spacing w:line="276" w:lineRule="auto"/>
        <w:rPr>
          <w:lang w:val="en-GB"/>
        </w:rPr>
      </w:pPr>
    </w:p>
    <w:p w14:paraId="04AE3F09" w14:textId="77777777" w:rsidR="00B23D78" w:rsidRDefault="00B23D78" w:rsidP="00BE2324">
      <w:pPr>
        <w:tabs>
          <w:tab w:val="left" w:pos="4185"/>
        </w:tabs>
        <w:spacing w:line="276" w:lineRule="auto"/>
        <w:rPr>
          <w:lang w:val="en-GB"/>
        </w:rPr>
      </w:pPr>
    </w:p>
    <w:p w14:paraId="2BB4EDCC" w14:textId="77777777" w:rsidR="00B23D78" w:rsidRDefault="00B23D78" w:rsidP="00BE2324">
      <w:pPr>
        <w:tabs>
          <w:tab w:val="left" w:pos="4185"/>
        </w:tabs>
        <w:spacing w:line="276" w:lineRule="auto"/>
        <w:rPr>
          <w:lang w:val="en-GB"/>
        </w:rPr>
      </w:pPr>
    </w:p>
    <w:p w14:paraId="5713876C" w14:textId="77777777" w:rsidR="00B23D78" w:rsidRDefault="00B23D78" w:rsidP="00BE2324">
      <w:pPr>
        <w:tabs>
          <w:tab w:val="left" w:pos="4185"/>
        </w:tabs>
        <w:spacing w:line="276" w:lineRule="auto"/>
        <w:rPr>
          <w:lang w:val="en-GB"/>
        </w:rPr>
      </w:pPr>
    </w:p>
    <w:p w14:paraId="233F0BAF" w14:textId="77777777" w:rsidR="00B23D78" w:rsidRDefault="00B23D78" w:rsidP="00BE2324">
      <w:pPr>
        <w:tabs>
          <w:tab w:val="left" w:pos="4185"/>
        </w:tabs>
        <w:spacing w:line="276" w:lineRule="auto"/>
        <w:rPr>
          <w:lang w:val="en-GB"/>
        </w:rPr>
      </w:pPr>
    </w:p>
    <w:p w14:paraId="44AFFD0F" w14:textId="77777777" w:rsidR="00B23D78" w:rsidRDefault="00B23D78" w:rsidP="00BE2324">
      <w:pPr>
        <w:tabs>
          <w:tab w:val="left" w:pos="4185"/>
        </w:tabs>
        <w:spacing w:line="276" w:lineRule="auto"/>
        <w:rPr>
          <w:lang w:val="en-GB"/>
        </w:rPr>
      </w:pPr>
    </w:p>
    <w:p w14:paraId="2E8C030A" w14:textId="77777777" w:rsidR="00FD5ECC" w:rsidRDefault="00FD5ECC" w:rsidP="00BE2324">
      <w:pPr>
        <w:tabs>
          <w:tab w:val="left" w:pos="4185"/>
        </w:tabs>
        <w:spacing w:line="276" w:lineRule="auto"/>
        <w:rPr>
          <w:i/>
          <w:sz w:val="22"/>
          <w:szCs w:val="22"/>
          <w:lang w:val="en-GB"/>
        </w:rPr>
      </w:pPr>
    </w:p>
    <w:p w14:paraId="1CAC3913" w14:textId="77777777" w:rsidR="00D441B7" w:rsidRDefault="004C0A6D" w:rsidP="00BE2324">
      <w:pPr>
        <w:tabs>
          <w:tab w:val="left" w:pos="4185"/>
        </w:tabs>
        <w:spacing w:line="276" w:lineRule="auto"/>
        <w:rPr>
          <w:i/>
          <w:sz w:val="22"/>
          <w:szCs w:val="22"/>
          <w:lang w:val="en-GB"/>
        </w:rPr>
        <w:sectPr w:rsidR="00D441B7" w:rsidSect="000434D4">
          <w:footerReference w:type="even" r:id="rId10"/>
          <w:footerReference w:type="default" r:id="rId11"/>
          <w:headerReference w:type="first" r:id="rId12"/>
          <w:pgSz w:w="11907" w:h="16840" w:code="9"/>
          <w:pgMar w:top="1134" w:right="1134" w:bottom="1134" w:left="1134" w:header="709" w:footer="709" w:gutter="0"/>
          <w:pgNumType w:start="1"/>
          <w:cols w:space="708"/>
          <w:titlePg/>
          <w:docGrid w:linePitch="360"/>
        </w:sectPr>
      </w:pPr>
      <w:r w:rsidRPr="007D3C9E">
        <w:rPr>
          <w:i/>
          <w:sz w:val="22"/>
          <w:szCs w:val="22"/>
          <w:lang w:val="en-GB"/>
        </w:rPr>
        <w:t xml:space="preserve">Figure </w:t>
      </w:r>
      <w:r w:rsidR="00E30B25">
        <w:rPr>
          <w:i/>
          <w:sz w:val="22"/>
          <w:szCs w:val="22"/>
          <w:lang w:val="en-GB"/>
        </w:rPr>
        <w:t>2</w:t>
      </w:r>
      <w:r w:rsidRPr="007D3C9E">
        <w:rPr>
          <w:i/>
          <w:sz w:val="22"/>
          <w:szCs w:val="22"/>
          <w:lang w:val="en-GB"/>
        </w:rPr>
        <w:t xml:space="preserve">. Percentage of the AEWA populations according to the start of the </w:t>
      </w:r>
      <w:r w:rsidR="00EF5E50">
        <w:rPr>
          <w:i/>
          <w:sz w:val="22"/>
          <w:szCs w:val="22"/>
          <w:lang w:val="en-GB"/>
        </w:rPr>
        <w:t>three</w:t>
      </w:r>
      <w:r w:rsidRPr="007D3C9E">
        <w:rPr>
          <w:i/>
          <w:sz w:val="22"/>
          <w:szCs w:val="22"/>
          <w:lang w:val="en-GB"/>
        </w:rPr>
        <w:t xml:space="preserve"> and 7.5 generations periods</w:t>
      </w:r>
    </w:p>
    <w:p w14:paraId="16165CCE" w14:textId="08B7EC00" w:rsidR="00781102" w:rsidRDefault="00E30B25">
      <w:pPr>
        <w:tabs>
          <w:tab w:val="left" w:pos="4185"/>
        </w:tabs>
        <w:spacing w:line="276" w:lineRule="auto"/>
        <w:jc w:val="both"/>
        <w:rPr>
          <w:b/>
          <w:lang w:val="en-GB"/>
        </w:rPr>
      </w:pPr>
      <w:r w:rsidRPr="00BE2324">
        <w:rPr>
          <w:b/>
          <w:lang w:val="en-GB"/>
        </w:rPr>
        <w:lastRenderedPageBreak/>
        <w:t>Proposed solution</w:t>
      </w:r>
      <w:r w:rsidR="00781102" w:rsidRPr="00BE2324">
        <w:rPr>
          <w:b/>
          <w:lang w:val="en-GB"/>
        </w:rPr>
        <w:t xml:space="preserve"> </w:t>
      </w:r>
    </w:p>
    <w:p w14:paraId="12E56DD5" w14:textId="77777777" w:rsidR="0091332C" w:rsidRPr="00BE2324" w:rsidRDefault="0091332C">
      <w:pPr>
        <w:tabs>
          <w:tab w:val="left" w:pos="4185"/>
        </w:tabs>
        <w:spacing w:line="276" w:lineRule="auto"/>
        <w:jc w:val="both"/>
        <w:rPr>
          <w:b/>
          <w:lang w:val="en-GB"/>
        </w:rPr>
      </w:pPr>
    </w:p>
    <w:p w14:paraId="72F30893" w14:textId="162DEEBA" w:rsidR="00413B34" w:rsidRDefault="00E30B25">
      <w:pPr>
        <w:tabs>
          <w:tab w:val="left" w:pos="4185"/>
        </w:tabs>
        <w:spacing w:line="276" w:lineRule="auto"/>
        <w:jc w:val="both"/>
        <w:rPr>
          <w:sz w:val="22"/>
          <w:szCs w:val="22"/>
          <w:lang w:val="en-GB"/>
        </w:rPr>
      </w:pPr>
      <w:r>
        <w:rPr>
          <w:sz w:val="22"/>
          <w:szCs w:val="22"/>
          <w:lang w:val="en-GB"/>
        </w:rPr>
        <w:t>This proposal suggest</w:t>
      </w:r>
      <w:r w:rsidR="0091332C">
        <w:rPr>
          <w:sz w:val="22"/>
          <w:szCs w:val="22"/>
          <w:lang w:val="en-GB"/>
        </w:rPr>
        <w:t>s</w:t>
      </w:r>
      <w:r>
        <w:rPr>
          <w:sz w:val="22"/>
          <w:szCs w:val="22"/>
          <w:lang w:val="en-GB"/>
        </w:rPr>
        <w:t xml:space="preserve"> the following changes:</w:t>
      </w:r>
    </w:p>
    <w:p w14:paraId="7B2C03CC" w14:textId="77777777" w:rsidR="0091332C" w:rsidRDefault="0091332C">
      <w:pPr>
        <w:tabs>
          <w:tab w:val="left" w:pos="4185"/>
        </w:tabs>
        <w:spacing w:line="276" w:lineRule="auto"/>
        <w:jc w:val="both"/>
        <w:rPr>
          <w:sz w:val="22"/>
          <w:szCs w:val="22"/>
          <w:lang w:val="en-GB"/>
        </w:rPr>
      </w:pPr>
    </w:p>
    <w:p w14:paraId="4B2E128D" w14:textId="77777777" w:rsidR="0091332C" w:rsidRDefault="0091332C" w:rsidP="00BE2324">
      <w:pPr>
        <w:shd w:val="clear" w:color="auto" w:fill="F2F2F2" w:themeFill="background1" w:themeFillShade="F2"/>
        <w:tabs>
          <w:tab w:val="left" w:pos="4185"/>
        </w:tabs>
        <w:spacing w:line="276" w:lineRule="auto"/>
        <w:jc w:val="both"/>
        <w:rPr>
          <w:sz w:val="22"/>
          <w:szCs w:val="22"/>
          <w:lang w:val="en-GB"/>
        </w:rPr>
      </w:pPr>
    </w:p>
    <w:p w14:paraId="709CE304" w14:textId="54E2E73D"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remove the word "significant" from criteri</w:t>
      </w:r>
      <w:r w:rsidR="00986E71" w:rsidRPr="00BE2324">
        <w:rPr>
          <w:sz w:val="22"/>
          <w:szCs w:val="22"/>
          <w:lang w:val="en-GB"/>
        </w:rPr>
        <w:t>a</w:t>
      </w:r>
      <w:r w:rsidR="00E30B25" w:rsidRPr="00BE2324">
        <w:rPr>
          <w:sz w:val="22"/>
          <w:szCs w:val="22"/>
          <w:lang w:val="en-GB"/>
        </w:rPr>
        <w:t xml:space="preserve"> </w:t>
      </w:r>
      <w:r w:rsidR="00986E71" w:rsidRPr="00BE2324">
        <w:rPr>
          <w:sz w:val="22"/>
          <w:szCs w:val="22"/>
          <w:lang w:val="en-GB"/>
        </w:rPr>
        <w:t>A3</w:t>
      </w:r>
      <w:r w:rsidR="00E30B25" w:rsidRPr="00BE2324">
        <w:rPr>
          <w:sz w:val="22"/>
          <w:szCs w:val="22"/>
          <w:lang w:val="en-GB"/>
        </w:rPr>
        <w:t>(c)</w:t>
      </w:r>
      <w:r w:rsidR="00986E71" w:rsidRPr="00BE2324">
        <w:rPr>
          <w:sz w:val="22"/>
          <w:szCs w:val="22"/>
          <w:lang w:val="en-GB"/>
        </w:rPr>
        <w:t xml:space="preserve"> and B2(c);</w:t>
      </w:r>
    </w:p>
    <w:p w14:paraId="4DBDF4C8" w14:textId="461EDFA0"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 xml:space="preserve">create </w:t>
      </w:r>
      <w:r>
        <w:rPr>
          <w:sz w:val="22"/>
          <w:szCs w:val="22"/>
          <w:lang w:val="en-GB"/>
        </w:rPr>
        <w:t xml:space="preserve">a </w:t>
      </w:r>
      <w:r w:rsidR="00E30B25" w:rsidRPr="00BE2324">
        <w:rPr>
          <w:sz w:val="22"/>
          <w:szCs w:val="22"/>
          <w:lang w:val="en-GB"/>
        </w:rPr>
        <w:t>new criteri</w:t>
      </w:r>
      <w:r w:rsidR="00986E71" w:rsidRPr="00BE2324">
        <w:rPr>
          <w:sz w:val="22"/>
          <w:szCs w:val="22"/>
          <w:lang w:val="en-GB"/>
        </w:rPr>
        <w:t>a</w:t>
      </w:r>
      <w:r w:rsidR="00E30B25" w:rsidRPr="00BE2324">
        <w:rPr>
          <w:sz w:val="22"/>
          <w:szCs w:val="22"/>
          <w:lang w:val="en-GB"/>
        </w:rPr>
        <w:t xml:space="preserve"> </w:t>
      </w:r>
      <w:r w:rsidR="00986E71" w:rsidRPr="00BE2324">
        <w:rPr>
          <w:sz w:val="22"/>
          <w:szCs w:val="22"/>
          <w:lang w:val="en-GB"/>
        </w:rPr>
        <w:t>A3</w:t>
      </w:r>
      <w:r w:rsidR="00E30B25" w:rsidRPr="00BE2324">
        <w:rPr>
          <w:sz w:val="22"/>
          <w:szCs w:val="22"/>
          <w:lang w:val="en-GB"/>
        </w:rPr>
        <w:t xml:space="preserve">(e) </w:t>
      </w:r>
      <w:r w:rsidR="00986E71" w:rsidRPr="00BE2324">
        <w:rPr>
          <w:sz w:val="22"/>
          <w:szCs w:val="22"/>
          <w:lang w:val="en-GB"/>
        </w:rPr>
        <w:t xml:space="preserve">and B2(e) </w:t>
      </w:r>
      <w:r w:rsidR="00E30B25" w:rsidRPr="00BE2324">
        <w:rPr>
          <w:sz w:val="22"/>
          <w:szCs w:val="22"/>
          <w:lang w:val="en-GB"/>
        </w:rPr>
        <w:t xml:space="preserve">for </w:t>
      </w:r>
      <w:r w:rsidR="00E30B25" w:rsidRPr="00BE2324">
        <w:rPr>
          <w:i/>
          <w:sz w:val="22"/>
          <w:szCs w:val="22"/>
          <w:lang w:val="en-GB"/>
        </w:rPr>
        <w:t>rapid short-term decline</w:t>
      </w:r>
      <w:r w:rsidR="00986E71" w:rsidRPr="00BE2324">
        <w:rPr>
          <w:sz w:val="22"/>
          <w:szCs w:val="22"/>
          <w:lang w:val="en-GB"/>
        </w:rPr>
        <w:t>;</w:t>
      </w:r>
    </w:p>
    <w:p w14:paraId="0B647EE4" w14:textId="2975C55C"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reduce the assessment period for long-term d</w:t>
      </w:r>
      <w:r w:rsidR="00EF5E50" w:rsidRPr="00BE2324">
        <w:rPr>
          <w:sz w:val="22"/>
          <w:szCs w:val="22"/>
          <w:lang w:val="en-GB"/>
        </w:rPr>
        <w:t>ecline from 7.5 generations to three</w:t>
      </w:r>
      <w:r w:rsidR="00E30B25" w:rsidRPr="00BE2324">
        <w:rPr>
          <w:sz w:val="22"/>
          <w:szCs w:val="22"/>
          <w:lang w:val="en-GB"/>
        </w:rPr>
        <w:t xml:space="preserve"> generations</w:t>
      </w:r>
      <w:r w:rsidR="00986E71" w:rsidRPr="00BE2324">
        <w:rPr>
          <w:sz w:val="22"/>
          <w:szCs w:val="22"/>
          <w:lang w:val="en-GB"/>
        </w:rPr>
        <w:t>;</w:t>
      </w:r>
      <w:r>
        <w:rPr>
          <w:sz w:val="22"/>
          <w:szCs w:val="22"/>
          <w:lang w:val="en-GB"/>
        </w:rPr>
        <w:t xml:space="preserve"> and</w:t>
      </w:r>
    </w:p>
    <w:p w14:paraId="2964A953" w14:textId="262111CC" w:rsidR="00E30B25" w:rsidRDefault="0091332C" w:rsidP="00BE2324">
      <w:pPr>
        <w:pStyle w:val="ListParagraph"/>
        <w:numPr>
          <w:ilvl w:val="0"/>
          <w:numId w:val="16"/>
        </w:numPr>
        <w:shd w:val="clear" w:color="auto" w:fill="F2F2F2" w:themeFill="background1" w:themeFillShade="F2"/>
        <w:tabs>
          <w:tab w:val="left" w:pos="4185"/>
        </w:tabs>
        <w:spacing w:line="276" w:lineRule="auto"/>
        <w:ind w:left="426" w:hanging="426"/>
        <w:jc w:val="both"/>
        <w:rPr>
          <w:sz w:val="22"/>
          <w:szCs w:val="22"/>
          <w:lang w:val="en-GB"/>
        </w:rPr>
      </w:pPr>
      <w:r>
        <w:rPr>
          <w:sz w:val="22"/>
          <w:szCs w:val="22"/>
          <w:lang w:val="en-GB"/>
        </w:rPr>
        <w:t xml:space="preserve">To </w:t>
      </w:r>
      <w:r w:rsidR="00E30B25" w:rsidRPr="00BE2324">
        <w:rPr>
          <w:sz w:val="22"/>
          <w:szCs w:val="22"/>
          <w:lang w:val="en-GB"/>
        </w:rPr>
        <w:t xml:space="preserve">increase the threshold for rapid long-term decline that is </w:t>
      </w:r>
      <w:r w:rsidR="00EF5E50" w:rsidRPr="00BE2324">
        <w:rPr>
          <w:sz w:val="22"/>
          <w:szCs w:val="22"/>
          <w:lang w:val="en-GB"/>
        </w:rPr>
        <w:t>equivalent to 30% decline over three</w:t>
      </w:r>
      <w:r w:rsidR="00E30B25" w:rsidRPr="00BE2324">
        <w:rPr>
          <w:sz w:val="22"/>
          <w:szCs w:val="22"/>
          <w:lang w:val="en-GB"/>
        </w:rPr>
        <w:t xml:space="preserve"> generations based on 10 years of the most recent data</w:t>
      </w:r>
      <w:r w:rsidR="003A7B2F" w:rsidRPr="00BE2324">
        <w:rPr>
          <w:sz w:val="22"/>
          <w:szCs w:val="22"/>
          <w:lang w:val="en-GB"/>
        </w:rPr>
        <w:t xml:space="preserve">. (This threshold is equivalent to the relevant criteria for Vulnerable on the IUCN Red List). </w:t>
      </w:r>
    </w:p>
    <w:p w14:paraId="29192B39" w14:textId="77777777" w:rsidR="0091332C" w:rsidRPr="00BE2324" w:rsidRDefault="0091332C" w:rsidP="00BE2324">
      <w:pPr>
        <w:shd w:val="clear" w:color="auto" w:fill="F2F2F2" w:themeFill="background1" w:themeFillShade="F2"/>
        <w:tabs>
          <w:tab w:val="left" w:pos="4185"/>
        </w:tabs>
        <w:spacing w:line="360" w:lineRule="auto"/>
        <w:jc w:val="both"/>
        <w:rPr>
          <w:sz w:val="16"/>
          <w:szCs w:val="16"/>
          <w:lang w:val="en-GB"/>
        </w:rPr>
      </w:pPr>
    </w:p>
    <w:p w14:paraId="15C0AD59" w14:textId="44A21750" w:rsidR="00E30B25" w:rsidRDefault="00E30B25">
      <w:pPr>
        <w:tabs>
          <w:tab w:val="left" w:pos="4185"/>
        </w:tabs>
        <w:spacing w:line="276" w:lineRule="auto"/>
        <w:jc w:val="both"/>
        <w:rPr>
          <w:sz w:val="22"/>
          <w:szCs w:val="22"/>
          <w:lang w:val="en-GB"/>
        </w:rPr>
      </w:pPr>
    </w:p>
    <w:p w14:paraId="19653846" w14:textId="77777777" w:rsidR="0091332C" w:rsidRDefault="0091332C">
      <w:pPr>
        <w:tabs>
          <w:tab w:val="left" w:pos="4185"/>
        </w:tabs>
        <w:spacing w:line="276" w:lineRule="auto"/>
        <w:jc w:val="both"/>
        <w:rPr>
          <w:sz w:val="22"/>
          <w:szCs w:val="22"/>
          <w:lang w:val="en-GB"/>
        </w:rPr>
      </w:pPr>
    </w:p>
    <w:p w14:paraId="1BC6DACB" w14:textId="435E42EE" w:rsidR="00E30B25" w:rsidRDefault="00E30B25">
      <w:pPr>
        <w:tabs>
          <w:tab w:val="left" w:pos="4185"/>
        </w:tabs>
        <w:spacing w:line="276" w:lineRule="auto"/>
        <w:jc w:val="both"/>
        <w:rPr>
          <w:b/>
          <w:lang w:val="en-GB"/>
        </w:rPr>
      </w:pPr>
      <w:r w:rsidRPr="00BE2324">
        <w:rPr>
          <w:b/>
          <w:lang w:val="en-GB"/>
        </w:rPr>
        <w:t>Expected consequences</w:t>
      </w:r>
    </w:p>
    <w:p w14:paraId="123A8AE4" w14:textId="77777777" w:rsidR="0091332C" w:rsidRPr="00BE2324" w:rsidRDefault="0091332C">
      <w:pPr>
        <w:tabs>
          <w:tab w:val="left" w:pos="4185"/>
        </w:tabs>
        <w:spacing w:line="276" w:lineRule="auto"/>
        <w:jc w:val="both"/>
        <w:rPr>
          <w:b/>
          <w:lang w:val="en-GB"/>
        </w:rPr>
      </w:pPr>
    </w:p>
    <w:p w14:paraId="36C45EB6" w14:textId="5DB47B80" w:rsidR="00E30B25" w:rsidRDefault="00E30B25">
      <w:pPr>
        <w:tabs>
          <w:tab w:val="left" w:pos="4185"/>
        </w:tabs>
        <w:spacing w:line="276" w:lineRule="auto"/>
        <w:jc w:val="both"/>
        <w:rPr>
          <w:sz w:val="22"/>
          <w:szCs w:val="22"/>
          <w:lang w:val="en-GB"/>
        </w:rPr>
      </w:pPr>
      <w:r w:rsidRPr="00D64003">
        <w:rPr>
          <w:sz w:val="22"/>
          <w:szCs w:val="22"/>
          <w:lang w:val="en-GB"/>
        </w:rPr>
        <w:t xml:space="preserve">The </w:t>
      </w:r>
      <w:r>
        <w:rPr>
          <w:sz w:val="22"/>
          <w:szCs w:val="22"/>
          <w:lang w:val="en-GB"/>
        </w:rPr>
        <w:t xml:space="preserve">proposed changes would result in more consistency with other assessment systems and easier use of data collected through them. </w:t>
      </w:r>
    </w:p>
    <w:p w14:paraId="2672321A" w14:textId="77777777" w:rsidR="00E30B25" w:rsidRDefault="00E30B25">
      <w:pPr>
        <w:tabs>
          <w:tab w:val="left" w:pos="4185"/>
        </w:tabs>
        <w:spacing w:line="276" w:lineRule="auto"/>
        <w:jc w:val="both"/>
        <w:rPr>
          <w:sz w:val="22"/>
          <w:szCs w:val="22"/>
          <w:lang w:val="en-GB"/>
        </w:rPr>
      </w:pPr>
    </w:p>
    <w:p w14:paraId="05F8DBF3" w14:textId="77777777" w:rsidR="003A7B2F" w:rsidRDefault="003A7B2F">
      <w:pPr>
        <w:tabs>
          <w:tab w:val="left" w:pos="4185"/>
        </w:tabs>
        <w:spacing w:line="276" w:lineRule="auto"/>
        <w:jc w:val="both"/>
        <w:rPr>
          <w:sz w:val="22"/>
          <w:szCs w:val="22"/>
          <w:lang w:val="en-GB"/>
        </w:rPr>
      </w:pPr>
      <w:r>
        <w:rPr>
          <w:sz w:val="22"/>
          <w:szCs w:val="22"/>
          <w:lang w:val="en-GB"/>
        </w:rPr>
        <w:t xml:space="preserve">The shorter assessment periods would allow AEWA to react to changes in time. In case of rapid declines, it would allow addressing the problem before it is too late and would provide a gradual shift from one category into another. On the other hand, it would allow relaxing restrictions earlier in case of recovering populations.  </w:t>
      </w:r>
    </w:p>
    <w:p w14:paraId="371ABE36" w14:textId="77777777" w:rsidR="003A7B2F" w:rsidRDefault="003A7B2F">
      <w:pPr>
        <w:tabs>
          <w:tab w:val="left" w:pos="4185"/>
        </w:tabs>
        <w:spacing w:line="276" w:lineRule="auto"/>
        <w:jc w:val="both"/>
        <w:rPr>
          <w:sz w:val="22"/>
          <w:szCs w:val="22"/>
          <w:lang w:val="en-GB"/>
        </w:rPr>
      </w:pPr>
    </w:p>
    <w:p w14:paraId="17FFFBA8" w14:textId="15E03DAC" w:rsidR="003A7B2F" w:rsidRDefault="003A7B2F">
      <w:pPr>
        <w:tabs>
          <w:tab w:val="left" w:pos="4185"/>
        </w:tabs>
        <w:spacing w:line="276" w:lineRule="auto"/>
        <w:jc w:val="both"/>
        <w:rPr>
          <w:sz w:val="22"/>
          <w:szCs w:val="22"/>
          <w:lang w:val="en-GB"/>
        </w:rPr>
      </w:pPr>
      <w:r>
        <w:rPr>
          <w:sz w:val="22"/>
          <w:szCs w:val="22"/>
          <w:lang w:val="en-GB"/>
        </w:rPr>
        <w:t>However, assessment periods for long-term decline would still range between 21 and 42 years</w:t>
      </w:r>
      <w:r w:rsidR="00D64003">
        <w:rPr>
          <w:sz w:val="22"/>
          <w:szCs w:val="22"/>
          <w:lang w:val="en-GB"/>
        </w:rPr>
        <w:t xml:space="preserve"> for species with </w:t>
      </w:r>
      <w:r w:rsidR="0091332C">
        <w:rPr>
          <w:sz w:val="22"/>
          <w:szCs w:val="22"/>
          <w:lang w:val="en-GB"/>
        </w:rPr>
        <w:t xml:space="preserve">a </w:t>
      </w:r>
      <w:r w:rsidR="00D64003">
        <w:rPr>
          <w:sz w:val="22"/>
          <w:szCs w:val="22"/>
          <w:lang w:val="en-GB"/>
        </w:rPr>
        <w:t>generation length of 7-14 years</w:t>
      </w:r>
      <w:r>
        <w:rPr>
          <w:sz w:val="22"/>
          <w:szCs w:val="22"/>
          <w:lang w:val="en-GB"/>
        </w:rPr>
        <w:t>. Together with the increased threshold for rapid short-term decline, this would provide more stability to Table 1.</w:t>
      </w:r>
    </w:p>
    <w:p w14:paraId="52660DEF" w14:textId="77777777" w:rsidR="003A7B2F" w:rsidRDefault="003A7B2F">
      <w:pPr>
        <w:tabs>
          <w:tab w:val="left" w:pos="4185"/>
        </w:tabs>
        <w:spacing w:line="276" w:lineRule="auto"/>
        <w:jc w:val="both"/>
        <w:rPr>
          <w:sz w:val="22"/>
          <w:szCs w:val="22"/>
          <w:lang w:val="en-GB"/>
        </w:rPr>
      </w:pPr>
    </w:p>
    <w:p w14:paraId="3031629E" w14:textId="77777777" w:rsidR="00E30B25" w:rsidRDefault="00E30B25">
      <w:pPr>
        <w:tabs>
          <w:tab w:val="left" w:pos="4185"/>
        </w:tabs>
        <w:spacing w:line="276" w:lineRule="auto"/>
        <w:jc w:val="both"/>
        <w:rPr>
          <w:sz w:val="22"/>
          <w:szCs w:val="22"/>
          <w:lang w:val="en-GB"/>
        </w:rPr>
      </w:pPr>
      <w:r>
        <w:rPr>
          <w:sz w:val="22"/>
          <w:szCs w:val="22"/>
          <w:lang w:val="en-GB"/>
        </w:rPr>
        <w:t>Separating long-term and short-term decline</w:t>
      </w:r>
      <w:r w:rsidR="0030710F">
        <w:rPr>
          <w:sz w:val="22"/>
          <w:szCs w:val="22"/>
          <w:lang w:val="en-GB"/>
        </w:rPr>
        <w:t>s</w:t>
      </w:r>
      <w:r>
        <w:rPr>
          <w:sz w:val="22"/>
          <w:szCs w:val="22"/>
          <w:lang w:val="en-GB"/>
        </w:rPr>
        <w:t xml:space="preserve"> would provide better guidance to national authorities</w:t>
      </w:r>
      <w:r w:rsidR="003A7B2F">
        <w:rPr>
          <w:sz w:val="22"/>
          <w:szCs w:val="22"/>
          <w:lang w:val="en-GB"/>
        </w:rPr>
        <w:t>.</w:t>
      </w:r>
    </w:p>
    <w:p w14:paraId="71A1043D" w14:textId="48E08F07" w:rsidR="001A4538" w:rsidRDefault="001A4538" w:rsidP="00BE2324">
      <w:pPr>
        <w:tabs>
          <w:tab w:val="left" w:pos="4185"/>
        </w:tabs>
        <w:spacing w:line="276" w:lineRule="auto"/>
        <w:jc w:val="both"/>
        <w:rPr>
          <w:lang w:val="en-GB"/>
        </w:rPr>
      </w:pPr>
    </w:p>
    <w:p w14:paraId="69DBC9B8" w14:textId="77777777" w:rsidR="0091332C" w:rsidRDefault="0091332C" w:rsidP="00BE2324">
      <w:pPr>
        <w:tabs>
          <w:tab w:val="left" w:pos="4185"/>
        </w:tabs>
        <w:spacing w:line="276" w:lineRule="auto"/>
        <w:jc w:val="both"/>
        <w:rPr>
          <w:lang w:val="en-GB"/>
        </w:rPr>
      </w:pPr>
    </w:p>
    <w:p w14:paraId="492C84E2" w14:textId="6FF2C6C6" w:rsidR="001A4538" w:rsidRPr="00CE1703" w:rsidRDefault="001A4538" w:rsidP="00BE2324">
      <w:pPr>
        <w:suppressAutoHyphens/>
        <w:autoSpaceDN w:val="0"/>
        <w:spacing w:line="276" w:lineRule="auto"/>
        <w:jc w:val="both"/>
        <w:textAlignment w:val="baseline"/>
        <w:rPr>
          <w:b/>
        </w:rPr>
      </w:pPr>
      <w:r w:rsidRPr="00CE1703">
        <w:rPr>
          <w:b/>
        </w:rPr>
        <w:t xml:space="preserve">Action Requested from the </w:t>
      </w:r>
      <w:r w:rsidR="00441563">
        <w:rPr>
          <w:b/>
        </w:rPr>
        <w:t>Standing</w:t>
      </w:r>
      <w:r w:rsidR="00441563" w:rsidRPr="00CE1703">
        <w:rPr>
          <w:b/>
        </w:rPr>
        <w:t xml:space="preserve"> </w:t>
      </w:r>
      <w:r w:rsidRPr="00CE1703">
        <w:rPr>
          <w:b/>
        </w:rPr>
        <w:t>Committee</w:t>
      </w:r>
    </w:p>
    <w:p w14:paraId="4BF29B28" w14:textId="77777777" w:rsidR="001A4538" w:rsidRPr="00CE1703" w:rsidRDefault="001A4538" w:rsidP="00BE2324">
      <w:pPr>
        <w:suppressAutoHyphens/>
        <w:autoSpaceDN w:val="0"/>
        <w:spacing w:line="276" w:lineRule="auto"/>
        <w:jc w:val="both"/>
        <w:textAlignment w:val="baseline"/>
        <w:rPr>
          <w:b/>
        </w:rPr>
      </w:pPr>
    </w:p>
    <w:p w14:paraId="35372B31" w14:textId="62DF57A3" w:rsidR="001A4538" w:rsidRPr="007D3C9E" w:rsidRDefault="001A4538">
      <w:pPr>
        <w:suppressAutoHyphens/>
        <w:autoSpaceDN w:val="0"/>
        <w:spacing w:line="276" w:lineRule="auto"/>
        <w:jc w:val="both"/>
        <w:textAlignment w:val="baseline"/>
        <w:rPr>
          <w:sz w:val="22"/>
          <w:szCs w:val="22"/>
        </w:rPr>
      </w:pPr>
      <w:r w:rsidRPr="007D3C9E">
        <w:rPr>
          <w:sz w:val="22"/>
          <w:szCs w:val="22"/>
        </w:rPr>
        <w:t xml:space="preserve">The </w:t>
      </w:r>
      <w:r w:rsidR="00C72ED1">
        <w:rPr>
          <w:sz w:val="22"/>
          <w:szCs w:val="22"/>
        </w:rPr>
        <w:t xml:space="preserve">Standing </w:t>
      </w:r>
      <w:r w:rsidRPr="007D3C9E">
        <w:rPr>
          <w:sz w:val="22"/>
          <w:szCs w:val="22"/>
        </w:rPr>
        <w:t>Committee is requested to review and approve this proposed revised definition and guidance, as well as the accompanying draft resolution</w:t>
      </w:r>
      <w:r w:rsidR="006C67D2">
        <w:rPr>
          <w:sz w:val="22"/>
          <w:szCs w:val="22"/>
        </w:rPr>
        <w:t>s</w:t>
      </w:r>
      <w:r w:rsidR="00454E8B">
        <w:rPr>
          <w:sz w:val="22"/>
          <w:szCs w:val="22"/>
        </w:rPr>
        <w:t xml:space="preserve"> (Doc </w:t>
      </w:r>
      <w:proofErr w:type="spellStart"/>
      <w:r w:rsidR="00454E8B">
        <w:rPr>
          <w:sz w:val="22"/>
          <w:szCs w:val="22"/>
        </w:rPr>
        <w:t>StC</w:t>
      </w:r>
      <w:proofErr w:type="spellEnd"/>
      <w:r w:rsidR="00454E8B">
        <w:rPr>
          <w:sz w:val="22"/>
          <w:szCs w:val="22"/>
        </w:rPr>
        <w:t xml:space="preserve"> </w:t>
      </w:r>
      <w:proofErr w:type="gramStart"/>
      <w:r w:rsidR="00454E8B">
        <w:rPr>
          <w:sz w:val="22"/>
          <w:szCs w:val="22"/>
        </w:rPr>
        <w:t>13</w:t>
      </w:r>
      <w:r w:rsidR="006C67D2">
        <w:rPr>
          <w:sz w:val="22"/>
          <w:szCs w:val="22"/>
        </w:rPr>
        <w:t>.</w:t>
      </w:r>
      <w:r w:rsidR="00454E8B">
        <w:rPr>
          <w:sz w:val="22"/>
          <w:szCs w:val="22"/>
        </w:rPr>
        <w:t>DR.</w:t>
      </w:r>
      <w:proofErr w:type="gramEnd"/>
      <w:r w:rsidR="00454E8B">
        <w:rPr>
          <w:sz w:val="22"/>
          <w:szCs w:val="22"/>
        </w:rPr>
        <w:t>6</w:t>
      </w:r>
      <w:r w:rsidR="006C67D2">
        <w:rPr>
          <w:sz w:val="22"/>
          <w:szCs w:val="22"/>
        </w:rPr>
        <w:t xml:space="preserve"> and </w:t>
      </w:r>
      <w:proofErr w:type="spellStart"/>
      <w:r w:rsidR="006C67D2">
        <w:rPr>
          <w:sz w:val="22"/>
          <w:szCs w:val="22"/>
        </w:rPr>
        <w:t>StC</w:t>
      </w:r>
      <w:proofErr w:type="spellEnd"/>
      <w:r w:rsidR="006C67D2">
        <w:rPr>
          <w:sz w:val="22"/>
          <w:szCs w:val="22"/>
        </w:rPr>
        <w:t xml:space="preserve"> 13.DR.9</w:t>
      </w:r>
      <w:r w:rsidR="00454E8B">
        <w:rPr>
          <w:sz w:val="22"/>
          <w:szCs w:val="22"/>
        </w:rPr>
        <w:t>)</w:t>
      </w:r>
      <w:r w:rsidRPr="007D3C9E">
        <w:rPr>
          <w:sz w:val="22"/>
          <w:szCs w:val="22"/>
        </w:rPr>
        <w:t>, for submission to the</w:t>
      </w:r>
      <w:bookmarkStart w:id="2" w:name="_Hlk508188063"/>
      <w:r w:rsidR="00D441B7">
        <w:rPr>
          <w:sz w:val="22"/>
          <w:szCs w:val="22"/>
        </w:rPr>
        <w:t xml:space="preserve"> </w:t>
      </w:r>
      <w:r w:rsidR="0091332C">
        <w:rPr>
          <w:sz w:val="22"/>
          <w:szCs w:val="22"/>
        </w:rPr>
        <w:br w:type="textWrapping" w:clear="all"/>
      </w:r>
      <w:bookmarkEnd w:id="2"/>
      <w:r w:rsidRPr="007D3C9E">
        <w:rPr>
          <w:sz w:val="22"/>
          <w:szCs w:val="22"/>
        </w:rPr>
        <w:t>7</w:t>
      </w:r>
      <w:r w:rsidRPr="007D3C9E">
        <w:rPr>
          <w:sz w:val="22"/>
          <w:szCs w:val="22"/>
          <w:vertAlign w:val="superscript"/>
        </w:rPr>
        <w:t>th</w:t>
      </w:r>
      <w:r w:rsidRPr="007D3C9E">
        <w:rPr>
          <w:sz w:val="22"/>
          <w:szCs w:val="22"/>
        </w:rPr>
        <w:t xml:space="preserve"> Session of the Meeting of the Parties to AEWA.</w:t>
      </w:r>
    </w:p>
    <w:p w14:paraId="2080D297" w14:textId="77777777" w:rsidR="00413B34" w:rsidRPr="007D3C9E" w:rsidRDefault="00413B34">
      <w:pPr>
        <w:tabs>
          <w:tab w:val="left" w:pos="4185"/>
        </w:tabs>
        <w:spacing w:line="276" w:lineRule="auto"/>
        <w:jc w:val="both"/>
        <w:rPr>
          <w:sz w:val="22"/>
          <w:szCs w:val="22"/>
          <w:lang w:val="en-GB"/>
        </w:rPr>
      </w:pPr>
    </w:p>
    <w:p w14:paraId="068432CD" w14:textId="77777777" w:rsidR="00413B34" w:rsidRDefault="00413B34" w:rsidP="0060207D">
      <w:pPr>
        <w:tabs>
          <w:tab w:val="left" w:pos="4185"/>
        </w:tabs>
        <w:jc w:val="center"/>
        <w:rPr>
          <w:lang w:val="en-GB"/>
        </w:rPr>
      </w:pPr>
    </w:p>
    <w:p w14:paraId="6A61309F" w14:textId="0ECECD40" w:rsidR="006E5C40" w:rsidRPr="00A50CC4" w:rsidRDefault="006E5C40" w:rsidP="00BE2324">
      <w:pPr>
        <w:tabs>
          <w:tab w:val="left" w:pos="4185"/>
        </w:tabs>
        <w:jc w:val="center"/>
        <w:rPr>
          <w:sz w:val="22"/>
          <w:szCs w:val="22"/>
          <w:lang w:val="en-GB"/>
        </w:rPr>
      </w:pPr>
    </w:p>
    <w:sectPr w:rsidR="006E5C40" w:rsidRPr="00A50CC4" w:rsidSect="00BE2324">
      <w:headerReference w:type="first" r:id="rId13"/>
      <w:footerReference w:type="first" r:id="rId14"/>
      <w:pgSz w:w="11900" w:h="1682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9913" w14:textId="77777777" w:rsidR="00E94DC6" w:rsidRDefault="00E94DC6">
      <w:r>
        <w:separator/>
      </w:r>
    </w:p>
  </w:endnote>
  <w:endnote w:type="continuationSeparator" w:id="0">
    <w:p w14:paraId="01508D18" w14:textId="77777777" w:rsidR="00E94DC6" w:rsidRDefault="00E9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BC9F" w14:textId="77777777" w:rsidR="00CC10A0" w:rsidRDefault="00CC10A0"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5FE65" w14:textId="77777777" w:rsidR="00CC10A0" w:rsidRDefault="00CC10A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B1CA" w14:textId="4F724400" w:rsidR="00CC10A0" w:rsidRDefault="00CC10A0">
    <w:pPr>
      <w:pStyle w:val="Footer"/>
      <w:jc w:val="center"/>
      <w:rPr>
        <w:noProof/>
        <w:sz w:val="20"/>
        <w:szCs w:val="20"/>
      </w:rPr>
    </w:pPr>
    <w:r w:rsidRPr="007D3C9E">
      <w:rPr>
        <w:sz w:val="20"/>
        <w:szCs w:val="20"/>
      </w:rPr>
      <w:fldChar w:fldCharType="begin"/>
    </w:r>
    <w:r w:rsidRPr="007D3C9E">
      <w:rPr>
        <w:sz w:val="20"/>
        <w:szCs w:val="20"/>
      </w:rPr>
      <w:instrText xml:space="preserve"> PAGE   \* MERGEFORMAT </w:instrText>
    </w:r>
    <w:r w:rsidRPr="007D3C9E">
      <w:rPr>
        <w:sz w:val="20"/>
        <w:szCs w:val="20"/>
      </w:rPr>
      <w:fldChar w:fldCharType="separate"/>
    </w:r>
    <w:r w:rsidR="009A7FBB">
      <w:rPr>
        <w:noProof/>
        <w:sz w:val="20"/>
        <w:szCs w:val="20"/>
      </w:rPr>
      <w:t>3</w:t>
    </w:r>
    <w:r w:rsidRPr="007D3C9E">
      <w:rPr>
        <w:noProof/>
        <w:sz w:val="20"/>
        <w:szCs w:val="20"/>
      </w:rPr>
      <w:fldChar w:fldCharType="end"/>
    </w:r>
  </w:p>
  <w:p w14:paraId="09BD7897" w14:textId="77777777" w:rsidR="00CC10A0" w:rsidRDefault="00CC10A0" w:rsidP="004F5E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91A2" w14:textId="73C4316C" w:rsidR="00CC10A0" w:rsidRDefault="00CC10A0" w:rsidP="00335022">
    <w:pPr>
      <w:pStyle w:val="Footer"/>
      <w:jc w:val="center"/>
    </w:pPr>
    <w:r w:rsidRPr="000C6C45">
      <w:rPr>
        <w:sz w:val="20"/>
        <w:szCs w:val="20"/>
      </w:rPr>
      <w:fldChar w:fldCharType="begin"/>
    </w:r>
    <w:r w:rsidRPr="000C6C45">
      <w:rPr>
        <w:sz w:val="20"/>
        <w:szCs w:val="20"/>
      </w:rPr>
      <w:instrText xml:space="preserve"> PAGE   \* MERGEFORMAT </w:instrText>
    </w:r>
    <w:r w:rsidRPr="000C6C45">
      <w:rPr>
        <w:sz w:val="20"/>
        <w:szCs w:val="20"/>
      </w:rPr>
      <w:fldChar w:fldCharType="separate"/>
    </w:r>
    <w:r w:rsidR="009A7FBB">
      <w:rPr>
        <w:noProof/>
        <w:sz w:val="20"/>
        <w:szCs w:val="20"/>
      </w:rPr>
      <w:t>4</w:t>
    </w:r>
    <w:r w:rsidRPr="000C6C4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65DE" w14:textId="77777777" w:rsidR="00E94DC6" w:rsidRDefault="00E94DC6">
      <w:r>
        <w:separator/>
      </w:r>
    </w:p>
  </w:footnote>
  <w:footnote w:type="continuationSeparator" w:id="0">
    <w:p w14:paraId="426CFC42" w14:textId="77777777" w:rsidR="00E94DC6" w:rsidRDefault="00E9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 w:space="0" w:color="auto"/>
      </w:tblBorders>
      <w:tblLook w:val="0000" w:firstRow="0" w:lastRow="0" w:firstColumn="0" w:lastColumn="0" w:noHBand="0" w:noVBand="0"/>
    </w:tblPr>
    <w:tblGrid>
      <w:gridCol w:w="2211"/>
      <w:gridCol w:w="5126"/>
      <w:gridCol w:w="2302"/>
    </w:tblGrid>
    <w:tr w:rsidR="000434D4" w:rsidRPr="00A61241" w14:paraId="367859DC" w14:textId="77777777" w:rsidTr="00576BFC">
      <w:trPr>
        <w:trHeight w:val="1256"/>
      </w:trPr>
      <w:tc>
        <w:tcPr>
          <w:tcW w:w="1147" w:type="pct"/>
        </w:tcPr>
        <w:p w14:paraId="11559434" w14:textId="77777777" w:rsidR="000434D4" w:rsidRPr="00A61241" w:rsidRDefault="000434D4" w:rsidP="000434D4">
          <w:pPr>
            <w:rPr>
              <w:lang w:val="en-GB"/>
            </w:rPr>
          </w:pPr>
          <w:bookmarkStart w:id="1" w:name="_Hlk513643711"/>
          <w:r w:rsidRPr="00A61241">
            <w:rPr>
              <w:noProof/>
              <w:lang w:val="de-DE" w:eastAsia="de-DE"/>
            </w:rPr>
            <w:drawing>
              <wp:inline distT="0" distB="0" distL="0" distR="0" wp14:anchorId="738814C6" wp14:editId="4691E32B">
                <wp:extent cx="800100" cy="66675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1B233CE6" w14:textId="77777777" w:rsidR="000434D4" w:rsidRPr="00CF739E" w:rsidRDefault="000434D4" w:rsidP="000434D4">
          <w:pPr>
            <w:jc w:val="center"/>
            <w:rPr>
              <w:i/>
              <w:sz w:val="22"/>
              <w:szCs w:val="22"/>
              <w:lang w:val="en-GB"/>
            </w:rPr>
          </w:pPr>
          <w:r w:rsidRPr="00CF739E">
            <w:rPr>
              <w:i/>
              <w:sz w:val="22"/>
              <w:szCs w:val="22"/>
              <w:lang w:val="en-GB"/>
            </w:rPr>
            <w:t>AGREEMENT ON THE CONSERVATION OF</w:t>
          </w:r>
        </w:p>
        <w:p w14:paraId="31E40B43" w14:textId="77777777" w:rsidR="000434D4" w:rsidRPr="00A61241" w:rsidRDefault="000434D4" w:rsidP="000434D4">
          <w:pPr>
            <w:jc w:val="center"/>
            <w:rPr>
              <w:lang w:val="en-GB"/>
            </w:rPr>
          </w:pPr>
          <w:r w:rsidRPr="00CF739E">
            <w:rPr>
              <w:i/>
              <w:sz w:val="22"/>
              <w:szCs w:val="22"/>
              <w:lang w:val="en-GB"/>
            </w:rPr>
            <w:t>AFRICAN-EURASIAN MIGRATORY WATERBIRDS</w:t>
          </w:r>
        </w:p>
      </w:tc>
      <w:tc>
        <w:tcPr>
          <w:tcW w:w="1194" w:type="pct"/>
        </w:tcPr>
        <w:p w14:paraId="1490DCAA" w14:textId="30DEF45B" w:rsidR="000434D4" w:rsidRPr="00CD0925" w:rsidRDefault="000434D4" w:rsidP="000434D4">
          <w:pPr>
            <w:jc w:val="right"/>
            <w:rPr>
              <w:i/>
              <w:iCs/>
              <w:sz w:val="20"/>
              <w:szCs w:val="20"/>
              <w:lang w:val="it-IT"/>
            </w:rPr>
          </w:pPr>
          <w:r w:rsidRPr="00CD0925">
            <w:rPr>
              <w:i/>
              <w:iCs/>
              <w:sz w:val="20"/>
              <w:szCs w:val="20"/>
              <w:lang w:val="it-IT"/>
            </w:rPr>
            <w:t>Doc. AEWA/StC13.</w:t>
          </w:r>
          <w:r>
            <w:rPr>
              <w:i/>
              <w:iCs/>
              <w:sz w:val="20"/>
              <w:szCs w:val="20"/>
              <w:lang w:val="it-IT"/>
            </w:rPr>
            <w:t>30</w:t>
          </w:r>
          <w:r w:rsidRPr="00CD0925">
            <w:rPr>
              <w:i/>
              <w:iCs/>
              <w:sz w:val="20"/>
              <w:szCs w:val="20"/>
              <w:lang w:val="it-IT"/>
            </w:rPr>
            <w:t xml:space="preserve"> </w:t>
          </w:r>
        </w:p>
        <w:p w14:paraId="146E18A3" w14:textId="668861E0" w:rsidR="000434D4" w:rsidRPr="00CD0925" w:rsidRDefault="000434D4" w:rsidP="000434D4">
          <w:pPr>
            <w:jc w:val="right"/>
            <w:rPr>
              <w:i/>
              <w:iCs/>
              <w:sz w:val="20"/>
              <w:szCs w:val="20"/>
              <w:lang w:val="it-IT"/>
            </w:rPr>
          </w:pPr>
          <w:r w:rsidRPr="00CD0925">
            <w:rPr>
              <w:i/>
              <w:iCs/>
              <w:sz w:val="20"/>
              <w:szCs w:val="20"/>
              <w:lang w:val="it-IT"/>
            </w:rPr>
            <w:t xml:space="preserve">Agenda item </w:t>
          </w:r>
          <w:r>
            <w:rPr>
              <w:i/>
              <w:iCs/>
              <w:sz w:val="20"/>
              <w:szCs w:val="20"/>
              <w:lang w:val="it-IT"/>
            </w:rPr>
            <w:t>17</w:t>
          </w:r>
        </w:p>
        <w:p w14:paraId="5EB3E580" w14:textId="788D393C" w:rsidR="000434D4" w:rsidRPr="00A61241" w:rsidRDefault="000434D4" w:rsidP="000434D4">
          <w:pPr>
            <w:jc w:val="right"/>
            <w:rPr>
              <w:lang w:val="en-GB"/>
            </w:rPr>
          </w:pPr>
          <w:r w:rsidRPr="00BE2324">
            <w:rPr>
              <w:i/>
              <w:iCs/>
              <w:sz w:val="20"/>
              <w:szCs w:val="20"/>
              <w:lang w:val="it-IT"/>
            </w:rPr>
            <w:t xml:space="preserve"> </w:t>
          </w:r>
          <w:r>
            <w:rPr>
              <w:i/>
              <w:iCs/>
              <w:sz w:val="20"/>
              <w:szCs w:val="20"/>
              <w:lang w:val="en-GB"/>
            </w:rPr>
            <w:t>01 June 2018</w:t>
          </w:r>
        </w:p>
      </w:tc>
    </w:tr>
    <w:tr w:rsidR="000434D4" w:rsidRPr="00A61241" w14:paraId="41674A4D" w14:textId="77777777" w:rsidTr="00576BFC">
      <w:tc>
        <w:tcPr>
          <w:tcW w:w="5000" w:type="pct"/>
          <w:gridSpan w:val="3"/>
        </w:tcPr>
        <w:p w14:paraId="421C1826" w14:textId="77777777" w:rsidR="000434D4" w:rsidRPr="00A61241" w:rsidRDefault="000434D4" w:rsidP="000434D4">
          <w:pPr>
            <w:jc w:val="center"/>
            <w:rPr>
              <w:b/>
              <w:bCs/>
              <w:caps/>
              <w:sz w:val="26"/>
              <w:szCs w:val="26"/>
              <w:lang w:val="en-GB"/>
            </w:rPr>
          </w:pPr>
          <w:r>
            <w:rPr>
              <w:b/>
              <w:bCs/>
              <w:sz w:val="26"/>
              <w:szCs w:val="26"/>
              <w:lang w:val="en-GB"/>
            </w:rPr>
            <w:t>13</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4AD751BB" w14:textId="77777777" w:rsidR="000434D4" w:rsidRPr="0010660A" w:rsidRDefault="000434D4" w:rsidP="000434D4">
          <w:pPr>
            <w:jc w:val="center"/>
            <w:rPr>
              <w:i/>
              <w:sz w:val="22"/>
              <w:szCs w:val="22"/>
              <w:lang w:val="en-GB"/>
            </w:rPr>
          </w:pPr>
          <w:r>
            <w:rPr>
              <w:i/>
              <w:iCs/>
              <w:sz w:val="22"/>
              <w:szCs w:val="22"/>
              <w:lang w:val="en-GB"/>
            </w:rPr>
            <w:t>03 - 05 July 2018, The Hague, the Netherlands</w:t>
          </w:r>
        </w:p>
      </w:tc>
    </w:tr>
    <w:tr w:rsidR="000434D4" w:rsidRPr="00A61241" w14:paraId="62445BF1" w14:textId="77777777" w:rsidTr="00576BFC">
      <w:trPr>
        <w:trHeight w:val="270"/>
      </w:trPr>
      <w:tc>
        <w:tcPr>
          <w:tcW w:w="5000" w:type="pct"/>
          <w:gridSpan w:val="3"/>
          <w:vAlign w:val="center"/>
        </w:tcPr>
        <w:p w14:paraId="329A3DDF" w14:textId="77777777" w:rsidR="000434D4" w:rsidRPr="00A61241" w:rsidRDefault="000434D4" w:rsidP="000434D4">
          <w:pPr>
            <w:rPr>
              <w:bCs/>
              <w:i/>
              <w:lang w:val="en-GB"/>
            </w:rPr>
          </w:pPr>
        </w:p>
      </w:tc>
    </w:tr>
    <w:bookmarkEnd w:id="1"/>
  </w:tbl>
  <w:p w14:paraId="78CC7F3C" w14:textId="77777777" w:rsidR="00CC10A0" w:rsidRDefault="00CC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82D" w14:textId="77777777" w:rsidR="00CC10A0" w:rsidRDefault="00CC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D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50220F"/>
    <w:multiLevelType w:val="hybridMultilevel"/>
    <w:tmpl w:val="B9265C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1EEE40A9"/>
    <w:multiLevelType w:val="hybridMultilevel"/>
    <w:tmpl w:val="8C0C528E"/>
    <w:lvl w:ilvl="0" w:tplc="0407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28D3CC1"/>
    <w:multiLevelType w:val="hybridMultilevel"/>
    <w:tmpl w:val="D4C06E14"/>
    <w:lvl w:ilvl="0" w:tplc="8A240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7591B"/>
    <w:multiLevelType w:val="hybridMultilevel"/>
    <w:tmpl w:val="42D4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F15F2"/>
    <w:multiLevelType w:val="multilevel"/>
    <w:tmpl w:val="444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F897162"/>
    <w:multiLevelType w:val="hybridMultilevel"/>
    <w:tmpl w:val="1DBC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11"/>
  </w:num>
  <w:num w:numId="6">
    <w:abstractNumId w:val="13"/>
  </w:num>
  <w:num w:numId="7">
    <w:abstractNumId w:val="8"/>
  </w:num>
  <w:num w:numId="8">
    <w:abstractNumId w:val="7"/>
  </w:num>
  <w:num w:numId="9">
    <w:abstractNumId w:val="9"/>
  </w:num>
  <w:num w:numId="10">
    <w:abstractNumId w:val="0"/>
  </w:num>
  <w:num w:numId="11">
    <w:abstractNumId w:val="6"/>
  </w:num>
  <w:num w:numId="12">
    <w:abstractNumId w:val="1"/>
  </w:num>
  <w:num w:numId="13">
    <w:abstractNumId w:val="2"/>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DE"/>
    <w:rsid w:val="00016E7B"/>
    <w:rsid w:val="00040FCA"/>
    <w:rsid w:val="000434D4"/>
    <w:rsid w:val="00046B01"/>
    <w:rsid w:val="00051C54"/>
    <w:rsid w:val="00053571"/>
    <w:rsid w:val="00060494"/>
    <w:rsid w:val="0006129C"/>
    <w:rsid w:val="000977BB"/>
    <w:rsid w:val="000A14AD"/>
    <w:rsid w:val="000A51FB"/>
    <w:rsid w:val="000A5A47"/>
    <w:rsid w:val="000A6F3A"/>
    <w:rsid w:val="000B656B"/>
    <w:rsid w:val="000C53FE"/>
    <w:rsid w:val="000C6C45"/>
    <w:rsid w:val="000D3AF0"/>
    <w:rsid w:val="000E153E"/>
    <w:rsid w:val="000F2170"/>
    <w:rsid w:val="000F22CC"/>
    <w:rsid w:val="00104C13"/>
    <w:rsid w:val="00125FAA"/>
    <w:rsid w:val="00132F2E"/>
    <w:rsid w:val="00137F79"/>
    <w:rsid w:val="00147704"/>
    <w:rsid w:val="00163B75"/>
    <w:rsid w:val="00163D0E"/>
    <w:rsid w:val="00167D59"/>
    <w:rsid w:val="0017712F"/>
    <w:rsid w:val="00180A4D"/>
    <w:rsid w:val="00182DCC"/>
    <w:rsid w:val="00185CD4"/>
    <w:rsid w:val="00186687"/>
    <w:rsid w:val="00196E67"/>
    <w:rsid w:val="001A00B6"/>
    <w:rsid w:val="001A4538"/>
    <w:rsid w:val="001A51B7"/>
    <w:rsid w:val="001B186D"/>
    <w:rsid w:val="001D21F7"/>
    <w:rsid w:val="001D519A"/>
    <w:rsid w:val="001E0C2A"/>
    <w:rsid w:val="001F1D9A"/>
    <w:rsid w:val="001F2EE5"/>
    <w:rsid w:val="001F4345"/>
    <w:rsid w:val="00203243"/>
    <w:rsid w:val="0020640C"/>
    <w:rsid w:val="00207325"/>
    <w:rsid w:val="002077F1"/>
    <w:rsid w:val="00215143"/>
    <w:rsid w:val="00243B4B"/>
    <w:rsid w:val="00260D5D"/>
    <w:rsid w:val="00286103"/>
    <w:rsid w:val="002904E2"/>
    <w:rsid w:val="002A3D00"/>
    <w:rsid w:val="002C58BF"/>
    <w:rsid w:val="002C6C40"/>
    <w:rsid w:val="002E4C1F"/>
    <w:rsid w:val="002E6092"/>
    <w:rsid w:val="002F0141"/>
    <w:rsid w:val="002F7147"/>
    <w:rsid w:val="00303606"/>
    <w:rsid w:val="0030710F"/>
    <w:rsid w:val="003072A9"/>
    <w:rsid w:val="00312BA0"/>
    <w:rsid w:val="003166BB"/>
    <w:rsid w:val="00316D81"/>
    <w:rsid w:val="003209C2"/>
    <w:rsid w:val="00322442"/>
    <w:rsid w:val="003251E0"/>
    <w:rsid w:val="00332937"/>
    <w:rsid w:val="003332C4"/>
    <w:rsid w:val="00335022"/>
    <w:rsid w:val="003412DF"/>
    <w:rsid w:val="00353767"/>
    <w:rsid w:val="00361673"/>
    <w:rsid w:val="00376C90"/>
    <w:rsid w:val="00381660"/>
    <w:rsid w:val="00383FCF"/>
    <w:rsid w:val="00393891"/>
    <w:rsid w:val="003A2E63"/>
    <w:rsid w:val="003A33FF"/>
    <w:rsid w:val="003A596F"/>
    <w:rsid w:val="003A7B2F"/>
    <w:rsid w:val="003B2918"/>
    <w:rsid w:val="003B4398"/>
    <w:rsid w:val="003B58AA"/>
    <w:rsid w:val="003B7A22"/>
    <w:rsid w:val="003B7AF6"/>
    <w:rsid w:val="003C320A"/>
    <w:rsid w:val="003C6E09"/>
    <w:rsid w:val="003D030A"/>
    <w:rsid w:val="003D13D0"/>
    <w:rsid w:val="003D21C2"/>
    <w:rsid w:val="003E0DB9"/>
    <w:rsid w:val="003E2C15"/>
    <w:rsid w:val="003E6BE8"/>
    <w:rsid w:val="00413B34"/>
    <w:rsid w:val="00423640"/>
    <w:rsid w:val="004256C2"/>
    <w:rsid w:val="00425ADE"/>
    <w:rsid w:val="004313BF"/>
    <w:rsid w:val="004370A6"/>
    <w:rsid w:val="00441563"/>
    <w:rsid w:val="00446E4B"/>
    <w:rsid w:val="00454E8B"/>
    <w:rsid w:val="004623B2"/>
    <w:rsid w:val="00497689"/>
    <w:rsid w:val="004A5FDE"/>
    <w:rsid w:val="004B57A6"/>
    <w:rsid w:val="004B75C0"/>
    <w:rsid w:val="004C0A6D"/>
    <w:rsid w:val="004C26D2"/>
    <w:rsid w:val="004C4E42"/>
    <w:rsid w:val="004E70D8"/>
    <w:rsid w:val="004F13A5"/>
    <w:rsid w:val="004F4E6A"/>
    <w:rsid w:val="004F5E23"/>
    <w:rsid w:val="005018C8"/>
    <w:rsid w:val="00506661"/>
    <w:rsid w:val="00517C62"/>
    <w:rsid w:val="00532F56"/>
    <w:rsid w:val="005426DD"/>
    <w:rsid w:val="00543F4E"/>
    <w:rsid w:val="00551530"/>
    <w:rsid w:val="00565AA8"/>
    <w:rsid w:val="00567628"/>
    <w:rsid w:val="00575367"/>
    <w:rsid w:val="005922AD"/>
    <w:rsid w:val="005970C7"/>
    <w:rsid w:val="00597566"/>
    <w:rsid w:val="005A0AC0"/>
    <w:rsid w:val="005B689B"/>
    <w:rsid w:val="005D0005"/>
    <w:rsid w:val="005D51B6"/>
    <w:rsid w:val="005D54ED"/>
    <w:rsid w:val="0060207D"/>
    <w:rsid w:val="00603ECA"/>
    <w:rsid w:val="006059D0"/>
    <w:rsid w:val="006075EE"/>
    <w:rsid w:val="006122CD"/>
    <w:rsid w:val="006230B0"/>
    <w:rsid w:val="00623898"/>
    <w:rsid w:val="006264D8"/>
    <w:rsid w:val="006318A6"/>
    <w:rsid w:val="006332A1"/>
    <w:rsid w:val="00636ECB"/>
    <w:rsid w:val="00637651"/>
    <w:rsid w:val="00655E24"/>
    <w:rsid w:val="006566F2"/>
    <w:rsid w:val="00657A1D"/>
    <w:rsid w:val="0066160A"/>
    <w:rsid w:val="00664089"/>
    <w:rsid w:val="0066689B"/>
    <w:rsid w:val="00673033"/>
    <w:rsid w:val="006764CD"/>
    <w:rsid w:val="0069010A"/>
    <w:rsid w:val="00697DC3"/>
    <w:rsid w:val="006A4A6F"/>
    <w:rsid w:val="006B6B98"/>
    <w:rsid w:val="006C67D2"/>
    <w:rsid w:val="006D0329"/>
    <w:rsid w:val="006D24EE"/>
    <w:rsid w:val="006E0905"/>
    <w:rsid w:val="006E5C40"/>
    <w:rsid w:val="00703647"/>
    <w:rsid w:val="00757F53"/>
    <w:rsid w:val="00767C3A"/>
    <w:rsid w:val="00772C93"/>
    <w:rsid w:val="0077356B"/>
    <w:rsid w:val="00781102"/>
    <w:rsid w:val="00782700"/>
    <w:rsid w:val="00786AF1"/>
    <w:rsid w:val="00790A62"/>
    <w:rsid w:val="0079491B"/>
    <w:rsid w:val="0079698D"/>
    <w:rsid w:val="007D3C9E"/>
    <w:rsid w:val="007E054A"/>
    <w:rsid w:val="007E1121"/>
    <w:rsid w:val="007E39C9"/>
    <w:rsid w:val="00806F40"/>
    <w:rsid w:val="008115B4"/>
    <w:rsid w:val="0082215E"/>
    <w:rsid w:val="00822276"/>
    <w:rsid w:val="008235E1"/>
    <w:rsid w:val="00850274"/>
    <w:rsid w:val="008650A4"/>
    <w:rsid w:val="00867AEA"/>
    <w:rsid w:val="00874EB9"/>
    <w:rsid w:val="008A1F0D"/>
    <w:rsid w:val="008A29B1"/>
    <w:rsid w:val="008B0B3F"/>
    <w:rsid w:val="008B1AE8"/>
    <w:rsid w:val="008B3285"/>
    <w:rsid w:val="008D026A"/>
    <w:rsid w:val="008D17FB"/>
    <w:rsid w:val="008D305B"/>
    <w:rsid w:val="008D6144"/>
    <w:rsid w:val="008E2B64"/>
    <w:rsid w:val="008E791B"/>
    <w:rsid w:val="008F0DEA"/>
    <w:rsid w:val="008F4E75"/>
    <w:rsid w:val="008F5A3E"/>
    <w:rsid w:val="00903E6E"/>
    <w:rsid w:val="0091332C"/>
    <w:rsid w:val="009164F2"/>
    <w:rsid w:val="00917FB3"/>
    <w:rsid w:val="00960059"/>
    <w:rsid w:val="00960705"/>
    <w:rsid w:val="00964697"/>
    <w:rsid w:val="0096757D"/>
    <w:rsid w:val="0096780E"/>
    <w:rsid w:val="00986E71"/>
    <w:rsid w:val="00990AB9"/>
    <w:rsid w:val="00995095"/>
    <w:rsid w:val="009973FC"/>
    <w:rsid w:val="009A0EC5"/>
    <w:rsid w:val="009A7FBB"/>
    <w:rsid w:val="00A07EE3"/>
    <w:rsid w:val="00A13B54"/>
    <w:rsid w:val="00A15368"/>
    <w:rsid w:val="00A36A12"/>
    <w:rsid w:val="00A44FC5"/>
    <w:rsid w:val="00A50CC4"/>
    <w:rsid w:val="00A50F25"/>
    <w:rsid w:val="00A540D0"/>
    <w:rsid w:val="00A81D75"/>
    <w:rsid w:val="00A84DF2"/>
    <w:rsid w:val="00A852E5"/>
    <w:rsid w:val="00A86EF9"/>
    <w:rsid w:val="00A90FEA"/>
    <w:rsid w:val="00A97206"/>
    <w:rsid w:val="00AA28AA"/>
    <w:rsid w:val="00AB7B63"/>
    <w:rsid w:val="00AC188C"/>
    <w:rsid w:val="00AC55DC"/>
    <w:rsid w:val="00AD5FBE"/>
    <w:rsid w:val="00AE44EE"/>
    <w:rsid w:val="00AF7358"/>
    <w:rsid w:val="00AF7A81"/>
    <w:rsid w:val="00B03E26"/>
    <w:rsid w:val="00B04408"/>
    <w:rsid w:val="00B23D78"/>
    <w:rsid w:val="00B30BE0"/>
    <w:rsid w:val="00B37E95"/>
    <w:rsid w:val="00B51146"/>
    <w:rsid w:val="00B53055"/>
    <w:rsid w:val="00B56DEB"/>
    <w:rsid w:val="00B57E4F"/>
    <w:rsid w:val="00B77837"/>
    <w:rsid w:val="00B86D30"/>
    <w:rsid w:val="00B9472A"/>
    <w:rsid w:val="00BA03CC"/>
    <w:rsid w:val="00BA3572"/>
    <w:rsid w:val="00BA790F"/>
    <w:rsid w:val="00BB60C5"/>
    <w:rsid w:val="00BE11A7"/>
    <w:rsid w:val="00BE2324"/>
    <w:rsid w:val="00C10107"/>
    <w:rsid w:val="00C1287C"/>
    <w:rsid w:val="00C128FD"/>
    <w:rsid w:val="00C1396F"/>
    <w:rsid w:val="00C170E1"/>
    <w:rsid w:val="00C24C93"/>
    <w:rsid w:val="00C31A30"/>
    <w:rsid w:val="00C37179"/>
    <w:rsid w:val="00C645F5"/>
    <w:rsid w:val="00C72ED1"/>
    <w:rsid w:val="00C72EF1"/>
    <w:rsid w:val="00C7646F"/>
    <w:rsid w:val="00C82830"/>
    <w:rsid w:val="00C83EC9"/>
    <w:rsid w:val="00CA73F7"/>
    <w:rsid w:val="00CB0CF3"/>
    <w:rsid w:val="00CB1CAA"/>
    <w:rsid w:val="00CB264B"/>
    <w:rsid w:val="00CB74E9"/>
    <w:rsid w:val="00CC10A0"/>
    <w:rsid w:val="00CC3F9D"/>
    <w:rsid w:val="00CC509F"/>
    <w:rsid w:val="00CD2B42"/>
    <w:rsid w:val="00CE340A"/>
    <w:rsid w:val="00CF5F07"/>
    <w:rsid w:val="00D17FDB"/>
    <w:rsid w:val="00D4043D"/>
    <w:rsid w:val="00D441B7"/>
    <w:rsid w:val="00D52834"/>
    <w:rsid w:val="00D52BC5"/>
    <w:rsid w:val="00D604E7"/>
    <w:rsid w:val="00D64003"/>
    <w:rsid w:val="00D801A7"/>
    <w:rsid w:val="00D97245"/>
    <w:rsid w:val="00DA2E04"/>
    <w:rsid w:val="00DB6FF8"/>
    <w:rsid w:val="00DD04AE"/>
    <w:rsid w:val="00DE6C76"/>
    <w:rsid w:val="00DF26A5"/>
    <w:rsid w:val="00E01B27"/>
    <w:rsid w:val="00E02643"/>
    <w:rsid w:val="00E043A4"/>
    <w:rsid w:val="00E30B25"/>
    <w:rsid w:val="00E32E05"/>
    <w:rsid w:val="00E55F1B"/>
    <w:rsid w:val="00E62524"/>
    <w:rsid w:val="00E719DA"/>
    <w:rsid w:val="00E76AEC"/>
    <w:rsid w:val="00E82367"/>
    <w:rsid w:val="00E94DC6"/>
    <w:rsid w:val="00E96069"/>
    <w:rsid w:val="00E965A8"/>
    <w:rsid w:val="00E97DB7"/>
    <w:rsid w:val="00EA1BA4"/>
    <w:rsid w:val="00EB196B"/>
    <w:rsid w:val="00EC5C49"/>
    <w:rsid w:val="00EC7C77"/>
    <w:rsid w:val="00EE19A4"/>
    <w:rsid w:val="00EF01DD"/>
    <w:rsid w:val="00EF13A0"/>
    <w:rsid w:val="00EF5E50"/>
    <w:rsid w:val="00F1400B"/>
    <w:rsid w:val="00F627E9"/>
    <w:rsid w:val="00F81B26"/>
    <w:rsid w:val="00F85886"/>
    <w:rsid w:val="00F94586"/>
    <w:rsid w:val="00FA1954"/>
    <w:rsid w:val="00FA2143"/>
    <w:rsid w:val="00FD5ECC"/>
    <w:rsid w:val="00FE19F6"/>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A46689"/>
  <w15:docId w15:val="{37603E8B-2EC0-4B6D-8C2D-6CC4B32D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customStyle="1" w:styleId="ColorfulShading-Accent11">
    <w:name w:val="Colorful Shading - Accent 11"/>
    <w:hidden/>
    <w:uiPriority w:val="71"/>
    <w:rsid w:val="00413B34"/>
    <w:rPr>
      <w:sz w:val="24"/>
      <w:szCs w:val="24"/>
      <w:lang w:val="en-US" w:eastAsia="en-US"/>
    </w:rPr>
  </w:style>
  <w:style w:type="paragraph" w:styleId="NormalWeb">
    <w:name w:val="Normal (Web)"/>
    <w:basedOn w:val="Normal"/>
    <w:uiPriority w:val="99"/>
    <w:unhideWhenUsed/>
    <w:rsid w:val="003D21C2"/>
    <w:pPr>
      <w:spacing w:before="100" w:beforeAutospacing="1" w:after="100" w:afterAutospacing="1"/>
    </w:pPr>
    <w:rPr>
      <w:sz w:val="20"/>
      <w:szCs w:val="20"/>
      <w:lang w:val="en-GB"/>
    </w:rPr>
  </w:style>
  <w:style w:type="paragraph" w:styleId="ListParagraph">
    <w:name w:val="List Paragraph"/>
    <w:basedOn w:val="Normal"/>
    <w:uiPriority w:val="34"/>
    <w:qFormat/>
    <w:rsid w:val="00CB74E9"/>
    <w:pPr>
      <w:ind w:left="720"/>
      <w:contextualSpacing/>
    </w:pPr>
  </w:style>
  <w:style w:type="paragraph" w:styleId="Caption">
    <w:name w:val="caption"/>
    <w:basedOn w:val="Normal"/>
    <w:next w:val="Normal"/>
    <w:unhideWhenUsed/>
    <w:qFormat/>
    <w:rsid w:val="00A50F25"/>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3861">
      <w:bodyDiv w:val="1"/>
      <w:marLeft w:val="0"/>
      <w:marRight w:val="0"/>
      <w:marTop w:val="0"/>
      <w:marBottom w:val="0"/>
      <w:divBdr>
        <w:top w:val="none" w:sz="0" w:space="0" w:color="auto"/>
        <w:left w:val="none" w:sz="0" w:space="0" w:color="auto"/>
        <w:bottom w:val="none" w:sz="0" w:space="0" w:color="auto"/>
        <w:right w:val="none" w:sz="0" w:space="0" w:color="auto"/>
      </w:divBdr>
      <w:divsChild>
        <w:div w:id="1197432332">
          <w:marLeft w:val="0"/>
          <w:marRight w:val="0"/>
          <w:marTop w:val="0"/>
          <w:marBottom w:val="0"/>
          <w:divBdr>
            <w:top w:val="none" w:sz="0" w:space="0" w:color="auto"/>
            <w:left w:val="none" w:sz="0" w:space="0" w:color="auto"/>
            <w:bottom w:val="none" w:sz="0" w:space="0" w:color="auto"/>
            <w:right w:val="none" w:sz="0" w:space="0" w:color="auto"/>
          </w:divBdr>
          <w:divsChild>
            <w:div w:id="1865056013">
              <w:marLeft w:val="0"/>
              <w:marRight w:val="0"/>
              <w:marTop w:val="0"/>
              <w:marBottom w:val="0"/>
              <w:divBdr>
                <w:top w:val="none" w:sz="0" w:space="0" w:color="auto"/>
                <w:left w:val="none" w:sz="0" w:space="0" w:color="auto"/>
                <w:bottom w:val="none" w:sz="0" w:space="0" w:color="auto"/>
                <w:right w:val="none" w:sz="0" w:space="0" w:color="auto"/>
              </w:divBdr>
              <w:divsChild>
                <w:div w:id="1705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09">
      <w:bodyDiv w:val="1"/>
      <w:marLeft w:val="0"/>
      <w:marRight w:val="0"/>
      <w:marTop w:val="0"/>
      <w:marBottom w:val="0"/>
      <w:divBdr>
        <w:top w:val="none" w:sz="0" w:space="0" w:color="auto"/>
        <w:left w:val="none" w:sz="0" w:space="0" w:color="auto"/>
        <w:bottom w:val="none" w:sz="0" w:space="0" w:color="auto"/>
        <w:right w:val="none" w:sz="0" w:space="0" w:color="auto"/>
      </w:divBdr>
      <w:divsChild>
        <w:div w:id="1257441856">
          <w:marLeft w:val="0"/>
          <w:marRight w:val="0"/>
          <w:marTop w:val="0"/>
          <w:marBottom w:val="0"/>
          <w:divBdr>
            <w:top w:val="none" w:sz="0" w:space="0" w:color="auto"/>
            <w:left w:val="none" w:sz="0" w:space="0" w:color="auto"/>
            <w:bottom w:val="none" w:sz="0" w:space="0" w:color="auto"/>
            <w:right w:val="none" w:sz="0" w:space="0" w:color="auto"/>
          </w:divBdr>
          <w:divsChild>
            <w:div w:id="176046523">
              <w:marLeft w:val="0"/>
              <w:marRight w:val="0"/>
              <w:marTop w:val="0"/>
              <w:marBottom w:val="0"/>
              <w:divBdr>
                <w:top w:val="none" w:sz="0" w:space="0" w:color="auto"/>
                <w:left w:val="none" w:sz="0" w:space="0" w:color="auto"/>
                <w:bottom w:val="none" w:sz="0" w:space="0" w:color="auto"/>
                <w:right w:val="none" w:sz="0" w:space="0" w:color="auto"/>
              </w:divBdr>
              <w:divsChild>
                <w:div w:id="915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21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3">
          <w:marLeft w:val="0"/>
          <w:marRight w:val="0"/>
          <w:marTop w:val="0"/>
          <w:marBottom w:val="0"/>
          <w:divBdr>
            <w:top w:val="none" w:sz="0" w:space="0" w:color="auto"/>
            <w:left w:val="none" w:sz="0" w:space="0" w:color="auto"/>
            <w:bottom w:val="none" w:sz="0" w:space="0" w:color="auto"/>
            <w:right w:val="none" w:sz="0" w:space="0" w:color="auto"/>
          </w:divBdr>
          <w:divsChild>
            <w:div w:id="1159924318">
              <w:marLeft w:val="0"/>
              <w:marRight w:val="0"/>
              <w:marTop w:val="0"/>
              <w:marBottom w:val="0"/>
              <w:divBdr>
                <w:top w:val="none" w:sz="0" w:space="0" w:color="auto"/>
                <w:left w:val="none" w:sz="0" w:space="0" w:color="auto"/>
                <w:bottom w:val="none" w:sz="0" w:space="0" w:color="auto"/>
                <w:right w:val="none" w:sz="0" w:space="0" w:color="auto"/>
              </w:divBdr>
              <w:divsChild>
                <w:div w:id="334958418">
                  <w:marLeft w:val="0"/>
                  <w:marRight w:val="0"/>
                  <w:marTop w:val="0"/>
                  <w:marBottom w:val="0"/>
                  <w:divBdr>
                    <w:top w:val="none" w:sz="0" w:space="0" w:color="auto"/>
                    <w:left w:val="none" w:sz="0" w:space="0" w:color="auto"/>
                    <w:bottom w:val="none" w:sz="0" w:space="0" w:color="auto"/>
                    <w:right w:val="none" w:sz="0" w:space="0" w:color="auto"/>
                  </w:divBdr>
                  <w:divsChild>
                    <w:div w:id="9905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5537">
      <w:bodyDiv w:val="1"/>
      <w:marLeft w:val="0"/>
      <w:marRight w:val="0"/>
      <w:marTop w:val="0"/>
      <w:marBottom w:val="0"/>
      <w:divBdr>
        <w:top w:val="none" w:sz="0" w:space="0" w:color="auto"/>
        <w:left w:val="none" w:sz="0" w:space="0" w:color="auto"/>
        <w:bottom w:val="none" w:sz="0" w:space="0" w:color="auto"/>
        <w:right w:val="none" w:sz="0" w:space="0" w:color="auto"/>
      </w:divBdr>
      <w:divsChild>
        <w:div w:id="888610220">
          <w:marLeft w:val="0"/>
          <w:marRight w:val="0"/>
          <w:marTop w:val="0"/>
          <w:marBottom w:val="0"/>
          <w:divBdr>
            <w:top w:val="none" w:sz="0" w:space="0" w:color="auto"/>
            <w:left w:val="none" w:sz="0" w:space="0" w:color="auto"/>
            <w:bottom w:val="none" w:sz="0" w:space="0" w:color="auto"/>
            <w:right w:val="none" w:sz="0" w:space="0" w:color="auto"/>
          </w:divBdr>
          <w:divsChild>
            <w:div w:id="453791260">
              <w:marLeft w:val="0"/>
              <w:marRight w:val="0"/>
              <w:marTop w:val="0"/>
              <w:marBottom w:val="0"/>
              <w:divBdr>
                <w:top w:val="none" w:sz="0" w:space="0" w:color="auto"/>
                <w:left w:val="none" w:sz="0" w:space="0" w:color="auto"/>
                <w:bottom w:val="none" w:sz="0" w:space="0" w:color="auto"/>
                <w:right w:val="none" w:sz="0" w:space="0" w:color="auto"/>
              </w:divBdr>
              <w:divsChild>
                <w:div w:id="669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zabika:Dropbox:My%20files:Work:Wetlands%20International:Closed%20projects:1284%20CSR6:Methodology:Generation%20length%20dependent%20threshold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3"/>
          <c:order val="0"/>
          <c:tx>
            <c:strRef>
              <c:f>Sheet6!$F$3</c:f>
              <c:strCache>
                <c:ptCount val="1"/>
                <c:pt idx="0">
                  <c:v>AEWA definition</c:v>
                </c:pt>
              </c:strCache>
            </c:strRef>
          </c:tx>
          <c:spPr>
            <a:ln>
              <a:solidFill>
                <a:schemeClr val="accent6"/>
              </a:solidFill>
              <a:prstDash val="solid"/>
            </a:ln>
          </c:spPr>
          <c:marker>
            <c:symbol val="none"/>
          </c:marker>
          <c:val>
            <c:numRef>
              <c:f>Sheet6!$F$4:$F$28</c:f>
              <c:numCache>
                <c:formatCode>_-* #,##0.0000_-;\-* #,##0.0000_-;_-* "-"??_-;_-@_-</c:formatCode>
                <c:ptCount val="25"/>
                <c:pt idx="0">
                  <c:v>0.98808480191600601</c:v>
                </c:pt>
                <c:pt idx="1">
                  <c:v>0.98808480191600601</c:v>
                </c:pt>
                <c:pt idx="2">
                  <c:v>0.98808480191600601</c:v>
                </c:pt>
                <c:pt idx="3">
                  <c:v>0.99012897014567702</c:v>
                </c:pt>
                <c:pt idx="4">
                  <c:v>0.99214927854426005</c:v>
                </c:pt>
                <c:pt idx="5">
                  <c:v>0.99348309879220698</c:v>
                </c:pt>
                <c:pt idx="6">
                  <c:v>0.99442951336123298</c:v>
                </c:pt>
                <c:pt idx="7">
                  <c:v>0.99513590090147097</c:v>
                </c:pt>
                <c:pt idx="8">
                  <c:v>0.99568329765674501</c:v>
                </c:pt>
                <c:pt idx="9">
                  <c:v>0.99611995134304498</c:v>
                </c:pt>
                <c:pt idx="10">
                  <c:v>0.99647638118659598</c:v>
                </c:pt>
                <c:pt idx="11">
                  <c:v>0.99677283568859298</c:v>
                </c:pt>
                <c:pt idx="12">
                  <c:v>0.99702327787653899</c:v>
                </c:pt>
                <c:pt idx="13">
                  <c:v>0.99723764855987296</c:v>
                </c:pt>
                <c:pt idx="14">
                  <c:v>0.99742321734547301</c:v>
                </c:pt>
                <c:pt idx="15">
                  <c:v>0.99758542338394596</c:v>
                </c:pt>
                <c:pt idx="16">
                  <c:v>0.99772841737701701</c:v>
                </c:pt>
                <c:pt idx="17">
                  <c:v>0.997855421763297</c:v>
                </c:pt>
                <c:pt idx="18">
                  <c:v>0.99796897647398897</c:v>
                </c:pt>
                <c:pt idx="19">
                  <c:v>0.998071110538855</c:v>
                </c:pt>
                <c:pt idx="20">
                  <c:v>0.99816346439403503</c:v>
                </c:pt>
                <c:pt idx="21">
                  <c:v>0.99824737865927804</c:v>
                </c:pt>
                <c:pt idx="22">
                  <c:v>0.99832395964041398</c:v>
                </c:pt>
                <c:pt idx="23">
                  <c:v>0.99839412837798602</c:v>
                </c:pt>
                <c:pt idx="24">
                  <c:v>0.99845865787022003</c:v>
                </c:pt>
              </c:numCache>
            </c:numRef>
          </c:val>
          <c:smooth val="0"/>
          <c:extLst>
            <c:ext xmlns:c16="http://schemas.microsoft.com/office/drawing/2014/chart" uri="{C3380CC4-5D6E-409C-BE32-E72D297353CC}">
              <c16:uniqueId val="{00000000-66DD-4843-8D53-7EE467D77720}"/>
            </c:ext>
          </c:extLst>
        </c:ser>
        <c:ser>
          <c:idx val="5"/>
          <c:order val="1"/>
          <c:tx>
            <c:strRef>
              <c:f>Sheet6!$H$3</c:f>
              <c:strCache>
                <c:ptCount val="1"/>
                <c:pt idx="0">
                  <c:v>European Red List of Birds Declining category</c:v>
                </c:pt>
              </c:strCache>
            </c:strRef>
          </c:tx>
          <c:spPr>
            <a:ln>
              <a:solidFill>
                <a:srgbClr val="3366FF"/>
              </a:solidFill>
            </a:ln>
          </c:spPr>
          <c:marker>
            <c:symbol val="none"/>
          </c:marker>
          <c:val>
            <c:numRef>
              <c:f>Sheet6!$H$4:$H$28</c:f>
              <c:numCache>
                <c:formatCode>_-* #,##0.0000_-;\-* #,##0.0000_-;_-* "-"??_-;_-@_-</c:formatCode>
                <c:ptCount val="25"/>
                <c:pt idx="0">
                  <c:v>0.98836153311574804</c:v>
                </c:pt>
                <c:pt idx="1">
                  <c:v>0.98836153311574804</c:v>
                </c:pt>
                <c:pt idx="2">
                  <c:v>0.98836153311574804</c:v>
                </c:pt>
                <c:pt idx="3">
                  <c:v>0.99046749643128396</c:v>
                </c:pt>
                <c:pt idx="4">
                  <c:v>0.99250249644074695</c:v>
                </c:pt>
                <c:pt idx="5">
                  <c:v>0.99382148859557895</c:v>
                </c:pt>
                <c:pt idx="6">
                  <c:v>0.99474582593053096</c:v>
                </c:pt>
                <c:pt idx="7">
                  <c:v>0.99542958429755601</c:v>
                </c:pt>
                <c:pt idx="8">
                  <c:v>0.99595587207432501</c:v>
                </c:pt>
                <c:pt idx="9">
                  <c:v>0.99637347057000203</c:v>
                </c:pt>
                <c:pt idx="10">
                  <c:v>0.99671289827292497</c:v>
                </c:pt>
                <c:pt idx="11">
                  <c:v>0.99699422596393295</c:v>
                </c:pt>
                <c:pt idx="12">
                  <c:v>0.99723119508165203</c:v>
                </c:pt>
                <c:pt idx="13">
                  <c:v>0.99743353035441995</c:v>
                </c:pt>
                <c:pt idx="14">
                  <c:v>0.99760830749099705</c:v>
                </c:pt>
                <c:pt idx="15">
                  <c:v>0.99776079766322001</c:v>
                </c:pt>
                <c:pt idx="16">
                  <c:v>0.99789500829586297</c:v>
                </c:pt>
                <c:pt idx="17">
                  <c:v>0.99801404037491503</c:v>
                </c:pt>
                <c:pt idx="18">
                  <c:v>0.99812033101498898</c:v>
                </c:pt>
                <c:pt idx="19">
                  <c:v>0.99821582208930404</c:v>
                </c:pt>
                <c:pt idx="20">
                  <c:v>0.99830207994423004</c:v>
                </c:pt>
                <c:pt idx="21">
                  <c:v>0.99838038198902701</c:v>
                </c:pt>
                <c:pt idx="22">
                  <c:v>0.99845178038254001</c:v>
                </c:pt>
                <c:pt idx="23">
                  <c:v>0.99851714958598004</c:v>
                </c:pt>
                <c:pt idx="24">
                  <c:v>0.99857722235704505</c:v>
                </c:pt>
              </c:numCache>
            </c:numRef>
          </c:val>
          <c:smooth val="0"/>
          <c:extLst>
            <c:ext xmlns:c16="http://schemas.microsoft.com/office/drawing/2014/chart" uri="{C3380CC4-5D6E-409C-BE32-E72D297353CC}">
              <c16:uniqueId val="{00000001-66DD-4843-8D53-7EE467D77720}"/>
            </c:ext>
          </c:extLst>
        </c:ser>
        <c:dLbls>
          <c:showLegendKey val="0"/>
          <c:showVal val="0"/>
          <c:showCatName val="0"/>
          <c:showSerName val="0"/>
          <c:showPercent val="0"/>
          <c:showBubbleSize val="0"/>
        </c:dLbls>
        <c:smooth val="0"/>
        <c:axId val="-2094966968"/>
        <c:axId val="-2094951752"/>
      </c:lineChart>
      <c:catAx>
        <c:axId val="-2094966968"/>
        <c:scaling>
          <c:orientation val="minMax"/>
        </c:scaling>
        <c:delete val="0"/>
        <c:axPos val="b"/>
        <c:title>
          <c:tx>
            <c:rich>
              <a:bodyPr/>
              <a:lstStyle/>
              <a:p>
                <a:pPr>
                  <a:defRPr/>
                </a:pPr>
                <a:r>
                  <a:rPr lang="en-US"/>
                  <a:t>Generation length</a:t>
                </a:r>
              </a:p>
            </c:rich>
          </c:tx>
          <c:overlay val="0"/>
        </c:title>
        <c:numFmt formatCode="General" sourceLinked="1"/>
        <c:majorTickMark val="out"/>
        <c:minorTickMark val="none"/>
        <c:tickLblPos val="nextTo"/>
        <c:crossAx val="-2094951752"/>
        <c:crossesAt val="0"/>
        <c:auto val="1"/>
        <c:lblAlgn val="ctr"/>
        <c:lblOffset val="100"/>
        <c:noMultiLvlLbl val="0"/>
      </c:catAx>
      <c:valAx>
        <c:axId val="-2094951752"/>
        <c:scaling>
          <c:orientation val="minMax"/>
        </c:scaling>
        <c:delete val="0"/>
        <c:axPos val="l"/>
        <c:majorGridlines/>
        <c:title>
          <c:tx>
            <c:rich>
              <a:bodyPr rot="-5400000" vert="horz"/>
              <a:lstStyle/>
              <a:p>
                <a:pPr>
                  <a:defRPr/>
                </a:pPr>
                <a:r>
                  <a:rPr lang="en-US"/>
                  <a:t>Multiplicative rate of change</a:t>
                </a:r>
              </a:p>
            </c:rich>
          </c:tx>
          <c:overlay val="0"/>
        </c:title>
        <c:numFmt formatCode="_-* #,##0.0000_-;\-* #,##0.0000_-;_-* &quot;-&quot;??_-;_-@_-" sourceLinked="1"/>
        <c:majorTickMark val="out"/>
        <c:minorTickMark val="none"/>
        <c:tickLblPos val="nextTo"/>
        <c:crossAx val="-2094966968"/>
        <c:crosses val="autoZero"/>
        <c:crossBetween val="between"/>
        <c:majorUnit val="0.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A78B-FF72-4F3D-8B83-9DA5A333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cp:lastModifiedBy>
  <cp:revision>4</cp:revision>
  <cp:lastPrinted>2018-06-01T12:52:00Z</cp:lastPrinted>
  <dcterms:created xsi:type="dcterms:W3CDTF">2018-06-01T08:27:00Z</dcterms:created>
  <dcterms:modified xsi:type="dcterms:W3CDTF">2018-06-01T12:52:00Z</dcterms:modified>
</cp:coreProperties>
</file>