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34" w:rsidRPr="00350434" w:rsidRDefault="00350434" w:rsidP="00DB5B31">
      <w:pPr>
        <w:pStyle w:val="Heading1"/>
        <w:numPr>
          <w:ilvl w:val="0"/>
          <w:numId w:val="0"/>
        </w:numPr>
        <w:tabs>
          <w:tab w:val="left" w:pos="578"/>
          <w:tab w:val="left" w:pos="1157"/>
          <w:tab w:val="left" w:pos="1735"/>
        </w:tabs>
        <w:jc w:val="center"/>
        <w:rPr>
          <w:b w:val="0"/>
          <w:sz w:val="12"/>
          <w:szCs w:val="12"/>
          <w:lang w:val="fr-FR"/>
        </w:rPr>
      </w:pPr>
    </w:p>
    <w:p w:rsidR="00556607" w:rsidRPr="005E28F4" w:rsidRDefault="00556607" w:rsidP="00DB5B31">
      <w:pPr>
        <w:pStyle w:val="Heading1"/>
        <w:numPr>
          <w:ilvl w:val="0"/>
          <w:numId w:val="0"/>
        </w:numPr>
        <w:tabs>
          <w:tab w:val="left" w:pos="578"/>
          <w:tab w:val="left" w:pos="1157"/>
          <w:tab w:val="left" w:pos="1735"/>
        </w:tabs>
        <w:jc w:val="center"/>
        <w:rPr>
          <w:b w:val="0"/>
          <w:lang w:val="fr-FR"/>
        </w:rPr>
      </w:pPr>
      <w:r w:rsidRPr="005E28F4">
        <w:rPr>
          <w:b w:val="0"/>
          <w:lang w:val="fr-FR"/>
        </w:rPr>
        <w:t xml:space="preserve">RÉSOLUTION 6.5 </w:t>
      </w:r>
    </w:p>
    <w:p w:rsidR="00556607" w:rsidRPr="005E28F4" w:rsidRDefault="00556607" w:rsidP="00DB5B31">
      <w:pPr>
        <w:spacing w:after="0" w:line="240" w:lineRule="auto"/>
        <w:jc w:val="both"/>
        <w:rPr>
          <w:sz w:val="24"/>
          <w:szCs w:val="24"/>
          <w:lang w:val="fr-FR"/>
        </w:rPr>
      </w:pPr>
    </w:p>
    <w:p w:rsidR="00556607" w:rsidRPr="005E28F4" w:rsidRDefault="00556607" w:rsidP="00681FD7">
      <w:pPr>
        <w:pStyle w:val="Heading1"/>
        <w:numPr>
          <w:ilvl w:val="0"/>
          <w:numId w:val="0"/>
        </w:numPr>
        <w:tabs>
          <w:tab w:val="left" w:pos="578"/>
          <w:tab w:val="left" w:pos="1157"/>
          <w:tab w:val="left" w:pos="1735"/>
        </w:tabs>
        <w:jc w:val="center"/>
        <w:rPr>
          <w:lang w:val="fr-FR"/>
        </w:rPr>
      </w:pPr>
      <w:r w:rsidRPr="005E28F4">
        <w:rPr>
          <w:lang w:val="fr-FR"/>
        </w:rPr>
        <w:t>RÉVISION ET ADOPTION DES LIGNES DIRECTRICES DE CONSERVATION</w:t>
      </w:r>
    </w:p>
    <w:p w:rsidR="00556607" w:rsidRPr="005E28F4" w:rsidRDefault="00556607" w:rsidP="00961292">
      <w:pPr>
        <w:pStyle w:val="Default"/>
        <w:rPr>
          <w:sz w:val="22"/>
          <w:szCs w:val="22"/>
          <w:lang w:val="fr-FR"/>
        </w:rPr>
      </w:pPr>
    </w:p>
    <w:p w:rsidR="00556607" w:rsidRPr="005E28F4" w:rsidRDefault="005E28F4" w:rsidP="005E28F4">
      <w:pPr>
        <w:pStyle w:val="Default"/>
        <w:tabs>
          <w:tab w:val="left" w:pos="5420"/>
        </w:tabs>
        <w:rPr>
          <w:sz w:val="22"/>
          <w:szCs w:val="22"/>
          <w:lang w:val="fr-FR"/>
        </w:rPr>
      </w:pPr>
      <w:r>
        <w:rPr>
          <w:sz w:val="22"/>
          <w:szCs w:val="22"/>
          <w:lang w:val="fr-FR"/>
        </w:rPr>
        <w:tab/>
      </w:r>
    </w:p>
    <w:p w:rsidR="00556607" w:rsidRPr="005E28F4" w:rsidRDefault="00556607" w:rsidP="006E118E">
      <w:pPr>
        <w:pStyle w:val="CM2"/>
        <w:tabs>
          <w:tab w:val="left" w:pos="4678"/>
        </w:tabs>
        <w:spacing w:line="260" w:lineRule="atLeast"/>
        <w:ind w:right="-1" w:firstLine="720"/>
        <w:jc w:val="both"/>
        <w:rPr>
          <w:color w:val="000000"/>
          <w:sz w:val="22"/>
          <w:szCs w:val="22"/>
          <w:lang w:val="fr-FR"/>
        </w:rPr>
      </w:pPr>
      <w:r w:rsidRPr="005E28F4">
        <w:rPr>
          <w:i/>
          <w:iCs/>
          <w:color w:val="000000"/>
          <w:sz w:val="22"/>
          <w:szCs w:val="22"/>
          <w:lang w:val="fr-FR"/>
        </w:rPr>
        <w:t>Rappelant</w:t>
      </w:r>
      <w:r w:rsidR="000C3823" w:rsidRPr="005E28F4">
        <w:rPr>
          <w:i/>
          <w:iCs/>
          <w:color w:val="000000"/>
          <w:sz w:val="22"/>
          <w:szCs w:val="22"/>
          <w:lang w:val="fr-FR"/>
        </w:rPr>
        <w:t xml:space="preserve"> </w:t>
      </w:r>
      <w:r w:rsidRPr="005E28F4">
        <w:rPr>
          <w:color w:val="000000"/>
          <w:sz w:val="22"/>
          <w:szCs w:val="22"/>
          <w:lang w:val="fr-FR"/>
        </w:rPr>
        <w:t xml:space="preserve">le paragraphe 4 de l’article IV de l’Accord et le paragraphe 7.3 du Plan d’action de l’Accord, qui demandent d’élaborer et de réviser les lignes directrices de </w:t>
      </w:r>
      <w:r w:rsidR="000C3823" w:rsidRPr="005E28F4">
        <w:rPr>
          <w:color w:val="000000"/>
          <w:sz w:val="22"/>
          <w:szCs w:val="22"/>
          <w:lang w:val="fr-FR"/>
        </w:rPr>
        <w:t>conservation fin</w:t>
      </w:r>
      <w:r w:rsidRPr="005E28F4">
        <w:rPr>
          <w:color w:val="000000"/>
          <w:sz w:val="22"/>
          <w:szCs w:val="22"/>
          <w:lang w:val="fr-FR"/>
        </w:rPr>
        <w:t xml:space="preserve"> d’aider les Parties </w:t>
      </w:r>
      <w:r w:rsidR="000C3823" w:rsidRPr="005E28F4">
        <w:rPr>
          <w:color w:val="000000"/>
          <w:sz w:val="22"/>
          <w:szCs w:val="22"/>
          <w:lang w:val="fr-FR"/>
        </w:rPr>
        <w:t>contractantes ans</w:t>
      </w:r>
      <w:r w:rsidRPr="005E28F4">
        <w:rPr>
          <w:color w:val="000000"/>
          <w:sz w:val="22"/>
          <w:szCs w:val="22"/>
          <w:lang w:val="fr-FR"/>
        </w:rPr>
        <w:t xml:space="preserve"> leur mise en œuvre de l’Accord, </w:t>
      </w:r>
    </w:p>
    <w:p w:rsidR="00556607" w:rsidRPr="005E28F4" w:rsidRDefault="00556607" w:rsidP="00961292">
      <w:pPr>
        <w:pStyle w:val="CM2"/>
        <w:spacing w:line="260" w:lineRule="atLeast"/>
        <w:ind w:firstLine="720"/>
        <w:jc w:val="both"/>
        <w:rPr>
          <w:i/>
          <w:iCs/>
          <w:color w:val="000000"/>
          <w:sz w:val="22"/>
          <w:szCs w:val="22"/>
          <w:highlight w:val="yellow"/>
          <w:lang w:val="fr-FR"/>
        </w:rPr>
      </w:pPr>
    </w:p>
    <w:p w:rsidR="00556607" w:rsidRPr="005E28F4" w:rsidRDefault="00556607" w:rsidP="00961292">
      <w:pPr>
        <w:pStyle w:val="CM2"/>
        <w:spacing w:line="260" w:lineRule="atLeast"/>
        <w:ind w:firstLine="720"/>
        <w:jc w:val="both"/>
        <w:rPr>
          <w:color w:val="000000"/>
          <w:sz w:val="22"/>
          <w:szCs w:val="22"/>
          <w:lang w:val="fr-FR"/>
        </w:rPr>
      </w:pPr>
      <w:r w:rsidRPr="005E28F4">
        <w:rPr>
          <w:i/>
          <w:iCs/>
          <w:color w:val="000000"/>
          <w:sz w:val="22"/>
          <w:szCs w:val="22"/>
          <w:lang w:val="fr-FR"/>
        </w:rPr>
        <w:t xml:space="preserve">Rappelant en </w:t>
      </w:r>
      <w:r w:rsidR="000C3823" w:rsidRPr="005E28F4">
        <w:rPr>
          <w:i/>
          <w:iCs/>
          <w:color w:val="000000"/>
          <w:sz w:val="22"/>
          <w:szCs w:val="22"/>
          <w:lang w:val="fr-FR"/>
        </w:rPr>
        <w:t>outre</w:t>
      </w:r>
      <w:r w:rsidR="000C3823" w:rsidRPr="005E28F4">
        <w:rPr>
          <w:color w:val="000000"/>
          <w:sz w:val="22"/>
          <w:szCs w:val="22"/>
          <w:lang w:val="fr-FR"/>
        </w:rPr>
        <w:t xml:space="preserve"> les</w:t>
      </w:r>
      <w:r w:rsidRPr="005E28F4">
        <w:rPr>
          <w:color w:val="000000"/>
          <w:sz w:val="22"/>
          <w:szCs w:val="22"/>
          <w:lang w:val="fr-FR"/>
        </w:rPr>
        <w:t xml:space="preserve"> résolutions 1.10, 2.3, 4.13 et 5.10qui ont adopté 14 lignes directrices de </w:t>
      </w:r>
      <w:r w:rsidR="000C3823" w:rsidRPr="005E28F4">
        <w:rPr>
          <w:color w:val="000000"/>
          <w:sz w:val="22"/>
          <w:szCs w:val="22"/>
          <w:lang w:val="fr-FR"/>
        </w:rPr>
        <w:t>conservation axées</w:t>
      </w:r>
      <w:r w:rsidRPr="005E28F4">
        <w:rPr>
          <w:color w:val="000000"/>
          <w:sz w:val="22"/>
          <w:szCs w:val="22"/>
          <w:lang w:val="fr-FR"/>
        </w:rPr>
        <w:t xml:space="preserve"> sur différents aspects des pratiques de conservation des oiseaux d’eau, </w:t>
      </w:r>
    </w:p>
    <w:p w:rsidR="00556607" w:rsidRPr="005E28F4" w:rsidRDefault="00556607" w:rsidP="00961292">
      <w:pPr>
        <w:pStyle w:val="Default"/>
        <w:rPr>
          <w:sz w:val="22"/>
          <w:szCs w:val="22"/>
          <w:highlight w:val="yellow"/>
          <w:lang w:val="fr-FR"/>
        </w:rPr>
      </w:pPr>
    </w:p>
    <w:p w:rsidR="000858F0" w:rsidRPr="000858F0" w:rsidRDefault="00556607" w:rsidP="000858F0">
      <w:pPr>
        <w:pStyle w:val="CM2"/>
        <w:spacing w:line="260" w:lineRule="atLeast"/>
        <w:ind w:firstLine="720"/>
        <w:jc w:val="both"/>
        <w:rPr>
          <w:color w:val="000000"/>
          <w:sz w:val="22"/>
          <w:szCs w:val="22"/>
          <w:lang w:val="fr-FR"/>
        </w:rPr>
      </w:pPr>
      <w:r w:rsidRPr="005E28F4">
        <w:rPr>
          <w:i/>
          <w:iCs/>
          <w:color w:val="000000"/>
          <w:sz w:val="22"/>
          <w:szCs w:val="22"/>
          <w:lang w:val="fr-FR"/>
        </w:rPr>
        <w:t>Constatant</w:t>
      </w:r>
      <w:r w:rsidR="000C3823" w:rsidRPr="005E28F4">
        <w:rPr>
          <w:i/>
          <w:iCs/>
          <w:color w:val="000000"/>
          <w:sz w:val="22"/>
          <w:szCs w:val="22"/>
          <w:lang w:val="fr-FR"/>
        </w:rPr>
        <w:t xml:space="preserve"> </w:t>
      </w:r>
      <w:r w:rsidRPr="005E28F4">
        <w:rPr>
          <w:color w:val="000000"/>
          <w:sz w:val="22"/>
          <w:szCs w:val="22"/>
          <w:lang w:val="fr-FR"/>
        </w:rPr>
        <w:t>que même si ces lignes directrices de conservation ne sont pas juridiquement contraignantes, elles fournissent un cadre commun pour des actions, qui favorise la mise en œuvre cohérente de l’Accord par les Parties contractantes à l’Accord, ainsi que par les autres</w:t>
      </w:r>
      <w:r w:rsidR="000C3823" w:rsidRPr="005E28F4">
        <w:rPr>
          <w:color w:val="000000"/>
          <w:sz w:val="22"/>
          <w:szCs w:val="22"/>
          <w:lang w:val="fr-FR"/>
        </w:rPr>
        <w:t xml:space="preserve"> </w:t>
      </w:r>
      <w:r w:rsidRPr="005E28F4">
        <w:rPr>
          <w:color w:val="000000"/>
          <w:sz w:val="22"/>
          <w:szCs w:val="22"/>
          <w:lang w:val="fr-FR"/>
        </w:rPr>
        <w:t>États de l’aire de répartition</w:t>
      </w:r>
      <w:r w:rsidR="000C3823" w:rsidRPr="005E28F4">
        <w:rPr>
          <w:color w:val="000000"/>
          <w:sz w:val="22"/>
          <w:szCs w:val="22"/>
          <w:lang w:val="fr-FR"/>
        </w:rPr>
        <w:t xml:space="preserve"> </w:t>
      </w:r>
      <w:r w:rsidRPr="005E28F4">
        <w:rPr>
          <w:color w:val="000000"/>
          <w:sz w:val="22"/>
          <w:szCs w:val="22"/>
          <w:lang w:val="fr-FR"/>
        </w:rPr>
        <w:t>et les parties intéressées</w:t>
      </w:r>
      <w:r w:rsidR="000858F0" w:rsidRPr="000858F0">
        <w:rPr>
          <w:color w:val="000000"/>
          <w:sz w:val="22"/>
          <w:szCs w:val="22"/>
          <w:lang w:val="fr-FR"/>
        </w:rPr>
        <w:t xml:space="preserve">, </w:t>
      </w:r>
      <w:r w:rsidR="000858F0" w:rsidRPr="000858F0">
        <w:rPr>
          <w:rStyle w:val="hps"/>
          <w:sz w:val="22"/>
          <w:szCs w:val="22"/>
          <w:lang w:val="fr-FR"/>
        </w:rPr>
        <w:t>et qu'il</w:t>
      </w:r>
      <w:r w:rsidR="000858F0" w:rsidRPr="000858F0">
        <w:rPr>
          <w:sz w:val="22"/>
          <w:szCs w:val="22"/>
          <w:lang w:val="fr-FR"/>
        </w:rPr>
        <w:t xml:space="preserve"> </w:t>
      </w:r>
      <w:r w:rsidR="000858F0" w:rsidRPr="000858F0">
        <w:rPr>
          <w:rStyle w:val="hps"/>
          <w:sz w:val="22"/>
          <w:szCs w:val="22"/>
          <w:lang w:val="fr-FR"/>
        </w:rPr>
        <w:t>appartient à chaque Partie de déterminer</w:t>
      </w:r>
      <w:r w:rsidR="000858F0" w:rsidRPr="000858F0">
        <w:rPr>
          <w:sz w:val="22"/>
          <w:szCs w:val="22"/>
          <w:lang w:val="fr-FR"/>
        </w:rPr>
        <w:t xml:space="preserve"> </w:t>
      </w:r>
      <w:r w:rsidR="000858F0" w:rsidRPr="000858F0">
        <w:rPr>
          <w:rStyle w:val="hps"/>
          <w:sz w:val="22"/>
          <w:szCs w:val="22"/>
          <w:lang w:val="fr-FR"/>
        </w:rPr>
        <w:t xml:space="preserve">si oui </w:t>
      </w:r>
      <w:r w:rsidR="00D82024">
        <w:rPr>
          <w:rStyle w:val="hps"/>
          <w:sz w:val="22"/>
          <w:szCs w:val="22"/>
          <w:lang w:val="fr-FR"/>
        </w:rPr>
        <w:t>et</w:t>
      </w:r>
      <w:r w:rsidR="000858F0" w:rsidRPr="000858F0">
        <w:rPr>
          <w:sz w:val="22"/>
          <w:szCs w:val="22"/>
          <w:lang w:val="fr-FR"/>
        </w:rPr>
        <w:t xml:space="preserve"> </w:t>
      </w:r>
      <w:r w:rsidR="000858F0" w:rsidRPr="000858F0">
        <w:rPr>
          <w:rStyle w:val="hps"/>
          <w:sz w:val="22"/>
          <w:szCs w:val="22"/>
          <w:lang w:val="fr-FR"/>
        </w:rPr>
        <w:t>comment mettre en œuvre</w:t>
      </w:r>
      <w:r w:rsidR="000858F0" w:rsidRPr="000858F0">
        <w:rPr>
          <w:sz w:val="22"/>
          <w:szCs w:val="22"/>
          <w:lang w:val="fr-FR"/>
        </w:rPr>
        <w:t xml:space="preserve"> </w:t>
      </w:r>
      <w:r w:rsidR="000858F0" w:rsidRPr="000858F0">
        <w:rPr>
          <w:rStyle w:val="hps"/>
          <w:sz w:val="22"/>
          <w:szCs w:val="22"/>
          <w:lang w:val="fr-FR"/>
        </w:rPr>
        <w:t>les directives</w:t>
      </w:r>
      <w:r w:rsidR="000858F0" w:rsidRPr="000858F0">
        <w:rPr>
          <w:sz w:val="22"/>
          <w:szCs w:val="22"/>
          <w:lang w:val="fr-FR"/>
        </w:rPr>
        <w:t xml:space="preserve"> </w:t>
      </w:r>
      <w:r w:rsidR="000858F0" w:rsidRPr="000858F0">
        <w:rPr>
          <w:rStyle w:val="hps"/>
          <w:sz w:val="22"/>
          <w:szCs w:val="22"/>
          <w:lang w:val="fr-FR"/>
        </w:rPr>
        <w:t>recommandées</w:t>
      </w:r>
      <w:r w:rsidR="000858F0" w:rsidRPr="000858F0">
        <w:rPr>
          <w:sz w:val="22"/>
          <w:szCs w:val="22"/>
          <w:lang w:val="fr-FR"/>
        </w:rPr>
        <w:t xml:space="preserve">, </w:t>
      </w:r>
      <w:r w:rsidR="000858F0" w:rsidRPr="000858F0">
        <w:rPr>
          <w:rStyle w:val="hps"/>
          <w:sz w:val="22"/>
          <w:szCs w:val="22"/>
          <w:lang w:val="fr-FR"/>
        </w:rPr>
        <w:t>tout en</w:t>
      </w:r>
      <w:r w:rsidR="000858F0" w:rsidRPr="000858F0">
        <w:rPr>
          <w:sz w:val="22"/>
          <w:szCs w:val="22"/>
          <w:lang w:val="fr-FR"/>
        </w:rPr>
        <w:t xml:space="preserve"> </w:t>
      </w:r>
      <w:r w:rsidR="000858F0" w:rsidRPr="000858F0">
        <w:rPr>
          <w:rStyle w:val="hps"/>
          <w:sz w:val="22"/>
          <w:szCs w:val="22"/>
          <w:lang w:val="fr-FR"/>
        </w:rPr>
        <w:t>tenant compte de leurs</w:t>
      </w:r>
      <w:r w:rsidR="000858F0" w:rsidRPr="000858F0">
        <w:rPr>
          <w:sz w:val="22"/>
          <w:szCs w:val="22"/>
          <w:lang w:val="fr-FR"/>
        </w:rPr>
        <w:t xml:space="preserve"> </w:t>
      </w:r>
      <w:r w:rsidR="000858F0" w:rsidRPr="000858F0">
        <w:rPr>
          <w:rStyle w:val="hps"/>
          <w:sz w:val="22"/>
          <w:szCs w:val="22"/>
          <w:lang w:val="fr-FR"/>
        </w:rPr>
        <w:t>obligations et engagements internationaux</w:t>
      </w:r>
      <w:r w:rsidR="000858F0">
        <w:rPr>
          <w:sz w:val="22"/>
          <w:szCs w:val="22"/>
          <w:lang w:val="fr-FR"/>
        </w:rPr>
        <w:t>,</w:t>
      </w:r>
    </w:p>
    <w:p w:rsidR="00556607" w:rsidRPr="005E28F4" w:rsidRDefault="00556607" w:rsidP="00961292">
      <w:pPr>
        <w:pStyle w:val="CM2"/>
        <w:spacing w:line="260" w:lineRule="atLeast"/>
        <w:jc w:val="both"/>
        <w:rPr>
          <w:i/>
          <w:iCs/>
          <w:color w:val="000000"/>
          <w:sz w:val="22"/>
          <w:szCs w:val="22"/>
          <w:highlight w:val="yellow"/>
          <w:lang w:val="fr-FR"/>
        </w:rPr>
      </w:pPr>
    </w:p>
    <w:p w:rsidR="00556607" w:rsidRPr="005E28F4" w:rsidRDefault="00556607" w:rsidP="00961292">
      <w:pPr>
        <w:pStyle w:val="CM2"/>
        <w:spacing w:line="260" w:lineRule="atLeast"/>
        <w:ind w:firstLine="720"/>
        <w:jc w:val="both"/>
        <w:rPr>
          <w:color w:val="000000"/>
          <w:sz w:val="22"/>
          <w:szCs w:val="22"/>
          <w:lang w:val="fr-FR"/>
        </w:rPr>
      </w:pPr>
      <w:r w:rsidRPr="005E28F4">
        <w:rPr>
          <w:i/>
          <w:color w:val="000000"/>
          <w:sz w:val="22"/>
          <w:szCs w:val="22"/>
          <w:lang w:val="fr-FR"/>
        </w:rPr>
        <w:t>Rappelant</w:t>
      </w:r>
      <w:r w:rsidRPr="005E28F4">
        <w:rPr>
          <w:color w:val="000000"/>
          <w:sz w:val="22"/>
          <w:szCs w:val="22"/>
          <w:lang w:val="fr-FR"/>
        </w:rPr>
        <w:t xml:space="preserve"> la demande faite</w:t>
      </w:r>
      <w:r w:rsidR="000C3823" w:rsidRPr="005E28F4">
        <w:rPr>
          <w:color w:val="000000"/>
          <w:sz w:val="22"/>
          <w:szCs w:val="22"/>
          <w:lang w:val="fr-FR"/>
        </w:rPr>
        <w:t xml:space="preserve"> </w:t>
      </w:r>
      <w:r w:rsidRPr="005E28F4">
        <w:rPr>
          <w:color w:val="000000"/>
          <w:sz w:val="22"/>
          <w:szCs w:val="22"/>
          <w:lang w:val="fr-FR"/>
        </w:rPr>
        <w:t>au Comité technique</w:t>
      </w:r>
      <w:r w:rsidR="000C3823" w:rsidRPr="005E28F4">
        <w:rPr>
          <w:color w:val="000000"/>
          <w:sz w:val="22"/>
          <w:szCs w:val="22"/>
          <w:lang w:val="fr-FR"/>
        </w:rPr>
        <w:t xml:space="preserve"> </w:t>
      </w:r>
      <w:r w:rsidRPr="005E28F4">
        <w:rPr>
          <w:color w:val="000000"/>
          <w:sz w:val="22"/>
          <w:szCs w:val="22"/>
          <w:lang w:val="fr-FR"/>
        </w:rPr>
        <w:t>par la MOP5 d’effectuer une révision fondamentale du modèle de lignes directrices de conservation de l’AEWA, de sorte que ces</w:t>
      </w:r>
      <w:r w:rsidR="000C3823" w:rsidRPr="005E28F4">
        <w:rPr>
          <w:color w:val="000000"/>
          <w:sz w:val="22"/>
          <w:szCs w:val="22"/>
          <w:lang w:val="fr-FR"/>
        </w:rPr>
        <w:t xml:space="preserve"> </w:t>
      </w:r>
      <w:r w:rsidRPr="005E28F4">
        <w:rPr>
          <w:color w:val="000000"/>
          <w:sz w:val="22"/>
          <w:szCs w:val="22"/>
          <w:lang w:val="fr-FR"/>
        </w:rPr>
        <w:t>informations soient faciles à comprendre</w:t>
      </w:r>
      <w:r w:rsidR="000C3823" w:rsidRPr="005E28F4">
        <w:rPr>
          <w:color w:val="000000"/>
          <w:sz w:val="22"/>
          <w:szCs w:val="22"/>
          <w:lang w:val="fr-FR"/>
        </w:rPr>
        <w:t xml:space="preserve"> </w:t>
      </w:r>
      <w:r w:rsidRPr="005E28F4">
        <w:rPr>
          <w:color w:val="000000"/>
          <w:sz w:val="22"/>
          <w:szCs w:val="22"/>
          <w:lang w:val="fr-FR"/>
        </w:rPr>
        <w:t>et à accéder par les Parties contractantes</w:t>
      </w:r>
      <w:r w:rsidR="000C3823" w:rsidRPr="005E28F4">
        <w:rPr>
          <w:color w:val="000000"/>
          <w:sz w:val="22"/>
          <w:szCs w:val="22"/>
          <w:lang w:val="fr-FR"/>
        </w:rPr>
        <w:t xml:space="preserve"> </w:t>
      </w:r>
      <w:r w:rsidRPr="005E28F4">
        <w:rPr>
          <w:color w:val="000000"/>
          <w:sz w:val="22"/>
          <w:szCs w:val="22"/>
          <w:lang w:val="fr-FR"/>
        </w:rPr>
        <w:t>et d’autres parties prenantes et qu’elles soient présentées d’une façon qui utilise au mieux les nouvelles technologies de communication,</w:t>
      </w:r>
    </w:p>
    <w:p w:rsidR="00556607" w:rsidRPr="005E28F4" w:rsidRDefault="00556607" w:rsidP="00961292">
      <w:pPr>
        <w:pStyle w:val="Default"/>
        <w:rPr>
          <w:highlight w:val="yellow"/>
          <w:lang w:val="fr-FR"/>
        </w:rPr>
      </w:pPr>
    </w:p>
    <w:p w:rsidR="00556607" w:rsidRPr="005E28F4" w:rsidRDefault="00556607" w:rsidP="00961292">
      <w:pPr>
        <w:pStyle w:val="CM2"/>
        <w:spacing w:line="260" w:lineRule="atLeast"/>
        <w:ind w:firstLine="720"/>
        <w:jc w:val="both"/>
        <w:rPr>
          <w:color w:val="000000"/>
          <w:sz w:val="22"/>
          <w:szCs w:val="22"/>
          <w:lang w:val="fr-FR"/>
        </w:rPr>
      </w:pPr>
      <w:r w:rsidRPr="005E28F4">
        <w:rPr>
          <w:i/>
          <w:iCs/>
          <w:color w:val="000000"/>
          <w:sz w:val="22"/>
          <w:szCs w:val="22"/>
          <w:lang w:val="fr-FR"/>
        </w:rPr>
        <w:t>Rappelant aussi</w:t>
      </w:r>
      <w:r w:rsidR="000C3823" w:rsidRPr="005E28F4">
        <w:rPr>
          <w:i/>
          <w:iCs/>
          <w:color w:val="000000"/>
          <w:sz w:val="22"/>
          <w:szCs w:val="22"/>
          <w:lang w:val="fr-FR"/>
        </w:rPr>
        <w:t xml:space="preserve"> </w:t>
      </w:r>
      <w:r w:rsidRPr="005E28F4">
        <w:rPr>
          <w:color w:val="000000"/>
          <w:sz w:val="22"/>
          <w:szCs w:val="22"/>
          <w:lang w:val="fr-FR"/>
        </w:rPr>
        <w:t>le potentiel d’élaboration d’orientations conjointes avec d’autres organes, sur des questions qui constituent une préoccupation commune, y compris avec la Convention sur les espèces migratrices (CMS), le Mémorandum d’entente de la CMS sur la conservation des oiseaux de proie migrateurs d’Afrique et d’Eurasie (</w:t>
      </w:r>
      <w:proofErr w:type="spellStart"/>
      <w:r w:rsidRPr="005E28F4">
        <w:rPr>
          <w:color w:val="000000"/>
          <w:sz w:val="22"/>
          <w:szCs w:val="22"/>
          <w:lang w:val="fr-FR"/>
        </w:rPr>
        <w:t>MdE</w:t>
      </w:r>
      <w:proofErr w:type="spellEnd"/>
      <w:r w:rsidRPr="005E28F4">
        <w:rPr>
          <w:color w:val="000000"/>
          <w:sz w:val="22"/>
          <w:szCs w:val="22"/>
          <w:lang w:val="fr-FR"/>
        </w:rPr>
        <w:t xml:space="preserve"> Rapaces) et la Convention de </w:t>
      </w:r>
      <w:proofErr w:type="spellStart"/>
      <w:r w:rsidRPr="005E28F4">
        <w:rPr>
          <w:color w:val="000000"/>
          <w:sz w:val="22"/>
          <w:szCs w:val="22"/>
          <w:lang w:val="fr-FR"/>
        </w:rPr>
        <w:t>Ramsar</w:t>
      </w:r>
      <w:proofErr w:type="spellEnd"/>
      <w:r w:rsidRPr="005E28F4">
        <w:rPr>
          <w:color w:val="000000"/>
          <w:sz w:val="22"/>
          <w:szCs w:val="22"/>
          <w:lang w:val="fr-FR"/>
        </w:rPr>
        <w:t xml:space="preserve">, </w:t>
      </w:r>
    </w:p>
    <w:p w:rsidR="00556607" w:rsidRPr="005E28F4" w:rsidRDefault="00556607" w:rsidP="00961292">
      <w:pPr>
        <w:pStyle w:val="CM2"/>
        <w:spacing w:line="260" w:lineRule="atLeast"/>
        <w:jc w:val="both"/>
        <w:rPr>
          <w:i/>
          <w:iCs/>
          <w:color w:val="000000"/>
          <w:sz w:val="22"/>
          <w:szCs w:val="22"/>
          <w:highlight w:val="yellow"/>
          <w:lang w:val="fr-FR"/>
        </w:rPr>
      </w:pPr>
    </w:p>
    <w:p w:rsidR="00556607" w:rsidRPr="005E28F4" w:rsidRDefault="00556607" w:rsidP="00961292">
      <w:pPr>
        <w:pStyle w:val="Default"/>
        <w:jc w:val="both"/>
        <w:rPr>
          <w:rFonts w:ascii="Times New Roman" w:eastAsia="Times New Roman" w:hAnsi="Times New Roman"/>
          <w:sz w:val="22"/>
          <w:szCs w:val="22"/>
          <w:lang w:val="fr-FR"/>
        </w:rPr>
      </w:pPr>
      <w:r w:rsidRPr="005E28F4">
        <w:rPr>
          <w:sz w:val="22"/>
          <w:szCs w:val="22"/>
          <w:lang w:val="fr-FR"/>
        </w:rPr>
        <w:tab/>
      </w:r>
      <w:r w:rsidRPr="005E28F4">
        <w:rPr>
          <w:rFonts w:ascii="Times New Roman" w:eastAsia="Times New Roman" w:hAnsi="Times New Roman"/>
          <w:i/>
          <w:sz w:val="22"/>
          <w:szCs w:val="22"/>
          <w:lang w:val="fr-FR"/>
        </w:rPr>
        <w:t>Reconnaissant</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l’</w:t>
      </w:r>
      <w:r w:rsidR="000C3823" w:rsidRPr="005E28F4">
        <w:rPr>
          <w:rFonts w:ascii="Times New Roman" w:eastAsia="Times New Roman" w:hAnsi="Times New Roman"/>
          <w:sz w:val="22"/>
          <w:szCs w:val="22"/>
          <w:lang w:val="fr-FR"/>
        </w:rPr>
        <w:t>appui financier</w:t>
      </w:r>
      <w:r w:rsidRPr="005E28F4">
        <w:rPr>
          <w:rFonts w:ascii="Times New Roman" w:eastAsia="Times New Roman" w:hAnsi="Times New Roman"/>
          <w:sz w:val="22"/>
          <w:szCs w:val="22"/>
          <w:lang w:val="fr-FR"/>
        </w:rPr>
        <w:t xml:space="preserve"> et en nature fourni par les Gouvernements allemand, norvégien et tchèque, </w:t>
      </w:r>
      <w:proofErr w:type="spellStart"/>
      <w:r w:rsidRPr="005E28F4">
        <w:rPr>
          <w:rFonts w:ascii="Times New Roman" w:eastAsia="Times New Roman" w:hAnsi="Times New Roman"/>
          <w:sz w:val="22"/>
          <w:szCs w:val="22"/>
          <w:lang w:val="fr-FR"/>
        </w:rPr>
        <w:t>BirdLife</w:t>
      </w:r>
      <w:proofErr w:type="spellEnd"/>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 xml:space="preserve">International dans le cadre du projet du PNUE/FEM sur les oiseaux planeurs migrateurs, l’Université d’Aarhus, l’Association des chasseurs  </w:t>
      </w:r>
      <w:r w:rsidR="000C3823" w:rsidRPr="005E28F4">
        <w:rPr>
          <w:rFonts w:ascii="Times New Roman" w:eastAsia="Times New Roman" w:hAnsi="Times New Roman"/>
          <w:sz w:val="22"/>
          <w:szCs w:val="22"/>
          <w:lang w:val="fr-FR"/>
        </w:rPr>
        <w:t>danois, la</w:t>
      </w:r>
      <w:r w:rsidRPr="005E28F4">
        <w:rPr>
          <w:rFonts w:ascii="Times New Roman" w:eastAsia="Times New Roman" w:hAnsi="Times New Roman"/>
          <w:sz w:val="22"/>
          <w:szCs w:val="22"/>
          <w:lang w:val="fr-FR"/>
        </w:rPr>
        <w:t xml:space="preserve"> Fondation François Sommer pour la chasse et la nature, et le Centre de droit de l’environnement de l’UICN (IUCN-ELC),qui a permis la révision des lignes directrices adoptées antérieurement et l’élaboration de nouvelles lignes directrices.</w:t>
      </w:r>
    </w:p>
    <w:p w:rsidR="00556607" w:rsidRPr="005E28F4" w:rsidRDefault="00556607" w:rsidP="00961292">
      <w:pPr>
        <w:pStyle w:val="Default"/>
        <w:jc w:val="both"/>
        <w:rPr>
          <w:sz w:val="22"/>
          <w:szCs w:val="22"/>
          <w:highlight w:val="yellow"/>
          <w:lang w:val="fr-FR"/>
        </w:rPr>
      </w:pPr>
    </w:p>
    <w:p w:rsidR="00556607" w:rsidRPr="005E28F4" w:rsidRDefault="00556607" w:rsidP="00961292">
      <w:pPr>
        <w:pStyle w:val="Default"/>
        <w:jc w:val="both"/>
        <w:rPr>
          <w:sz w:val="22"/>
          <w:szCs w:val="22"/>
          <w:highlight w:val="yellow"/>
          <w:lang w:val="fr-FR"/>
        </w:rPr>
      </w:pPr>
    </w:p>
    <w:p w:rsidR="00556607" w:rsidRPr="008713D1" w:rsidRDefault="00556607" w:rsidP="00961292">
      <w:pPr>
        <w:pStyle w:val="Default"/>
        <w:jc w:val="both"/>
        <w:rPr>
          <w:rFonts w:ascii="Times New Roman" w:eastAsia="Times New Roman" w:hAnsi="Times New Roman"/>
          <w:i/>
          <w:sz w:val="22"/>
          <w:szCs w:val="22"/>
          <w:lang w:val="fr-FR"/>
        </w:rPr>
      </w:pPr>
      <w:r w:rsidRPr="008713D1">
        <w:rPr>
          <w:rFonts w:ascii="Times New Roman" w:eastAsia="Times New Roman" w:hAnsi="Times New Roman"/>
          <w:i/>
          <w:sz w:val="22"/>
          <w:szCs w:val="22"/>
          <w:lang w:val="fr-FR"/>
        </w:rPr>
        <w:t>La Réunion des Parties:</w:t>
      </w:r>
    </w:p>
    <w:p w:rsidR="00556607" w:rsidRPr="005E28F4" w:rsidRDefault="00556607" w:rsidP="00961292">
      <w:pPr>
        <w:pStyle w:val="Default"/>
        <w:jc w:val="both"/>
        <w:rPr>
          <w:rFonts w:ascii="Times New Roman" w:eastAsia="Times New Roman" w:hAnsi="Times New Roman"/>
          <w:sz w:val="22"/>
          <w:szCs w:val="22"/>
          <w:lang w:val="fr-FR"/>
        </w:rPr>
      </w:pPr>
    </w:p>
    <w:p w:rsidR="00556607" w:rsidRPr="005E28F4" w:rsidRDefault="00556607" w:rsidP="00961292">
      <w:pPr>
        <w:pStyle w:val="Default"/>
        <w:jc w:val="both"/>
        <w:rPr>
          <w:rFonts w:ascii="Times New Roman" w:eastAsia="Times New Roman" w:hAnsi="Times New Roman"/>
          <w:sz w:val="22"/>
          <w:szCs w:val="22"/>
          <w:lang w:val="fr-FR"/>
        </w:rPr>
      </w:pPr>
      <w:r w:rsidRPr="005E28F4">
        <w:rPr>
          <w:rFonts w:ascii="Times New Roman" w:eastAsia="Times New Roman" w:hAnsi="Times New Roman"/>
          <w:sz w:val="22"/>
          <w:szCs w:val="22"/>
          <w:lang w:val="fr-FR"/>
        </w:rPr>
        <w:t>1.</w:t>
      </w:r>
      <w:r w:rsidRPr="005E28F4">
        <w:rPr>
          <w:rFonts w:ascii="Times New Roman" w:eastAsia="Times New Roman" w:hAnsi="Times New Roman"/>
          <w:sz w:val="22"/>
          <w:szCs w:val="22"/>
          <w:lang w:val="fr-FR"/>
        </w:rPr>
        <w:tab/>
      </w:r>
      <w:r w:rsidRPr="005E28F4">
        <w:rPr>
          <w:rFonts w:ascii="Times New Roman" w:eastAsia="Times New Roman" w:hAnsi="Times New Roman"/>
          <w:i/>
          <w:sz w:val="22"/>
          <w:szCs w:val="22"/>
          <w:lang w:val="fr-FR"/>
        </w:rPr>
        <w:t>Adopte</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 xml:space="preserve">les lignes directrices de conservation suivantes, nouvellement élaborées et révisées : </w:t>
      </w:r>
    </w:p>
    <w:p w:rsidR="00556607" w:rsidRPr="005E28F4" w:rsidRDefault="00556607" w:rsidP="00961292">
      <w:pPr>
        <w:pStyle w:val="Default"/>
        <w:jc w:val="both"/>
        <w:rPr>
          <w:rFonts w:ascii="Times New Roman" w:eastAsia="Times New Roman" w:hAnsi="Times New Roman"/>
          <w:sz w:val="22"/>
          <w:szCs w:val="22"/>
          <w:lang w:val="fr-FR"/>
        </w:rPr>
      </w:pPr>
    </w:p>
    <w:p w:rsidR="00556607" w:rsidRPr="005E28F4" w:rsidRDefault="00556607" w:rsidP="004D2B23">
      <w:pPr>
        <w:pStyle w:val="Default"/>
        <w:numPr>
          <w:ilvl w:val="0"/>
          <w:numId w:val="27"/>
        </w:numPr>
        <w:jc w:val="both"/>
        <w:rPr>
          <w:rFonts w:ascii="Times New Roman" w:eastAsia="Times New Roman" w:hAnsi="Times New Roman"/>
          <w:sz w:val="22"/>
          <w:szCs w:val="22"/>
          <w:lang w:val="fr-FR"/>
        </w:rPr>
      </w:pPr>
      <w:r w:rsidRPr="005E28F4">
        <w:rPr>
          <w:rFonts w:ascii="Times New Roman" w:eastAsia="Times New Roman" w:hAnsi="Times New Roman"/>
          <w:sz w:val="22"/>
          <w:szCs w:val="22"/>
          <w:lang w:val="fr-FR"/>
        </w:rPr>
        <w:t>Lignes directrices relatives à la législation nationale pour la protection des espèces d’oiseaux d’eau migrateurs et de leurs habitats (document AEWA/MOP 6.35)</w:t>
      </w:r>
      <w:r w:rsidR="005E28F4">
        <w:rPr>
          <w:rFonts w:ascii="Times New Roman" w:eastAsia="Times New Roman" w:hAnsi="Times New Roman"/>
          <w:sz w:val="22"/>
          <w:szCs w:val="22"/>
          <w:lang w:val="fr-FR"/>
        </w:rPr>
        <w:t> ;</w:t>
      </w:r>
      <w:r w:rsidRPr="005E28F4">
        <w:rPr>
          <w:rFonts w:ascii="Times New Roman" w:eastAsia="Times New Roman" w:hAnsi="Times New Roman"/>
          <w:sz w:val="22"/>
          <w:szCs w:val="22"/>
          <w:lang w:val="fr-FR"/>
        </w:rPr>
        <w:t xml:space="preserve"> </w:t>
      </w:r>
    </w:p>
    <w:p w:rsidR="00556607" w:rsidRPr="005E28F4" w:rsidRDefault="00556607" w:rsidP="004D2B23">
      <w:pPr>
        <w:pStyle w:val="Default"/>
        <w:ind w:left="1440"/>
        <w:jc w:val="both"/>
        <w:rPr>
          <w:rFonts w:ascii="Times New Roman" w:eastAsia="Times New Roman" w:hAnsi="Times New Roman"/>
          <w:sz w:val="22"/>
          <w:szCs w:val="22"/>
          <w:lang w:val="fr-FR"/>
        </w:rPr>
      </w:pPr>
    </w:p>
    <w:p w:rsidR="00556607" w:rsidRPr="005E28F4" w:rsidRDefault="00556607" w:rsidP="004D2B23">
      <w:pPr>
        <w:pStyle w:val="Default"/>
        <w:numPr>
          <w:ilvl w:val="0"/>
          <w:numId w:val="27"/>
        </w:numPr>
        <w:jc w:val="both"/>
        <w:rPr>
          <w:rFonts w:ascii="Times New Roman" w:eastAsia="Times New Roman" w:hAnsi="Times New Roman"/>
          <w:sz w:val="22"/>
          <w:szCs w:val="22"/>
          <w:lang w:val="fr-FR"/>
        </w:rPr>
      </w:pPr>
      <w:r w:rsidRPr="005E28F4">
        <w:rPr>
          <w:rFonts w:ascii="Times New Roman" w:eastAsia="Times New Roman" w:hAnsi="Times New Roman"/>
          <w:sz w:val="22"/>
          <w:szCs w:val="22"/>
          <w:lang w:val="fr-FR"/>
        </w:rPr>
        <w:t>Lignes directrices sur le prélèvement durable des oiseaux d’eau migrateurs (document AEWA/MOP 6.36) ;</w:t>
      </w:r>
    </w:p>
    <w:p w:rsidR="00556607" w:rsidRPr="005E28F4" w:rsidRDefault="00556607" w:rsidP="004D2B23">
      <w:pPr>
        <w:pStyle w:val="Default"/>
        <w:ind w:left="1440"/>
        <w:jc w:val="both"/>
        <w:rPr>
          <w:rFonts w:ascii="Times New Roman" w:eastAsia="Times New Roman" w:hAnsi="Times New Roman"/>
          <w:sz w:val="22"/>
          <w:szCs w:val="22"/>
          <w:lang w:val="fr-FR"/>
        </w:rPr>
      </w:pPr>
    </w:p>
    <w:p w:rsidR="00556607" w:rsidRPr="00350434" w:rsidRDefault="00556607" w:rsidP="00477B1F">
      <w:pPr>
        <w:pStyle w:val="Default"/>
        <w:numPr>
          <w:ilvl w:val="0"/>
          <w:numId w:val="27"/>
        </w:numPr>
        <w:jc w:val="both"/>
        <w:rPr>
          <w:sz w:val="22"/>
          <w:szCs w:val="22"/>
          <w:lang w:val="fr-FR"/>
        </w:rPr>
      </w:pPr>
      <w:r w:rsidRPr="00FF5334">
        <w:rPr>
          <w:rFonts w:ascii="Times New Roman" w:eastAsia="Times New Roman" w:hAnsi="Times New Roman"/>
          <w:sz w:val="22"/>
          <w:szCs w:val="22"/>
          <w:lang w:val="fr-FR"/>
        </w:rPr>
        <w:t>Technologies liées aux énergies renouvelables et espèces migratrices : lignes directrices pour un déploiement durable</w:t>
      </w:r>
      <w:r w:rsidR="000C3823" w:rsidRPr="00FF5334">
        <w:rPr>
          <w:rFonts w:ascii="Times New Roman" w:eastAsia="Times New Roman" w:hAnsi="Times New Roman"/>
          <w:sz w:val="22"/>
          <w:szCs w:val="22"/>
          <w:lang w:val="fr-FR"/>
        </w:rPr>
        <w:t xml:space="preserve"> </w:t>
      </w:r>
      <w:r w:rsidRPr="00FF5334">
        <w:rPr>
          <w:rFonts w:ascii="Times New Roman" w:eastAsia="Times New Roman" w:hAnsi="Times New Roman"/>
          <w:sz w:val="22"/>
          <w:szCs w:val="22"/>
          <w:lang w:val="fr-FR"/>
        </w:rPr>
        <w:t>(document AEWA/MOP 6.37)</w:t>
      </w:r>
      <w:r w:rsidR="00350434">
        <w:rPr>
          <w:rFonts w:ascii="Times New Roman" w:eastAsia="Times New Roman" w:hAnsi="Times New Roman"/>
          <w:sz w:val="22"/>
          <w:szCs w:val="22"/>
          <w:lang w:val="fr-FR"/>
        </w:rPr>
        <w:t> ;</w:t>
      </w:r>
      <w:r w:rsidR="00FF5334">
        <w:rPr>
          <w:rFonts w:ascii="Times New Roman" w:eastAsia="Times New Roman" w:hAnsi="Times New Roman"/>
          <w:sz w:val="22"/>
          <w:szCs w:val="22"/>
          <w:lang w:val="fr-FR"/>
        </w:rPr>
        <w:t xml:space="preserve"> </w:t>
      </w:r>
    </w:p>
    <w:p w:rsidR="00350434" w:rsidRPr="00FF5334" w:rsidRDefault="00350434" w:rsidP="00350434">
      <w:pPr>
        <w:pStyle w:val="Default"/>
        <w:ind w:left="1440"/>
        <w:jc w:val="both"/>
        <w:rPr>
          <w:sz w:val="22"/>
          <w:szCs w:val="22"/>
          <w:lang w:val="fr-FR"/>
        </w:rPr>
      </w:pPr>
    </w:p>
    <w:p w:rsidR="00556607" w:rsidRPr="005E28F4" w:rsidRDefault="00556607" w:rsidP="00961292">
      <w:pPr>
        <w:pStyle w:val="Default"/>
        <w:jc w:val="both"/>
        <w:rPr>
          <w:rFonts w:ascii="Times New Roman" w:eastAsia="Times New Roman" w:hAnsi="Times New Roman"/>
          <w:sz w:val="22"/>
          <w:szCs w:val="22"/>
          <w:lang w:val="fr-FR"/>
        </w:rPr>
      </w:pPr>
      <w:r w:rsidRPr="005E28F4">
        <w:rPr>
          <w:rFonts w:ascii="Times New Roman" w:eastAsia="Times New Roman" w:hAnsi="Times New Roman"/>
          <w:sz w:val="22"/>
          <w:szCs w:val="22"/>
          <w:lang w:val="fr-FR"/>
        </w:rPr>
        <w:lastRenderedPageBreak/>
        <w:t>conformément au paragraphe 4 de l’article IV de l’Accord, comme orientations pour les</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Parties contractantes dans la mise en œuvre de l’Accord et de son Plan d’action</w:t>
      </w:r>
      <w:r w:rsidR="005F1657"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w:t>
      </w:r>
    </w:p>
    <w:p w:rsidR="00556607" w:rsidRPr="005E28F4" w:rsidRDefault="00556607" w:rsidP="00961292">
      <w:pPr>
        <w:pStyle w:val="Default"/>
        <w:jc w:val="both"/>
        <w:rPr>
          <w:rFonts w:ascii="Times New Roman" w:eastAsia="Times New Roman" w:hAnsi="Times New Roman"/>
          <w:sz w:val="22"/>
          <w:szCs w:val="22"/>
          <w:lang w:val="fr-FR"/>
        </w:rPr>
      </w:pPr>
    </w:p>
    <w:p w:rsidR="00556607" w:rsidRPr="005E28F4" w:rsidRDefault="00556607" w:rsidP="00961292">
      <w:pPr>
        <w:pStyle w:val="Default"/>
        <w:jc w:val="both"/>
        <w:rPr>
          <w:rFonts w:ascii="Times New Roman" w:eastAsia="Times New Roman" w:hAnsi="Times New Roman"/>
          <w:sz w:val="22"/>
          <w:szCs w:val="22"/>
          <w:lang w:val="fr-FR"/>
        </w:rPr>
      </w:pPr>
      <w:r w:rsidRPr="005E28F4">
        <w:rPr>
          <w:rFonts w:ascii="Times New Roman" w:eastAsia="Times New Roman" w:hAnsi="Times New Roman"/>
          <w:sz w:val="22"/>
          <w:szCs w:val="22"/>
          <w:lang w:val="fr-FR"/>
        </w:rPr>
        <w:t>2.</w:t>
      </w:r>
      <w:r w:rsidRPr="005E28F4">
        <w:rPr>
          <w:rFonts w:ascii="Times New Roman" w:eastAsia="Times New Roman" w:hAnsi="Times New Roman"/>
          <w:sz w:val="22"/>
          <w:szCs w:val="22"/>
          <w:lang w:val="fr-FR"/>
        </w:rPr>
        <w:tab/>
      </w:r>
      <w:r w:rsidRPr="005E28F4">
        <w:rPr>
          <w:rFonts w:ascii="Times New Roman" w:eastAsia="Times New Roman" w:hAnsi="Times New Roman"/>
          <w:i/>
          <w:sz w:val="22"/>
          <w:szCs w:val="22"/>
          <w:lang w:val="fr-FR"/>
        </w:rPr>
        <w:t>Demande</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aux Parties contractantes d’utiliser ces lignes directrices</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d’une façon concrète qui résulte en un minimum de bureaucratie supplémentaire et tient compte des différentes circonstances sociales, économiques et environnementales dans la zone de l’Accord</w:t>
      </w:r>
      <w:r w:rsidR="005F1657"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 xml:space="preserve">; </w:t>
      </w:r>
    </w:p>
    <w:p w:rsidR="00556607" w:rsidRPr="005E28F4" w:rsidRDefault="00556607" w:rsidP="00961292">
      <w:pPr>
        <w:pStyle w:val="Default"/>
        <w:jc w:val="both"/>
        <w:rPr>
          <w:rFonts w:ascii="Times New Roman" w:eastAsia="Times New Roman" w:hAnsi="Times New Roman"/>
          <w:sz w:val="22"/>
          <w:szCs w:val="22"/>
          <w:lang w:val="fr-FR"/>
        </w:rPr>
      </w:pPr>
    </w:p>
    <w:p w:rsidR="00556607" w:rsidRPr="005E28F4" w:rsidRDefault="00556607" w:rsidP="00157361">
      <w:pPr>
        <w:pStyle w:val="CommentText"/>
        <w:jc w:val="both"/>
        <w:rPr>
          <w:rFonts w:ascii="Times New Roman" w:eastAsia="Times New Roman" w:hAnsi="Times New Roman"/>
          <w:color w:val="000000"/>
          <w:sz w:val="22"/>
          <w:szCs w:val="22"/>
          <w:lang w:val="fr-FR"/>
        </w:rPr>
      </w:pPr>
      <w:r w:rsidRPr="005E28F4">
        <w:rPr>
          <w:rFonts w:ascii="Times New Roman" w:eastAsia="Times New Roman" w:hAnsi="Times New Roman"/>
          <w:color w:val="000000"/>
          <w:sz w:val="22"/>
          <w:szCs w:val="22"/>
          <w:lang w:val="fr-FR"/>
        </w:rPr>
        <w:t>3.</w:t>
      </w:r>
      <w:r w:rsidRPr="005E28F4">
        <w:rPr>
          <w:rFonts w:ascii="Times New Roman" w:eastAsia="Times New Roman" w:hAnsi="Times New Roman"/>
          <w:color w:val="000000"/>
          <w:sz w:val="22"/>
          <w:szCs w:val="22"/>
          <w:lang w:val="fr-FR"/>
        </w:rPr>
        <w:tab/>
      </w:r>
      <w:r w:rsidRPr="005E28F4">
        <w:rPr>
          <w:rFonts w:ascii="Times New Roman" w:eastAsia="Times New Roman" w:hAnsi="Times New Roman"/>
          <w:i/>
          <w:color w:val="000000"/>
          <w:sz w:val="22"/>
          <w:szCs w:val="22"/>
          <w:lang w:val="fr-FR"/>
        </w:rPr>
        <w:t>Charge</w:t>
      </w:r>
      <w:r w:rsidR="000C3823" w:rsidRPr="005E28F4">
        <w:rPr>
          <w:rFonts w:ascii="Times New Roman" w:eastAsia="Times New Roman" w:hAnsi="Times New Roman"/>
          <w:color w:val="000000"/>
          <w:sz w:val="22"/>
          <w:szCs w:val="22"/>
          <w:lang w:val="fr-FR"/>
        </w:rPr>
        <w:t xml:space="preserve"> </w:t>
      </w:r>
      <w:r w:rsidRPr="005E28F4">
        <w:rPr>
          <w:rFonts w:ascii="Times New Roman" w:eastAsia="Times New Roman" w:hAnsi="Times New Roman"/>
          <w:color w:val="000000"/>
          <w:sz w:val="22"/>
          <w:szCs w:val="22"/>
          <w:lang w:val="fr-FR"/>
        </w:rPr>
        <w:t>le</w:t>
      </w:r>
      <w:r w:rsidR="000C3823" w:rsidRPr="005E28F4">
        <w:rPr>
          <w:rFonts w:ascii="Times New Roman" w:eastAsia="Times New Roman" w:hAnsi="Times New Roman"/>
          <w:color w:val="000000"/>
          <w:sz w:val="22"/>
          <w:szCs w:val="22"/>
          <w:lang w:val="fr-FR"/>
        </w:rPr>
        <w:t xml:space="preserve"> </w:t>
      </w:r>
      <w:r w:rsidRPr="005E28F4">
        <w:rPr>
          <w:rFonts w:ascii="Times New Roman" w:eastAsia="Times New Roman" w:hAnsi="Times New Roman"/>
          <w:color w:val="000000"/>
          <w:sz w:val="22"/>
          <w:szCs w:val="22"/>
          <w:lang w:val="fr-FR"/>
        </w:rPr>
        <w:t xml:space="preserve">Secrétariat de distribuer ces lignes directrices à tous les États de l’aire de répartition et aux organisations internationales gouvernementales et non gouvernementales concernées, et </w:t>
      </w:r>
      <w:r w:rsidR="005665C2">
        <w:rPr>
          <w:rFonts w:ascii="Times New Roman" w:eastAsia="Times New Roman" w:hAnsi="Times New Roman"/>
          <w:color w:val="000000"/>
          <w:sz w:val="22"/>
          <w:szCs w:val="22"/>
          <w:lang w:val="fr-FR"/>
        </w:rPr>
        <w:t xml:space="preserve">de promouvoir et </w:t>
      </w:r>
      <w:r w:rsidRPr="005E28F4">
        <w:rPr>
          <w:rFonts w:ascii="Times New Roman" w:eastAsia="Times New Roman" w:hAnsi="Times New Roman"/>
          <w:color w:val="000000"/>
          <w:sz w:val="22"/>
          <w:szCs w:val="22"/>
          <w:lang w:val="fr-FR"/>
        </w:rPr>
        <w:t>d’assurer un suivi de leur utilisation dans la mesure du possible</w:t>
      </w:r>
      <w:r w:rsidR="005F1657" w:rsidRPr="005E28F4">
        <w:rPr>
          <w:rFonts w:ascii="Times New Roman" w:eastAsia="Times New Roman" w:hAnsi="Times New Roman"/>
          <w:color w:val="000000"/>
          <w:sz w:val="22"/>
          <w:szCs w:val="22"/>
          <w:lang w:val="fr-FR"/>
        </w:rPr>
        <w:t xml:space="preserve"> </w:t>
      </w:r>
      <w:r w:rsidRPr="005E28F4">
        <w:rPr>
          <w:rFonts w:ascii="Times New Roman" w:eastAsia="Times New Roman" w:hAnsi="Times New Roman"/>
          <w:color w:val="000000"/>
          <w:sz w:val="22"/>
          <w:szCs w:val="22"/>
          <w:lang w:val="fr-FR"/>
        </w:rPr>
        <w:t>;</w:t>
      </w:r>
    </w:p>
    <w:p w:rsidR="00556607" w:rsidRPr="005E28F4" w:rsidRDefault="00556607" w:rsidP="00961292">
      <w:pPr>
        <w:pStyle w:val="Default"/>
        <w:jc w:val="both"/>
        <w:rPr>
          <w:rFonts w:ascii="Times New Roman" w:eastAsia="Times New Roman" w:hAnsi="Times New Roman"/>
          <w:sz w:val="22"/>
          <w:szCs w:val="22"/>
          <w:lang w:val="fr-FR"/>
        </w:rPr>
      </w:pPr>
      <w:r w:rsidRPr="005E28F4">
        <w:rPr>
          <w:rFonts w:ascii="Times New Roman" w:eastAsia="Times New Roman" w:hAnsi="Times New Roman"/>
          <w:sz w:val="22"/>
          <w:szCs w:val="22"/>
          <w:lang w:val="fr-FR"/>
        </w:rPr>
        <w:t>4.</w:t>
      </w:r>
      <w:r w:rsidRPr="005E28F4">
        <w:rPr>
          <w:rFonts w:ascii="Times New Roman" w:eastAsia="Times New Roman" w:hAnsi="Times New Roman"/>
          <w:sz w:val="22"/>
          <w:szCs w:val="22"/>
          <w:lang w:val="fr-FR"/>
        </w:rPr>
        <w:tab/>
      </w:r>
      <w:r w:rsidRPr="005E28F4">
        <w:rPr>
          <w:rFonts w:ascii="Times New Roman" w:eastAsia="Times New Roman" w:hAnsi="Times New Roman"/>
          <w:i/>
          <w:sz w:val="22"/>
          <w:szCs w:val="22"/>
          <w:lang w:val="fr-FR"/>
        </w:rPr>
        <w:t>Demande</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au Comité technique, en tant que question prioritaire :</w:t>
      </w:r>
    </w:p>
    <w:p w:rsidR="00556607" w:rsidRPr="005E28F4" w:rsidRDefault="00556607" w:rsidP="00961292">
      <w:pPr>
        <w:pStyle w:val="Default"/>
        <w:jc w:val="both"/>
        <w:rPr>
          <w:rFonts w:ascii="Times New Roman" w:eastAsia="Times New Roman" w:hAnsi="Times New Roman"/>
          <w:sz w:val="22"/>
          <w:szCs w:val="22"/>
          <w:lang w:val="fr-FR"/>
        </w:rPr>
      </w:pPr>
    </w:p>
    <w:p w:rsidR="00556607" w:rsidRDefault="00556607" w:rsidP="005E28F4">
      <w:pPr>
        <w:pStyle w:val="Default"/>
        <w:numPr>
          <w:ilvl w:val="0"/>
          <w:numId w:val="28"/>
        </w:numPr>
        <w:ind w:left="1560" w:hanging="426"/>
        <w:jc w:val="both"/>
        <w:rPr>
          <w:rFonts w:ascii="Times New Roman" w:eastAsia="Times New Roman" w:hAnsi="Times New Roman"/>
          <w:sz w:val="22"/>
          <w:szCs w:val="22"/>
          <w:lang w:val="fr-FR"/>
        </w:rPr>
      </w:pPr>
      <w:r w:rsidRPr="005E28F4">
        <w:rPr>
          <w:rFonts w:ascii="Times New Roman" w:eastAsia="Times New Roman" w:hAnsi="Times New Roman"/>
          <w:sz w:val="22"/>
          <w:szCs w:val="22"/>
          <w:lang w:val="fr-FR"/>
        </w:rPr>
        <w:t>de terminer sa révision du style et du modèle de lignes directrices de conservation de l’AEWA, tel qu’énoncé dans</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la résolution 5.10 ;</w:t>
      </w:r>
    </w:p>
    <w:p w:rsidR="00350434" w:rsidRPr="005E28F4" w:rsidRDefault="00350434" w:rsidP="00350434">
      <w:pPr>
        <w:pStyle w:val="Default"/>
        <w:ind w:left="1560"/>
        <w:jc w:val="both"/>
        <w:rPr>
          <w:rFonts w:ascii="Times New Roman" w:eastAsia="Times New Roman" w:hAnsi="Times New Roman"/>
          <w:sz w:val="22"/>
          <w:szCs w:val="22"/>
          <w:lang w:val="fr-FR"/>
        </w:rPr>
      </w:pPr>
    </w:p>
    <w:p w:rsidR="00556607" w:rsidRDefault="00556607" w:rsidP="005E28F4">
      <w:pPr>
        <w:pStyle w:val="Default"/>
        <w:numPr>
          <w:ilvl w:val="0"/>
          <w:numId w:val="28"/>
        </w:numPr>
        <w:ind w:left="1560" w:hanging="426"/>
        <w:jc w:val="both"/>
        <w:rPr>
          <w:rFonts w:ascii="Times New Roman" w:eastAsia="Times New Roman" w:hAnsi="Times New Roman"/>
          <w:sz w:val="22"/>
          <w:szCs w:val="22"/>
          <w:lang w:val="fr-FR"/>
        </w:rPr>
      </w:pPr>
      <w:r w:rsidRPr="005E28F4">
        <w:rPr>
          <w:rFonts w:ascii="Times New Roman" w:eastAsia="Times New Roman" w:hAnsi="Times New Roman"/>
          <w:sz w:val="22"/>
          <w:szCs w:val="22"/>
          <w:lang w:val="fr-FR"/>
        </w:rPr>
        <w:t>de formuler des recommandations au Comité permanent entre les sessions en vue des changements proposés</w:t>
      </w:r>
      <w:r w:rsidR="005F1657"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w:t>
      </w:r>
      <w:r w:rsidR="00E05FC3">
        <w:rPr>
          <w:rFonts w:ascii="Times New Roman" w:eastAsia="Times New Roman" w:hAnsi="Times New Roman"/>
          <w:sz w:val="22"/>
          <w:szCs w:val="22"/>
          <w:lang w:val="fr-FR"/>
        </w:rPr>
        <w:t xml:space="preserve"> et</w:t>
      </w:r>
    </w:p>
    <w:p w:rsidR="00350434" w:rsidRPr="005E28F4" w:rsidRDefault="00350434" w:rsidP="00350434">
      <w:pPr>
        <w:pStyle w:val="Default"/>
        <w:ind w:left="1560"/>
        <w:jc w:val="both"/>
        <w:rPr>
          <w:rFonts w:ascii="Times New Roman" w:eastAsia="Times New Roman" w:hAnsi="Times New Roman"/>
          <w:sz w:val="22"/>
          <w:szCs w:val="22"/>
          <w:lang w:val="fr-FR"/>
        </w:rPr>
      </w:pPr>
      <w:bookmarkStart w:id="0" w:name="_GoBack"/>
      <w:bookmarkEnd w:id="0"/>
    </w:p>
    <w:p w:rsidR="00556607" w:rsidRPr="005E28F4" w:rsidRDefault="00556607" w:rsidP="005E28F4">
      <w:pPr>
        <w:pStyle w:val="Default"/>
        <w:numPr>
          <w:ilvl w:val="0"/>
          <w:numId w:val="28"/>
        </w:numPr>
        <w:ind w:left="1560" w:hanging="426"/>
        <w:jc w:val="both"/>
        <w:rPr>
          <w:rFonts w:ascii="Times New Roman" w:eastAsia="Times New Roman" w:hAnsi="Times New Roman"/>
          <w:sz w:val="22"/>
          <w:szCs w:val="22"/>
          <w:lang w:val="fr-FR"/>
        </w:rPr>
      </w:pPr>
      <w:r w:rsidRPr="005E28F4">
        <w:rPr>
          <w:rFonts w:ascii="Times New Roman" w:eastAsia="Times New Roman" w:hAnsi="Times New Roman"/>
          <w:sz w:val="22"/>
          <w:szCs w:val="22"/>
          <w:lang w:val="fr-FR"/>
        </w:rPr>
        <w:t>après approbation par le Comité permanent</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et dans la lim</w:t>
      </w:r>
      <w:r w:rsidR="00721987">
        <w:rPr>
          <w:rFonts w:ascii="Times New Roman" w:eastAsia="Times New Roman" w:hAnsi="Times New Roman"/>
          <w:sz w:val="22"/>
          <w:szCs w:val="22"/>
          <w:lang w:val="fr-FR"/>
        </w:rPr>
        <w:t xml:space="preserve">ite des ressources disponibles, </w:t>
      </w:r>
      <w:r w:rsidRPr="005E28F4">
        <w:rPr>
          <w:rFonts w:ascii="Times New Roman" w:eastAsia="Times New Roman" w:hAnsi="Times New Roman"/>
          <w:sz w:val="22"/>
          <w:szCs w:val="22"/>
          <w:lang w:val="fr-FR"/>
        </w:rPr>
        <w:t>de mettre en place un programme glissant pour réviser et actualiser les lignes directrices existantes, selon que de besoin, en élaborant toutes</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nouvelles lignes directrices conformément aux nouveaux</w:t>
      </w:r>
      <w:r w:rsidR="000C3823" w:rsidRPr="005E28F4">
        <w:rPr>
          <w:rFonts w:ascii="Times New Roman" w:eastAsia="Times New Roman" w:hAnsi="Times New Roman"/>
          <w:sz w:val="22"/>
          <w:szCs w:val="22"/>
          <w:lang w:val="fr-FR"/>
        </w:rPr>
        <w:t xml:space="preserve"> </w:t>
      </w:r>
      <w:r w:rsidRPr="005E28F4">
        <w:rPr>
          <w:rFonts w:ascii="Times New Roman" w:eastAsia="Times New Roman" w:hAnsi="Times New Roman"/>
          <w:sz w:val="22"/>
          <w:szCs w:val="22"/>
          <w:lang w:val="fr-FR"/>
        </w:rPr>
        <w:t>modèles, tels que convenus.</w:t>
      </w:r>
    </w:p>
    <w:p w:rsidR="00556607" w:rsidRPr="005E28F4" w:rsidRDefault="00556607" w:rsidP="00961292">
      <w:pPr>
        <w:pStyle w:val="Default"/>
        <w:jc w:val="both"/>
        <w:rPr>
          <w:rFonts w:ascii="Times New Roman" w:eastAsia="Times New Roman" w:hAnsi="Times New Roman"/>
          <w:sz w:val="22"/>
          <w:szCs w:val="22"/>
          <w:lang w:val="fr-FR"/>
        </w:rPr>
      </w:pPr>
    </w:p>
    <w:p w:rsidR="00556607" w:rsidRPr="005E28F4" w:rsidRDefault="00556607" w:rsidP="00961292">
      <w:pPr>
        <w:pStyle w:val="Default"/>
        <w:jc w:val="both"/>
        <w:rPr>
          <w:rFonts w:ascii="Times New Roman" w:eastAsia="Times New Roman" w:hAnsi="Times New Roman"/>
          <w:sz w:val="22"/>
          <w:szCs w:val="22"/>
          <w:lang w:val="fr-FR"/>
        </w:rPr>
      </w:pPr>
    </w:p>
    <w:p w:rsidR="00556607" w:rsidRPr="005E28F4" w:rsidRDefault="00556607" w:rsidP="005E28F4">
      <w:pPr>
        <w:pStyle w:val="ListParagraph"/>
        <w:tabs>
          <w:tab w:val="left" w:pos="1418"/>
          <w:tab w:val="left" w:pos="1560"/>
        </w:tabs>
        <w:spacing w:after="0" w:line="240" w:lineRule="auto"/>
        <w:ind w:left="0"/>
        <w:contextualSpacing w:val="0"/>
        <w:jc w:val="both"/>
        <w:rPr>
          <w:rFonts w:ascii="Times New Roman" w:eastAsia="Times New Roman" w:hAnsi="Times New Roman"/>
          <w:color w:val="000000"/>
          <w:lang w:val="fr-FR"/>
        </w:rPr>
      </w:pPr>
    </w:p>
    <w:p w:rsidR="00556607" w:rsidRPr="005E28F4" w:rsidRDefault="00556607" w:rsidP="00241980">
      <w:pPr>
        <w:rPr>
          <w:rFonts w:ascii="Times New Roman" w:eastAsia="Times New Roman" w:hAnsi="Times New Roman"/>
          <w:color w:val="000000"/>
          <w:lang w:val="fr-FR"/>
        </w:rPr>
      </w:pPr>
    </w:p>
    <w:p w:rsidR="00556607" w:rsidRPr="005E28F4" w:rsidRDefault="00556607" w:rsidP="00241980">
      <w:pPr>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p w:rsidR="005F1657" w:rsidRPr="005E28F4" w:rsidRDefault="005F1657" w:rsidP="00241980">
      <w:pPr>
        <w:tabs>
          <w:tab w:val="left" w:pos="1264"/>
        </w:tabs>
        <w:rPr>
          <w:rFonts w:ascii="Times New Roman" w:eastAsia="Times New Roman" w:hAnsi="Times New Roman"/>
          <w:color w:val="000000"/>
          <w:lang w:val="fr-FR"/>
        </w:rPr>
      </w:pPr>
    </w:p>
    <w:sectPr w:rsidR="005F1657" w:rsidRPr="005E28F4" w:rsidSect="00C239E2">
      <w:headerReference w:type="default" r:id="rId7"/>
      <w:footerReference w:type="even" r:id="rId8"/>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07" w:rsidRDefault="00556607" w:rsidP="007340A1">
      <w:pPr>
        <w:spacing w:after="0" w:line="240" w:lineRule="auto"/>
      </w:pPr>
      <w:r>
        <w:separator/>
      </w:r>
    </w:p>
  </w:endnote>
  <w:endnote w:type="continuationSeparator" w:id="0">
    <w:p w:rsidR="00556607" w:rsidRDefault="00556607"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07" w:rsidRPr="00C239E2" w:rsidRDefault="00556607">
    <w:pPr>
      <w:pStyle w:val="Footer"/>
      <w:jc w:val="center"/>
      <w:rPr>
        <w:rFonts w:ascii="Times New Roman" w:hAnsi="Times New Roman"/>
        <w:sz w:val="20"/>
        <w:szCs w:val="20"/>
      </w:rPr>
    </w:pPr>
    <w:r w:rsidRPr="00C239E2">
      <w:rPr>
        <w:rFonts w:ascii="Times New Roman" w:hAnsi="Times New Roman"/>
        <w:sz w:val="20"/>
        <w:szCs w:val="20"/>
      </w:rPr>
      <w:fldChar w:fldCharType="begin"/>
    </w:r>
    <w:r w:rsidRPr="00C239E2">
      <w:rPr>
        <w:rFonts w:ascii="Times New Roman" w:hAnsi="Times New Roman"/>
        <w:sz w:val="20"/>
        <w:szCs w:val="20"/>
      </w:rPr>
      <w:instrText xml:space="preserve"> PAGE   \* MERGEFORMAT </w:instrText>
    </w:r>
    <w:r w:rsidRPr="00C239E2">
      <w:rPr>
        <w:rFonts w:ascii="Times New Roman" w:hAnsi="Times New Roman"/>
        <w:sz w:val="20"/>
        <w:szCs w:val="20"/>
      </w:rPr>
      <w:fldChar w:fldCharType="separate"/>
    </w:r>
    <w:r w:rsidR="00350434">
      <w:rPr>
        <w:rFonts w:ascii="Times New Roman" w:hAnsi="Times New Roman"/>
        <w:noProof/>
        <w:sz w:val="20"/>
        <w:szCs w:val="20"/>
      </w:rPr>
      <w:t>2</w:t>
    </w:r>
    <w:r w:rsidRPr="00C239E2">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07" w:rsidRDefault="00556607" w:rsidP="007340A1">
      <w:pPr>
        <w:spacing w:after="0" w:line="240" w:lineRule="auto"/>
      </w:pPr>
      <w:r>
        <w:separator/>
      </w:r>
    </w:p>
  </w:footnote>
  <w:footnote w:type="continuationSeparator" w:id="0">
    <w:p w:rsidR="00556607" w:rsidRDefault="00556607" w:rsidP="0073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8713D1" w:rsidRPr="00350434" w:rsidTr="00054C99">
      <w:trPr>
        <w:trHeight w:val="1256"/>
      </w:trPr>
      <w:tc>
        <w:tcPr>
          <w:tcW w:w="2268" w:type="dxa"/>
          <w:shd w:val="clear" w:color="auto" w:fill="auto"/>
          <w:tcMar>
            <w:top w:w="0" w:type="dxa"/>
            <w:left w:w="108" w:type="dxa"/>
            <w:bottom w:w="0" w:type="dxa"/>
            <w:right w:w="108" w:type="dxa"/>
          </w:tcMar>
        </w:tcPr>
        <w:p w:rsidR="008713D1" w:rsidRPr="008713D1" w:rsidRDefault="008713D1" w:rsidP="008713D1">
          <w:pPr>
            <w:suppressAutoHyphens/>
            <w:autoSpaceDN w:val="0"/>
            <w:spacing w:after="0" w:line="240" w:lineRule="auto"/>
            <w:textAlignment w:val="baseline"/>
            <w:rPr>
              <w:rFonts w:ascii="Times New Roman" w:eastAsia="Times New Roman" w:hAnsi="Times New Roman"/>
              <w:sz w:val="24"/>
              <w:szCs w:val="24"/>
              <w:lang w:val="fr-FR"/>
            </w:rPr>
          </w:pPr>
          <w:r w:rsidRPr="008713D1">
            <w:rPr>
              <w:rFonts w:ascii="Times New Roman" w:eastAsia="Times New Roman" w:hAnsi="Times New Roman"/>
              <w:noProof/>
              <w:sz w:val="24"/>
              <w:szCs w:val="24"/>
            </w:rPr>
            <w:drawing>
              <wp:anchor distT="0" distB="0" distL="114300" distR="114300" simplePos="0" relativeHeight="251660288" behindDoc="1" locked="0" layoutInCell="1" allowOverlap="1" wp14:anchorId="67B5F399" wp14:editId="4A4F1FBB">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8713D1" w:rsidRPr="008713D1" w:rsidRDefault="008713D1" w:rsidP="008713D1">
          <w:pPr>
            <w:tabs>
              <w:tab w:val="left" w:pos="2871"/>
            </w:tabs>
            <w:suppressAutoHyphens/>
            <w:autoSpaceDN w:val="0"/>
            <w:spacing w:after="0" w:line="240" w:lineRule="auto"/>
            <w:jc w:val="center"/>
            <w:textAlignment w:val="baseline"/>
            <w:rPr>
              <w:rFonts w:ascii="Times New Roman" w:eastAsia="Times New Roman" w:hAnsi="Times New Roman"/>
              <w:sz w:val="24"/>
              <w:szCs w:val="24"/>
              <w:lang w:val="fr-FR"/>
            </w:rPr>
          </w:pPr>
          <w:r w:rsidRPr="008713D1">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8713D1" w:rsidRPr="008713D1" w:rsidRDefault="008713D1" w:rsidP="008713D1">
          <w:pPr>
            <w:suppressAutoHyphens/>
            <w:autoSpaceDN w:val="0"/>
            <w:spacing w:after="0" w:line="240" w:lineRule="auto"/>
            <w:jc w:val="right"/>
            <w:textAlignment w:val="baseline"/>
            <w:rPr>
              <w:rFonts w:ascii="Times New Roman" w:eastAsia="Times New Roman" w:hAnsi="Times New Roman"/>
              <w:i/>
              <w:iCs/>
              <w:sz w:val="20"/>
              <w:szCs w:val="20"/>
              <w:lang w:val="fr-FR"/>
            </w:rPr>
          </w:pPr>
          <w:r w:rsidRPr="008713D1">
            <w:rPr>
              <w:rFonts w:ascii="Times New Roman" w:eastAsia="Times New Roman" w:hAnsi="Times New Roman"/>
              <w:noProof/>
              <w:sz w:val="18"/>
              <w:szCs w:val="18"/>
            </w:rPr>
            <w:drawing>
              <wp:anchor distT="0" distB="0" distL="114300" distR="114300" simplePos="0" relativeHeight="251659264" behindDoc="1" locked="0" layoutInCell="1" allowOverlap="1" wp14:anchorId="58811908" wp14:editId="6BAA2869">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3D1" w:rsidRPr="008713D1" w:rsidRDefault="008713D1" w:rsidP="008713D1">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8713D1" w:rsidRPr="008713D1" w:rsidTr="00054C99">
      <w:tc>
        <w:tcPr>
          <w:tcW w:w="9498" w:type="dxa"/>
          <w:gridSpan w:val="3"/>
          <w:shd w:val="clear" w:color="auto" w:fill="auto"/>
          <w:tcMar>
            <w:top w:w="0" w:type="dxa"/>
            <w:left w:w="108" w:type="dxa"/>
            <w:bottom w:w="0" w:type="dxa"/>
            <w:right w:w="108" w:type="dxa"/>
          </w:tcMar>
        </w:tcPr>
        <w:p w:rsidR="008713D1" w:rsidRPr="008713D1" w:rsidRDefault="008713D1" w:rsidP="008713D1">
          <w:pPr>
            <w:autoSpaceDN w:val="0"/>
            <w:spacing w:after="0" w:line="240" w:lineRule="auto"/>
            <w:jc w:val="center"/>
            <w:rPr>
              <w:rFonts w:ascii="Times New Roman" w:eastAsia="Times New Roman" w:hAnsi="Times New Roman"/>
              <w:szCs w:val="24"/>
              <w:lang w:val="fr-FR"/>
            </w:rPr>
          </w:pPr>
          <w:r w:rsidRPr="008713D1">
            <w:rPr>
              <w:rFonts w:ascii="Times New Roman" w:eastAsia="Times New Roman" w:hAnsi="Times New Roman"/>
              <w:b/>
              <w:bCs/>
              <w:sz w:val="26"/>
              <w:szCs w:val="26"/>
              <w:lang w:val="fr-FR"/>
            </w:rPr>
            <w:t>6</w:t>
          </w:r>
          <w:r w:rsidRPr="008713D1">
            <w:rPr>
              <w:rFonts w:ascii="Times New Roman" w:eastAsia="Times New Roman" w:hAnsi="Times New Roman"/>
              <w:b/>
              <w:bCs/>
              <w:sz w:val="26"/>
              <w:szCs w:val="26"/>
              <w:vertAlign w:val="superscript"/>
              <w:lang w:val="fr-FR"/>
            </w:rPr>
            <w:t>ème</w:t>
          </w:r>
          <w:r w:rsidRPr="008713D1">
            <w:rPr>
              <w:rFonts w:ascii="Times New Roman" w:eastAsia="Times New Roman" w:hAnsi="Times New Roman"/>
              <w:b/>
              <w:bCs/>
              <w:sz w:val="26"/>
              <w:szCs w:val="26"/>
              <w:lang w:val="fr-FR"/>
            </w:rPr>
            <w:t xml:space="preserve"> </w:t>
          </w:r>
          <w:r w:rsidRPr="008713D1">
            <w:rPr>
              <w:rFonts w:ascii="Times New Roman" w:eastAsia="Times New Roman" w:hAnsi="Times New Roman"/>
              <w:b/>
              <w:bCs/>
              <w:caps/>
              <w:sz w:val="26"/>
              <w:szCs w:val="26"/>
              <w:lang w:val="fr-FR"/>
            </w:rPr>
            <w:t>Session de la rÉunion des parties contractantes</w:t>
          </w:r>
        </w:p>
        <w:p w:rsidR="008713D1" w:rsidRPr="008713D1" w:rsidRDefault="008713D1" w:rsidP="008713D1">
          <w:pPr>
            <w:suppressAutoHyphens/>
            <w:autoSpaceDN w:val="0"/>
            <w:spacing w:after="0" w:line="240" w:lineRule="auto"/>
            <w:jc w:val="center"/>
            <w:textAlignment w:val="baseline"/>
            <w:rPr>
              <w:rFonts w:ascii="Times New Roman" w:eastAsia="Times New Roman" w:hAnsi="Times New Roman"/>
              <w:sz w:val="24"/>
              <w:szCs w:val="24"/>
              <w:lang w:val="fr-FR"/>
            </w:rPr>
          </w:pPr>
          <w:r w:rsidRPr="008713D1">
            <w:rPr>
              <w:rFonts w:ascii="Times New Roman" w:eastAsia="Times New Roman" w:hAnsi="Times New Roman"/>
              <w:i/>
              <w:iCs/>
              <w:sz w:val="24"/>
              <w:szCs w:val="24"/>
              <w:lang w:val="fr-FR"/>
            </w:rPr>
            <w:t xml:space="preserve">9-14 </w:t>
          </w:r>
          <w:proofErr w:type="gramStart"/>
          <w:r w:rsidRPr="008713D1">
            <w:rPr>
              <w:rFonts w:ascii="Times New Roman" w:eastAsia="Times New Roman" w:hAnsi="Times New Roman"/>
              <w:i/>
              <w:iCs/>
              <w:sz w:val="24"/>
              <w:szCs w:val="24"/>
              <w:lang w:val="fr-FR"/>
            </w:rPr>
            <w:t>novembre</w:t>
          </w:r>
          <w:proofErr w:type="gramEnd"/>
          <w:r w:rsidRPr="008713D1">
            <w:rPr>
              <w:rFonts w:ascii="Times New Roman" w:eastAsia="Times New Roman" w:hAnsi="Times New Roman"/>
              <w:i/>
              <w:iCs/>
              <w:sz w:val="24"/>
              <w:szCs w:val="24"/>
              <w:lang w:val="fr-FR"/>
            </w:rPr>
            <w:t xml:space="preserve"> 2015, Bonn, Allemagne</w:t>
          </w:r>
        </w:p>
      </w:tc>
    </w:tr>
    <w:tr w:rsidR="008713D1" w:rsidRPr="00350434" w:rsidTr="00054C9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8713D1" w:rsidRPr="008713D1" w:rsidRDefault="008713D1" w:rsidP="008713D1">
          <w:pPr>
            <w:autoSpaceDN w:val="0"/>
            <w:spacing w:after="0" w:line="240" w:lineRule="auto"/>
            <w:jc w:val="center"/>
            <w:rPr>
              <w:rFonts w:ascii="Times New Roman" w:eastAsia="Times New Roman" w:hAnsi="Times New Roman"/>
              <w:bCs/>
              <w:i/>
              <w:sz w:val="24"/>
              <w:szCs w:val="24"/>
              <w:lang w:val="fr-FR"/>
            </w:rPr>
          </w:pPr>
          <w:r w:rsidRPr="008713D1">
            <w:rPr>
              <w:rFonts w:ascii="Times New Roman" w:eastAsia="Times New Roman" w:hAnsi="Times New Roman"/>
              <w:bCs/>
              <w:i/>
              <w:sz w:val="24"/>
              <w:szCs w:val="24"/>
              <w:lang w:val="fr-FR"/>
            </w:rPr>
            <w:t>« Concrétiser la conservation au niveau de la voie de migration »</w:t>
          </w:r>
        </w:p>
      </w:tc>
    </w:tr>
  </w:tbl>
  <w:p w:rsidR="005F1657" w:rsidRPr="00425622" w:rsidRDefault="005F1657">
    <w:pPr>
      <w:pStyle w:val="Header"/>
      <w:rPr>
        <w:lang w:val="fr-FR"/>
      </w:rPr>
    </w:pPr>
    <w:r w:rsidRPr="00425622">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24FA9"/>
    <w:multiLevelType w:val="hybridMultilevel"/>
    <w:tmpl w:val="AE5C8550"/>
    <w:lvl w:ilvl="0" w:tplc="5B6C90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DBE00AF"/>
    <w:multiLevelType w:val="hybridMultilevel"/>
    <w:tmpl w:val="3BC0856E"/>
    <w:lvl w:ilvl="0" w:tplc="460491DC">
      <w:start w:val="1"/>
      <w:numFmt w:val="decimal"/>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F4F27"/>
    <w:multiLevelType w:val="hybridMultilevel"/>
    <w:tmpl w:val="4E2657CC"/>
    <w:lvl w:ilvl="0" w:tplc="1D6880A2">
      <w:start w:val="1"/>
      <w:numFmt w:val="decimal"/>
      <w:lvlText w:val="%1."/>
      <w:lvlJc w:val="left"/>
      <w:pPr>
        <w:ind w:left="4320" w:hanging="720"/>
      </w:pPr>
      <w:rPr>
        <w:rFonts w:cs="Times New Roman" w:hint="default"/>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9" w15:restartNumberingAfterBreak="0">
    <w:nsid w:val="55C52656"/>
    <w:multiLevelType w:val="hybridMultilevel"/>
    <w:tmpl w:val="E488EBE0"/>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0" w15:restartNumberingAfterBreak="0">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1"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802A7"/>
    <w:multiLevelType w:val="hybridMultilevel"/>
    <w:tmpl w:val="49FA69B4"/>
    <w:lvl w:ilvl="0" w:tplc="4882FF4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8"/>
  </w:num>
  <w:num w:numId="4">
    <w:abstractNumId w:val="12"/>
  </w:num>
  <w:num w:numId="5">
    <w:abstractNumId w:val="1"/>
  </w:num>
  <w:num w:numId="6">
    <w:abstractNumId w:val="6"/>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5"/>
  </w:num>
  <w:num w:numId="11">
    <w:abstractNumId w:val="3"/>
  </w:num>
  <w:num w:numId="12">
    <w:abstractNumId w:val="20"/>
  </w:num>
  <w:num w:numId="13">
    <w:abstractNumId w:val="14"/>
  </w:num>
  <w:num w:numId="14">
    <w:abstractNumId w:val="2"/>
  </w:num>
  <w:num w:numId="15">
    <w:abstractNumId w:val="17"/>
  </w:num>
  <w:num w:numId="16">
    <w:abstractNumId w:val="23"/>
  </w:num>
  <w:num w:numId="17">
    <w:abstractNumId w:val="15"/>
  </w:num>
  <w:num w:numId="18">
    <w:abstractNumId w:val="21"/>
  </w:num>
  <w:num w:numId="19">
    <w:abstractNumId w:val="9"/>
  </w:num>
  <w:num w:numId="20">
    <w:abstractNumId w:val="13"/>
  </w:num>
  <w:num w:numId="21">
    <w:abstractNumId w:val="7"/>
  </w:num>
  <w:num w:numId="22">
    <w:abstractNumId w:val="24"/>
  </w:num>
  <w:num w:numId="23">
    <w:abstractNumId w:val="5"/>
  </w:num>
  <w:num w:numId="24">
    <w:abstractNumId w:val="0"/>
  </w:num>
  <w:num w:numId="25">
    <w:abstractNumId w:val="16"/>
  </w:num>
  <w:num w:numId="26">
    <w:abstractNumId w:val="20"/>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26509"/>
    <w:rsid w:val="000368F8"/>
    <w:rsid w:val="0004224E"/>
    <w:rsid w:val="00043993"/>
    <w:rsid w:val="00043B0E"/>
    <w:rsid w:val="00050C5B"/>
    <w:rsid w:val="000528ED"/>
    <w:rsid w:val="00055E6F"/>
    <w:rsid w:val="000668A3"/>
    <w:rsid w:val="00072B27"/>
    <w:rsid w:val="000734A8"/>
    <w:rsid w:val="000779C5"/>
    <w:rsid w:val="00085076"/>
    <w:rsid w:val="000858F0"/>
    <w:rsid w:val="00086DC0"/>
    <w:rsid w:val="00091FC3"/>
    <w:rsid w:val="00093E08"/>
    <w:rsid w:val="00096846"/>
    <w:rsid w:val="000A276D"/>
    <w:rsid w:val="000A4EAD"/>
    <w:rsid w:val="000B0AA3"/>
    <w:rsid w:val="000B6265"/>
    <w:rsid w:val="000B6CEE"/>
    <w:rsid w:val="000C3823"/>
    <w:rsid w:val="000C5D09"/>
    <w:rsid w:val="000C7969"/>
    <w:rsid w:val="000D2FBB"/>
    <w:rsid w:val="000D35D9"/>
    <w:rsid w:val="000D441E"/>
    <w:rsid w:val="000D7DD8"/>
    <w:rsid w:val="000E2550"/>
    <w:rsid w:val="000E519A"/>
    <w:rsid w:val="000F27E4"/>
    <w:rsid w:val="000F2A4F"/>
    <w:rsid w:val="00100827"/>
    <w:rsid w:val="00110A08"/>
    <w:rsid w:val="001134CB"/>
    <w:rsid w:val="00114384"/>
    <w:rsid w:val="001220AA"/>
    <w:rsid w:val="00127F6F"/>
    <w:rsid w:val="00131DF2"/>
    <w:rsid w:val="00134E8F"/>
    <w:rsid w:val="001357D5"/>
    <w:rsid w:val="001359A4"/>
    <w:rsid w:val="00152BE8"/>
    <w:rsid w:val="00157361"/>
    <w:rsid w:val="00162535"/>
    <w:rsid w:val="00167385"/>
    <w:rsid w:val="00174CCD"/>
    <w:rsid w:val="00177920"/>
    <w:rsid w:val="0018228A"/>
    <w:rsid w:val="00184C9B"/>
    <w:rsid w:val="001927C3"/>
    <w:rsid w:val="001A4E2B"/>
    <w:rsid w:val="001A6631"/>
    <w:rsid w:val="001C08F0"/>
    <w:rsid w:val="001D3AAC"/>
    <w:rsid w:val="001D51B3"/>
    <w:rsid w:val="001E6C11"/>
    <w:rsid w:val="0020611A"/>
    <w:rsid w:val="00206875"/>
    <w:rsid w:val="00207AC7"/>
    <w:rsid w:val="00230176"/>
    <w:rsid w:val="00232070"/>
    <w:rsid w:val="0023312A"/>
    <w:rsid w:val="00241980"/>
    <w:rsid w:val="00256E57"/>
    <w:rsid w:val="00277700"/>
    <w:rsid w:val="00280E36"/>
    <w:rsid w:val="00283302"/>
    <w:rsid w:val="00295476"/>
    <w:rsid w:val="002956B4"/>
    <w:rsid w:val="002B5C51"/>
    <w:rsid w:val="002B6D2B"/>
    <w:rsid w:val="002C48E4"/>
    <w:rsid w:val="002C50D8"/>
    <w:rsid w:val="002E11DF"/>
    <w:rsid w:val="002E3627"/>
    <w:rsid w:val="002E3BBC"/>
    <w:rsid w:val="002E3FCE"/>
    <w:rsid w:val="002E5D3C"/>
    <w:rsid w:val="002F2CA5"/>
    <w:rsid w:val="0030696A"/>
    <w:rsid w:val="0031279E"/>
    <w:rsid w:val="00320FBF"/>
    <w:rsid w:val="00321F68"/>
    <w:rsid w:val="00334BA8"/>
    <w:rsid w:val="00335B44"/>
    <w:rsid w:val="003373FE"/>
    <w:rsid w:val="00341400"/>
    <w:rsid w:val="00342448"/>
    <w:rsid w:val="00350434"/>
    <w:rsid w:val="003647B8"/>
    <w:rsid w:val="00373DE0"/>
    <w:rsid w:val="0037577F"/>
    <w:rsid w:val="003803A8"/>
    <w:rsid w:val="00380583"/>
    <w:rsid w:val="00385EA8"/>
    <w:rsid w:val="003954AC"/>
    <w:rsid w:val="003975D9"/>
    <w:rsid w:val="003A100B"/>
    <w:rsid w:val="003A7553"/>
    <w:rsid w:val="003B7299"/>
    <w:rsid w:val="003C288E"/>
    <w:rsid w:val="003C4B52"/>
    <w:rsid w:val="003C4DB0"/>
    <w:rsid w:val="003D1E5B"/>
    <w:rsid w:val="003D6826"/>
    <w:rsid w:val="003E1D08"/>
    <w:rsid w:val="003E2483"/>
    <w:rsid w:val="00400823"/>
    <w:rsid w:val="00404883"/>
    <w:rsid w:val="00404E12"/>
    <w:rsid w:val="00406E76"/>
    <w:rsid w:val="0041020C"/>
    <w:rsid w:val="0041502E"/>
    <w:rsid w:val="00422464"/>
    <w:rsid w:val="00423271"/>
    <w:rsid w:val="00425622"/>
    <w:rsid w:val="00425F10"/>
    <w:rsid w:val="00431ECE"/>
    <w:rsid w:val="00443115"/>
    <w:rsid w:val="004436CF"/>
    <w:rsid w:val="0045246B"/>
    <w:rsid w:val="00454E28"/>
    <w:rsid w:val="004575CE"/>
    <w:rsid w:val="00457B81"/>
    <w:rsid w:val="004713A3"/>
    <w:rsid w:val="00477B1F"/>
    <w:rsid w:val="00481534"/>
    <w:rsid w:val="00484138"/>
    <w:rsid w:val="00484C7E"/>
    <w:rsid w:val="0048570D"/>
    <w:rsid w:val="00491204"/>
    <w:rsid w:val="00492550"/>
    <w:rsid w:val="004A3185"/>
    <w:rsid w:val="004A4B9C"/>
    <w:rsid w:val="004B1A7A"/>
    <w:rsid w:val="004B317A"/>
    <w:rsid w:val="004C1583"/>
    <w:rsid w:val="004D2B23"/>
    <w:rsid w:val="004D56EB"/>
    <w:rsid w:val="004E0F21"/>
    <w:rsid w:val="004E1C2F"/>
    <w:rsid w:val="004F71F6"/>
    <w:rsid w:val="004F73BE"/>
    <w:rsid w:val="005026C4"/>
    <w:rsid w:val="00511F83"/>
    <w:rsid w:val="005120E2"/>
    <w:rsid w:val="005152A8"/>
    <w:rsid w:val="00525BCD"/>
    <w:rsid w:val="00543C14"/>
    <w:rsid w:val="00553540"/>
    <w:rsid w:val="00556607"/>
    <w:rsid w:val="005665C2"/>
    <w:rsid w:val="005831CA"/>
    <w:rsid w:val="0058394E"/>
    <w:rsid w:val="00584080"/>
    <w:rsid w:val="00592008"/>
    <w:rsid w:val="00597C0B"/>
    <w:rsid w:val="005A02E9"/>
    <w:rsid w:val="005A375E"/>
    <w:rsid w:val="005B128E"/>
    <w:rsid w:val="005B2F01"/>
    <w:rsid w:val="005B54A8"/>
    <w:rsid w:val="005C3B01"/>
    <w:rsid w:val="005C7229"/>
    <w:rsid w:val="005D3540"/>
    <w:rsid w:val="005D63EA"/>
    <w:rsid w:val="005D76E5"/>
    <w:rsid w:val="005E0E14"/>
    <w:rsid w:val="005E28F4"/>
    <w:rsid w:val="005F1657"/>
    <w:rsid w:val="005F2CD5"/>
    <w:rsid w:val="005F2FAB"/>
    <w:rsid w:val="005F55C3"/>
    <w:rsid w:val="005F5E83"/>
    <w:rsid w:val="005F6F5E"/>
    <w:rsid w:val="005F7307"/>
    <w:rsid w:val="005F7A91"/>
    <w:rsid w:val="006058A1"/>
    <w:rsid w:val="00605C83"/>
    <w:rsid w:val="00633A4E"/>
    <w:rsid w:val="006356F9"/>
    <w:rsid w:val="00635836"/>
    <w:rsid w:val="00642767"/>
    <w:rsid w:val="006445C0"/>
    <w:rsid w:val="006462C1"/>
    <w:rsid w:val="006512FD"/>
    <w:rsid w:val="00655AF8"/>
    <w:rsid w:val="0065719E"/>
    <w:rsid w:val="00660D7D"/>
    <w:rsid w:val="006615DE"/>
    <w:rsid w:val="00663A4C"/>
    <w:rsid w:val="00664876"/>
    <w:rsid w:val="0067024E"/>
    <w:rsid w:val="00670E99"/>
    <w:rsid w:val="00671D6D"/>
    <w:rsid w:val="00672701"/>
    <w:rsid w:val="00675239"/>
    <w:rsid w:val="00680948"/>
    <w:rsid w:val="00681FD7"/>
    <w:rsid w:val="006905EA"/>
    <w:rsid w:val="00691EF5"/>
    <w:rsid w:val="00695029"/>
    <w:rsid w:val="006972DA"/>
    <w:rsid w:val="006A5285"/>
    <w:rsid w:val="006B199F"/>
    <w:rsid w:val="006B413F"/>
    <w:rsid w:val="006C0947"/>
    <w:rsid w:val="006C7CDC"/>
    <w:rsid w:val="006D3424"/>
    <w:rsid w:val="006D40F5"/>
    <w:rsid w:val="006E118E"/>
    <w:rsid w:val="006E1C76"/>
    <w:rsid w:val="006F27C5"/>
    <w:rsid w:val="006F7012"/>
    <w:rsid w:val="00705E6B"/>
    <w:rsid w:val="007078F8"/>
    <w:rsid w:val="00711E31"/>
    <w:rsid w:val="00716F17"/>
    <w:rsid w:val="00721987"/>
    <w:rsid w:val="007227DC"/>
    <w:rsid w:val="007248EB"/>
    <w:rsid w:val="00731DA8"/>
    <w:rsid w:val="007340A1"/>
    <w:rsid w:val="007360E4"/>
    <w:rsid w:val="007371CF"/>
    <w:rsid w:val="00740ABD"/>
    <w:rsid w:val="007516FB"/>
    <w:rsid w:val="00753FA8"/>
    <w:rsid w:val="0078135D"/>
    <w:rsid w:val="007875C2"/>
    <w:rsid w:val="007A5EB8"/>
    <w:rsid w:val="007C1F93"/>
    <w:rsid w:val="007E2284"/>
    <w:rsid w:val="007F1467"/>
    <w:rsid w:val="00800F17"/>
    <w:rsid w:val="00804DEC"/>
    <w:rsid w:val="008139D8"/>
    <w:rsid w:val="00825BAE"/>
    <w:rsid w:val="00830852"/>
    <w:rsid w:val="00833159"/>
    <w:rsid w:val="008412B3"/>
    <w:rsid w:val="00841CA8"/>
    <w:rsid w:val="00841DFB"/>
    <w:rsid w:val="0085386D"/>
    <w:rsid w:val="00855CFD"/>
    <w:rsid w:val="008561EF"/>
    <w:rsid w:val="00863277"/>
    <w:rsid w:val="00863DDF"/>
    <w:rsid w:val="008713D1"/>
    <w:rsid w:val="008728F9"/>
    <w:rsid w:val="00873CDF"/>
    <w:rsid w:val="00884E0A"/>
    <w:rsid w:val="008864A5"/>
    <w:rsid w:val="00890249"/>
    <w:rsid w:val="00892B2A"/>
    <w:rsid w:val="008949A9"/>
    <w:rsid w:val="00897EE2"/>
    <w:rsid w:val="008A07EE"/>
    <w:rsid w:val="008A20A4"/>
    <w:rsid w:val="008A2BBE"/>
    <w:rsid w:val="008A3115"/>
    <w:rsid w:val="008A4657"/>
    <w:rsid w:val="008A53AD"/>
    <w:rsid w:val="008B08D6"/>
    <w:rsid w:val="008C5F0E"/>
    <w:rsid w:val="008D0C1F"/>
    <w:rsid w:val="008D5B40"/>
    <w:rsid w:val="008E6C95"/>
    <w:rsid w:val="008F53F2"/>
    <w:rsid w:val="00902160"/>
    <w:rsid w:val="00912278"/>
    <w:rsid w:val="009142E6"/>
    <w:rsid w:val="00914DBD"/>
    <w:rsid w:val="00917D38"/>
    <w:rsid w:val="00917F4D"/>
    <w:rsid w:val="0093071B"/>
    <w:rsid w:val="00934F89"/>
    <w:rsid w:val="009379E2"/>
    <w:rsid w:val="00946B88"/>
    <w:rsid w:val="00947BF1"/>
    <w:rsid w:val="00961292"/>
    <w:rsid w:val="00961B6D"/>
    <w:rsid w:val="00971023"/>
    <w:rsid w:val="00975EE6"/>
    <w:rsid w:val="00976ECA"/>
    <w:rsid w:val="0098538E"/>
    <w:rsid w:val="00985FA7"/>
    <w:rsid w:val="009964FD"/>
    <w:rsid w:val="0099727A"/>
    <w:rsid w:val="00997527"/>
    <w:rsid w:val="009A3BF7"/>
    <w:rsid w:val="009B3F76"/>
    <w:rsid w:val="009B64CE"/>
    <w:rsid w:val="009C6088"/>
    <w:rsid w:val="009D03D0"/>
    <w:rsid w:val="009D10CE"/>
    <w:rsid w:val="009D7220"/>
    <w:rsid w:val="009E5B59"/>
    <w:rsid w:val="009F11F8"/>
    <w:rsid w:val="00A0049E"/>
    <w:rsid w:val="00A0073E"/>
    <w:rsid w:val="00A03FE6"/>
    <w:rsid w:val="00A04005"/>
    <w:rsid w:val="00A1292D"/>
    <w:rsid w:val="00A37DD0"/>
    <w:rsid w:val="00A518C6"/>
    <w:rsid w:val="00A56F32"/>
    <w:rsid w:val="00A6119E"/>
    <w:rsid w:val="00A62668"/>
    <w:rsid w:val="00A7614A"/>
    <w:rsid w:val="00A83670"/>
    <w:rsid w:val="00A9179D"/>
    <w:rsid w:val="00A96A47"/>
    <w:rsid w:val="00AA512A"/>
    <w:rsid w:val="00AA693C"/>
    <w:rsid w:val="00AB3E96"/>
    <w:rsid w:val="00AD4FA2"/>
    <w:rsid w:val="00AE3FCA"/>
    <w:rsid w:val="00AF772D"/>
    <w:rsid w:val="00B11EC5"/>
    <w:rsid w:val="00B32C21"/>
    <w:rsid w:val="00B434C6"/>
    <w:rsid w:val="00B650B5"/>
    <w:rsid w:val="00B7013C"/>
    <w:rsid w:val="00B72E3D"/>
    <w:rsid w:val="00B739A0"/>
    <w:rsid w:val="00B73A56"/>
    <w:rsid w:val="00B8472B"/>
    <w:rsid w:val="00BA02CE"/>
    <w:rsid w:val="00BA10DE"/>
    <w:rsid w:val="00BA1CEF"/>
    <w:rsid w:val="00BA4D97"/>
    <w:rsid w:val="00BB3308"/>
    <w:rsid w:val="00BD1359"/>
    <w:rsid w:val="00BD6602"/>
    <w:rsid w:val="00BD78E7"/>
    <w:rsid w:val="00BE4615"/>
    <w:rsid w:val="00BE7F9C"/>
    <w:rsid w:val="00BF1942"/>
    <w:rsid w:val="00BF3FE0"/>
    <w:rsid w:val="00BF4E3E"/>
    <w:rsid w:val="00BF6CBC"/>
    <w:rsid w:val="00C03A27"/>
    <w:rsid w:val="00C115CC"/>
    <w:rsid w:val="00C1501A"/>
    <w:rsid w:val="00C239E2"/>
    <w:rsid w:val="00C24133"/>
    <w:rsid w:val="00C263AD"/>
    <w:rsid w:val="00C34CF1"/>
    <w:rsid w:val="00C443D2"/>
    <w:rsid w:val="00C57169"/>
    <w:rsid w:val="00C61B76"/>
    <w:rsid w:val="00C63435"/>
    <w:rsid w:val="00C775C4"/>
    <w:rsid w:val="00C84E71"/>
    <w:rsid w:val="00C915A3"/>
    <w:rsid w:val="00CA709A"/>
    <w:rsid w:val="00CB18A6"/>
    <w:rsid w:val="00CB3C96"/>
    <w:rsid w:val="00CB6078"/>
    <w:rsid w:val="00CD4122"/>
    <w:rsid w:val="00CD4B0F"/>
    <w:rsid w:val="00CE4363"/>
    <w:rsid w:val="00CF6554"/>
    <w:rsid w:val="00D0506A"/>
    <w:rsid w:val="00D068DB"/>
    <w:rsid w:val="00D07785"/>
    <w:rsid w:val="00D10713"/>
    <w:rsid w:val="00D12433"/>
    <w:rsid w:val="00D126E8"/>
    <w:rsid w:val="00D1422E"/>
    <w:rsid w:val="00D14C1D"/>
    <w:rsid w:val="00D16466"/>
    <w:rsid w:val="00D16AB8"/>
    <w:rsid w:val="00D31AF1"/>
    <w:rsid w:val="00D40943"/>
    <w:rsid w:val="00D50D54"/>
    <w:rsid w:val="00D561CF"/>
    <w:rsid w:val="00D60ED5"/>
    <w:rsid w:val="00D61024"/>
    <w:rsid w:val="00D7157D"/>
    <w:rsid w:val="00D73BE5"/>
    <w:rsid w:val="00D758C2"/>
    <w:rsid w:val="00D75EED"/>
    <w:rsid w:val="00D7674D"/>
    <w:rsid w:val="00D82024"/>
    <w:rsid w:val="00D90E20"/>
    <w:rsid w:val="00D95A51"/>
    <w:rsid w:val="00D97C88"/>
    <w:rsid w:val="00DB279C"/>
    <w:rsid w:val="00DB3811"/>
    <w:rsid w:val="00DB4695"/>
    <w:rsid w:val="00DB55FB"/>
    <w:rsid w:val="00DB5B31"/>
    <w:rsid w:val="00DB7725"/>
    <w:rsid w:val="00DC2E83"/>
    <w:rsid w:val="00DC599D"/>
    <w:rsid w:val="00DC6988"/>
    <w:rsid w:val="00DD506A"/>
    <w:rsid w:val="00DE1689"/>
    <w:rsid w:val="00DE2A42"/>
    <w:rsid w:val="00DF1279"/>
    <w:rsid w:val="00DF6EA5"/>
    <w:rsid w:val="00DF7DDF"/>
    <w:rsid w:val="00DF7EE4"/>
    <w:rsid w:val="00E02EFC"/>
    <w:rsid w:val="00E05FC3"/>
    <w:rsid w:val="00E117A7"/>
    <w:rsid w:val="00E1307A"/>
    <w:rsid w:val="00E1437A"/>
    <w:rsid w:val="00E24E65"/>
    <w:rsid w:val="00E261DA"/>
    <w:rsid w:val="00E2768A"/>
    <w:rsid w:val="00E51B11"/>
    <w:rsid w:val="00E60378"/>
    <w:rsid w:val="00E676C2"/>
    <w:rsid w:val="00E70527"/>
    <w:rsid w:val="00E749E2"/>
    <w:rsid w:val="00E76BFF"/>
    <w:rsid w:val="00E7752D"/>
    <w:rsid w:val="00E804BE"/>
    <w:rsid w:val="00E80CDE"/>
    <w:rsid w:val="00E82D75"/>
    <w:rsid w:val="00E94ED9"/>
    <w:rsid w:val="00E968B1"/>
    <w:rsid w:val="00E968F6"/>
    <w:rsid w:val="00E97E99"/>
    <w:rsid w:val="00E97F39"/>
    <w:rsid w:val="00EA7B8C"/>
    <w:rsid w:val="00EB36FA"/>
    <w:rsid w:val="00EB53F7"/>
    <w:rsid w:val="00EC51CC"/>
    <w:rsid w:val="00EC65B2"/>
    <w:rsid w:val="00ED7CFD"/>
    <w:rsid w:val="00EE0F62"/>
    <w:rsid w:val="00EF2055"/>
    <w:rsid w:val="00EF2717"/>
    <w:rsid w:val="00F005AC"/>
    <w:rsid w:val="00F06093"/>
    <w:rsid w:val="00F150A0"/>
    <w:rsid w:val="00F16D2A"/>
    <w:rsid w:val="00F31131"/>
    <w:rsid w:val="00F3282E"/>
    <w:rsid w:val="00F353BF"/>
    <w:rsid w:val="00F57D99"/>
    <w:rsid w:val="00F616FC"/>
    <w:rsid w:val="00F63CDB"/>
    <w:rsid w:val="00F656EA"/>
    <w:rsid w:val="00F658D8"/>
    <w:rsid w:val="00F71E7F"/>
    <w:rsid w:val="00F757CA"/>
    <w:rsid w:val="00F768EE"/>
    <w:rsid w:val="00F90058"/>
    <w:rsid w:val="00FB4768"/>
    <w:rsid w:val="00FC190D"/>
    <w:rsid w:val="00FC2019"/>
    <w:rsid w:val="00FE4719"/>
    <w:rsid w:val="00FF5334"/>
    <w:rsid w:val="00FF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BB097FE5-69AC-4794-954D-305B975C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style>
  <w:style w:type="paragraph" w:styleId="Heading1">
    <w:name w:val="heading 1"/>
    <w:basedOn w:val="Normal"/>
    <w:next w:val="Normal"/>
    <w:link w:val="Heading1Char"/>
    <w:uiPriority w:val="99"/>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uiPriority w:val="99"/>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8C2"/>
    <w:rPr>
      <w:rFonts w:ascii="Times New Roman" w:hAnsi="Times New Roman"/>
      <w:b/>
      <w:sz w:val="24"/>
      <w:lang w:val="en-GB"/>
    </w:rPr>
  </w:style>
  <w:style w:type="character" w:customStyle="1" w:styleId="Heading2Char">
    <w:name w:val="Heading 2 Char"/>
    <w:basedOn w:val="DefaultParagraphFont"/>
    <w:link w:val="Heading2"/>
    <w:uiPriority w:val="99"/>
    <w:locked/>
    <w:rsid w:val="00D758C2"/>
    <w:rPr>
      <w:rFonts w:ascii="Arial" w:hAnsi="Arial"/>
      <w:b/>
      <w:i/>
      <w:sz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uiPriority w:val="99"/>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basedOn w:val="DefaultParagraphFont"/>
    <w:link w:val="BodyText3"/>
    <w:uiPriority w:val="99"/>
    <w:locked/>
    <w:rsid w:val="00D758C2"/>
    <w:rPr>
      <w:rFonts w:ascii="Times New Roman" w:hAnsi="Times New Roman"/>
      <w:b/>
      <w:sz w:val="24"/>
      <w:lang w:val="en-GB"/>
    </w:rPr>
  </w:style>
  <w:style w:type="paragraph" w:customStyle="1" w:styleId="Default">
    <w:name w:val="Default"/>
    <w:basedOn w:val="Normal"/>
    <w:uiPriority w:val="99"/>
    <w:rsid w:val="00D758C2"/>
    <w:pPr>
      <w:autoSpaceDE w:val="0"/>
      <w:autoSpaceDN w:val="0"/>
      <w:spacing w:after="0" w:line="240" w:lineRule="auto"/>
    </w:pPr>
    <w:rPr>
      <w:color w:val="000000"/>
      <w:sz w:val="24"/>
      <w:szCs w:val="24"/>
    </w:rPr>
  </w:style>
  <w:style w:type="character" w:styleId="CommentReference">
    <w:name w:val="annotation reference"/>
    <w:basedOn w:val="DefaultParagraphFont"/>
    <w:uiPriority w:val="99"/>
    <w:semiHidden/>
    <w:rsid w:val="00D758C2"/>
    <w:rPr>
      <w:rFonts w:cs="Times New Roman"/>
      <w:sz w:val="16"/>
    </w:rPr>
  </w:style>
  <w:style w:type="paragraph" w:styleId="CommentText">
    <w:name w:val="annotation text"/>
    <w:basedOn w:val="Normal"/>
    <w:link w:val="CommentTextChar"/>
    <w:uiPriority w:val="99"/>
    <w:semiHidden/>
    <w:rsid w:val="00D758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758C2"/>
    <w:rPr>
      <w:sz w:val="20"/>
    </w:rPr>
  </w:style>
  <w:style w:type="paragraph" w:styleId="BalloonText">
    <w:name w:val="Balloon Text"/>
    <w:basedOn w:val="Normal"/>
    <w:link w:val="BalloonTextChar"/>
    <w:uiPriority w:val="99"/>
    <w:semiHidden/>
    <w:rsid w:val="00D758C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758C2"/>
    <w:rPr>
      <w:rFonts w:ascii="Tahoma" w:hAnsi="Tahoma"/>
      <w:sz w:val="16"/>
    </w:rPr>
  </w:style>
  <w:style w:type="paragraph" w:styleId="CommentSubject">
    <w:name w:val="annotation subject"/>
    <w:basedOn w:val="CommentText"/>
    <w:next w:val="CommentText"/>
    <w:link w:val="CommentSubjectChar"/>
    <w:uiPriority w:val="99"/>
    <w:semiHidden/>
    <w:rsid w:val="00EF2055"/>
    <w:rPr>
      <w:b/>
      <w:bCs/>
    </w:rPr>
  </w:style>
  <w:style w:type="character" w:customStyle="1" w:styleId="CommentSubjectChar">
    <w:name w:val="Comment Subject Char"/>
    <w:basedOn w:val="CommentTextChar"/>
    <w:link w:val="CommentSubject"/>
    <w:uiPriority w:val="99"/>
    <w:semiHidden/>
    <w:locked/>
    <w:rsid w:val="00EF2055"/>
    <w:rPr>
      <w:b/>
      <w:sz w:val="20"/>
    </w:rPr>
  </w:style>
  <w:style w:type="paragraph" w:styleId="Header">
    <w:name w:val="header"/>
    <w:basedOn w:val="Normal"/>
    <w:link w:val="HeaderChar"/>
    <w:uiPriority w:val="99"/>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40A1"/>
    <w:rPr>
      <w:rFonts w:cs="Times New Roman"/>
    </w:rPr>
  </w:style>
  <w:style w:type="paragraph" w:styleId="Footer">
    <w:name w:val="footer"/>
    <w:basedOn w:val="Normal"/>
    <w:link w:val="FooterChar"/>
    <w:uiPriority w:val="99"/>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40A1"/>
    <w:rPr>
      <w:rFonts w:cs="Times New Roman"/>
    </w:rPr>
  </w:style>
  <w:style w:type="character" w:styleId="Hyperlink">
    <w:name w:val="Hyperlink"/>
    <w:basedOn w:val="DefaultParagraphFont"/>
    <w:uiPriority w:val="99"/>
    <w:rsid w:val="00043B0E"/>
    <w:rPr>
      <w:rFonts w:cs="Times New Roman"/>
      <w:color w:val="0000FF"/>
      <w:u w:val="single"/>
    </w:rPr>
  </w:style>
  <w:style w:type="character" w:styleId="FollowedHyperlink">
    <w:name w:val="FollowedHyperlink"/>
    <w:basedOn w:val="DefaultParagraphFont"/>
    <w:uiPriority w:val="99"/>
    <w:semiHidden/>
    <w:rsid w:val="00663A4C"/>
    <w:rPr>
      <w:rFonts w:cs="Times New Roman"/>
      <w:color w:val="800080"/>
      <w:u w:val="single"/>
    </w:rPr>
  </w:style>
  <w:style w:type="table" w:styleId="TableGrid">
    <w:name w:val="Table Grid"/>
    <w:basedOn w:val="TableNormal"/>
    <w:uiPriority w:val="99"/>
    <w:rsid w:val="00DF7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52B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C1D93"/>
    <w:rPr>
      <w:rFonts w:ascii="Times New Roman" w:hAnsi="Times New Roman"/>
      <w:sz w:val="0"/>
      <w:szCs w:val="0"/>
    </w:rPr>
  </w:style>
  <w:style w:type="paragraph" w:styleId="BodyText2">
    <w:name w:val="Body Text 2"/>
    <w:basedOn w:val="Normal"/>
    <w:link w:val="BodyText2Char"/>
    <w:uiPriority w:val="99"/>
    <w:semiHidden/>
    <w:rsid w:val="00C443D2"/>
    <w:pPr>
      <w:spacing w:after="120" w:line="480" w:lineRule="auto"/>
    </w:pPr>
  </w:style>
  <w:style w:type="character" w:customStyle="1" w:styleId="BodyText2Char">
    <w:name w:val="Body Text 2 Char"/>
    <w:basedOn w:val="DefaultParagraphFont"/>
    <w:link w:val="BodyText2"/>
    <w:uiPriority w:val="99"/>
    <w:semiHidden/>
    <w:locked/>
    <w:rsid w:val="00C443D2"/>
    <w:rPr>
      <w:sz w:val="22"/>
      <w:lang w:val="en-US" w:eastAsia="en-US"/>
    </w:rPr>
  </w:style>
  <w:style w:type="character" w:customStyle="1" w:styleId="NoSpacingChar">
    <w:name w:val="No Spacing Char"/>
    <w:basedOn w:val="DefaultParagraphFont"/>
    <w:link w:val="NoSpacing"/>
    <w:uiPriority w:val="99"/>
    <w:locked/>
    <w:rsid w:val="00F06093"/>
    <w:rPr>
      <w:rFonts w:cs="Times New Roman"/>
    </w:rPr>
  </w:style>
  <w:style w:type="paragraph" w:styleId="NoSpacing">
    <w:name w:val="No Spacing"/>
    <w:basedOn w:val="Normal"/>
    <w:link w:val="NoSpacingChar"/>
    <w:uiPriority w:val="99"/>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semiHidden/>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DC6988"/>
    <w:rPr>
      <w:rFonts w:ascii="Arial" w:eastAsia="Times New Roman" w:hAnsi="Arial" w:cs="Times New Roman"/>
      <w:lang w:eastAsia="en-US"/>
    </w:rPr>
  </w:style>
  <w:style w:type="character" w:styleId="FootnoteReference">
    <w:name w:val="footnote reference"/>
    <w:basedOn w:val="DefaultParagraphFont"/>
    <w:uiPriority w:val="99"/>
    <w:semiHidden/>
    <w:rsid w:val="00DC6988"/>
    <w:rPr>
      <w:rFonts w:cs="Times New Roman"/>
      <w:vertAlign w:val="superscript"/>
    </w:rPr>
  </w:style>
  <w:style w:type="character" w:styleId="Strong">
    <w:name w:val="Strong"/>
    <w:basedOn w:val="DefaultParagraphFont"/>
    <w:uiPriority w:val="99"/>
    <w:qFormat/>
    <w:rsid w:val="00E51B11"/>
    <w:rPr>
      <w:rFonts w:cs="Times New Roman"/>
      <w:b/>
      <w:bCs/>
    </w:rPr>
  </w:style>
  <w:style w:type="paragraph" w:customStyle="1" w:styleId="CM2">
    <w:name w:val="CM2"/>
    <w:basedOn w:val="Default"/>
    <w:next w:val="Default"/>
    <w:uiPriority w:val="99"/>
    <w:rsid w:val="00961292"/>
    <w:pPr>
      <w:widowControl w:val="0"/>
      <w:adjustRightInd w:val="0"/>
    </w:pPr>
    <w:rPr>
      <w:rFonts w:ascii="Times New Roman" w:eastAsia="Times New Roman" w:hAnsi="Times New Roman"/>
      <w:color w:val="auto"/>
    </w:rPr>
  </w:style>
  <w:style w:type="paragraph" w:styleId="Revision">
    <w:name w:val="Revision"/>
    <w:hidden/>
    <w:uiPriority w:val="99"/>
    <w:semiHidden/>
    <w:rsid w:val="00DB55FB"/>
  </w:style>
  <w:style w:type="character" w:customStyle="1" w:styleId="hps">
    <w:name w:val="hps"/>
    <w:rsid w:val="0008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9342">
      <w:marLeft w:val="0"/>
      <w:marRight w:val="0"/>
      <w:marTop w:val="0"/>
      <w:marBottom w:val="0"/>
      <w:divBdr>
        <w:top w:val="none" w:sz="0" w:space="0" w:color="auto"/>
        <w:left w:val="none" w:sz="0" w:space="0" w:color="auto"/>
        <w:bottom w:val="none" w:sz="0" w:space="0" w:color="auto"/>
        <w:right w:val="none" w:sz="0" w:space="0" w:color="auto"/>
      </w:divBdr>
    </w:div>
    <w:div w:id="896939343">
      <w:marLeft w:val="0"/>
      <w:marRight w:val="0"/>
      <w:marTop w:val="0"/>
      <w:marBottom w:val="0"/>
      <w:divBdr>
        <w:top w:val="none" w:sz="0" w:space="0" w:color="auto"/>
        <w:left w:val="none" w:sz="0" w:space="0" w:color="auto"/>
        <w:bottom w:val="none" w:sz="0" w:space="0" w:color="auto"/>
        <w:right w:val="none" w:sz="0" w:space="0" w:color="auto"/>
      </w:divBdr>
    </w:div>
    <w:div w:id="896939344">
      <w:marLeft w:val="0"/>
      <w:marRight w:val="0"/>
      <w:marTop w:val="0"/>
      <w:marBottom w:val="0"/>
      <w:divBdr>
        <w:top w:val="none" w:sz="0" w:space="0" w:color="auto"/>
        <w:left w:val="none" w:sz="0" w:space="0" w:color="auto"/>
        <w:bottom w:val="none" w:sz="0" w:space="0" w:color="auto"/>
        <w:right w:val="none" w:sz="0" w:space="0" w:color="auto"/>
      </w:divBdr>
    </w:div>
    <w:div w:id="896939345">
      <w:marLeft w:val="0"/>
      <w:marRight w:val="0"/>
      <w:marTop w:val="0"/>
      <w:marBottom w:val="0"/>
      <w:divBdr>
        <w:top w:val="none" w:sz="0" w:space="0" w:color="auto"/>
        <w:left w:val="none" w:sz="0" w:space="0" w:color="auto"/>
        <w:bottom w:val="none" w:sz="0" w:space="0" w:color="auto"/>
        <w:right w:val="none" w:sz="0" w:space="0" w:color="auto"/>
      </w:divBdr>
    </w:div>
    <w:div w:id="896939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Nina Mikander (UNEP/AEWA Secretariat)</dc:creator>
  <cp:keywords/>
  <dc:description/>
  <cp:lastModifiedBy>Jolanta Kremer (UNEP/AEWA Secretariat)</cp:lastModifiedBy>
  <cp:revision>3</cp:revision>
  <cp:lastPrinted>2015-11-13T18:27:00Z</cp:lastPrinted>
  <dcterms:created xsi:type="dcterms:W3CDTF">2015-11-25T15:07:00Z</dcterms:created>
  <dcterms:modified xsi:type="dcterms:W3CDTF">2015-11-27T09:29:00Z</dcterms:modified>
</cp:coreProperties>
</file>