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54" w:rsidRPr="00A93BE3" w:rsidRDefault="00EC7054" w:rsidP="00B72372">
      <w:pPr>
        <w:rPr>
          <w:lang w:val="fr-FR"/>
        </w:rPr>
      </w:pPr>
    </w:p>
    <w:p w:rsidR="00EC7054" w:rsidRPr="00A93BE3" w:rsidRDefault="00EC7054" w:rsidP="009F147A">
      <w:pPr>
        <w:jc w:val="center"/>
        <w:rPr>
          <w:lang w:val="fr-FR"/>
        </w:rPr>
      </w:pPr>
      <w:r w:rsidRPr="00A93BE3">
        <w:rPr>
          <w:sz w:val="22"/>
          <w:szCs w:val="22"/>
          <w:lang w:val="fr-FR"/>
        </w:rPr>
        <w:t>RÉSOLUTION 6.14</w:t>
      </w:r>
    </w:p>
    <w:p w:rsidR="00EC7054" w:rsidRPr="00A93BE3" w:rsidRDefault="00EC7054" w:rsidP="009F147A">
      <w:pPr>
        <w:rPr>
          <w:sz w:val="22"/>
          <w:szCs w:val="22"/>
          <w:lang w:val="fr-FR"/>
        </w:rPr>
      </w:pPr>
    </w:p>
    <w:p w:rsidR="00EC7054" w:rsidRPr="007F72D4" w:rsidRDefault="00EC7054" w:rsidP="007F72D4">
      <w:pPr>
        <w:jc w:val="center"/>
        <w:rPr>
          <w:b/>
          <w:bCs/>
          <w:sz w:val="22"/>
          <w:szCs w:val="22"/>
          <w:lang w:val="fr-FR"/>
        </w:rPr>
      </w:pPr>
      <w:r w:rsidRPr="00A93BE3">
        <w:rPr>
          <w:b/>
          <w:bCs/>
          <w:sz w:val="22"/>
          <w:szCs w:val="22"/>
          <w:lang w:val="fr-FR"/>
        </w:rPr>
        <w:t>EXTENSION ET RÉVISION DU PLAN STRATÉGIQUE DE L'AEWA ET DU PLAN D’ACTION DE L’AEWA POUR L’AFRIQUE</w:t>
      </w:r>
    </w:p>
    <w:p w:rsidR="00EC7054" w:rsidRPr="00A93BE3" w:rsidRDefault="00EC7054" w:rsidP="009F147A">
      <w:pPr>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Rappelant</w:t>
      </w:r>
      <w:r w:rsidRPr="00A93BE3">
        <w:rPr>
          <w:sz w:val="22"/>
          <w:szCs w:val="22"/>
          <w:lang w:val="fr-FR"/>
        </w:rPr>
        <w:t xml:space="preserve"> la résolution 4.7. par laquelle, entre autres, la Réunion des Parties a adopté le premier Plan stratégique de l’AEWA pour la période 2009-2017,</w:t>
      </w:r>
    </w:p>
    <w:p w:rsidR="00EC7054" w:rsidRPr="00A93BE3" w:rsidRDefault="00EC7054" w:rsidP="007F72D4">
      <w:pPr>
        <w:ind w:firstLine="720"/>
        <w:jc w:val="center"/>
        <w:rPr>
          <w:sz w:val="22"/>
          <w:szCs w:val="22"/>
          <w:lang w:val="fr-FR"/>
        </w:rPr>
      </w:pPr>
    </w:p>
    <w:p w:rsidR="00EC7054" w:rsidRPr="00A93BE3" w:rsidRDefault="00EC7054" w:rsidP="006970FD">
      <w:pPr>
        <w:ind w:firstLine="720"/>
        <w:jc w:val="both"/>
        <w:rPr>
          <w:sz w:val="22"/>
          <w:szCs w:val="22"/>
          <w:lang w:val="fr-FR"/>
        </w:rPr>
      </w:pPr>
      <w:r w:rsidRPr="00A93BE3">
        <w:rPr>
          <w:i/>
          <w:iCs/>
          <w:sz w:val="22"/>
          <w:szCs w:val="22"/>
          <w:lang w:val="fr-FR"/>
        </w:rPr>
        <w:t>Notant</w:t>
      </w:r>
      <w:r w:rsidRPr="00A93BE3">
        <w:rPr>
          <w:sz w:val="22"/>
          <w:szCs w:val="22"/>
          <w:lang w:val="fr-FR"/>
        </w:rPr>
        <w:t xml:space="preserve"> le progrès limité de la mise en œuvre du Plan stratégique de l’AEWA à ce jour, tel que rapporté par le Comité permanent (documents AEWA/MOP 5.11 et AEWA/MOP 6.12), et </w:t>
      </w:r>
      <w:r w:rsidRPr="00A93BE3">
        <w:rPr>
          <w:i/>
          <w:iCs/>
          <w:sz w:val="22"/>
          <w:szCs w:val="22"/>
          <w:lang w:val="fr-FR"/>
        </w:rPr>
        <w:t xml:space="preserve">notant en outre </w:t>
      </w:r>
      <w:r w:rsidRPr="00A93BE3">
        <w:rPr>
          <w:sz w:val="22"/>
          <w:szCs w:val="22"/>
          <w:lang w:val="fr-FR"/>
        </w:rPr>
        <w:t xml:space="preserve">les rapports nationaux incomplets soumis par certaines Parties contractantes qui rendent impossible une évaluation complète de la mise en œuvre, </w:t>
      </w:r>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Rappelant</w:t>
      </w:r>
      <w:r w:rsidRPr="00A93BE3">
        <w:rPr>
          <w:sz w:val="22"/>
          <w:szCs w:val="22"/>
          <w:lang w:val="fr-FR"/>
        </w:rPr>
        <w:t xml:space="preserve"> la résolution 5.9 par laquelle la Réunion des Parties a adopté le Plan d’action pour l’Afrique de l’AEWA pour 2012-2017 comme guide pour la mise en œuvre du Plan stratégique 2009-2017 de l’AEWA dans la région d’Afrique,</w:t>
      </w:r>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sz w:val="22"/>
          <w:szCs w:val="22"/>
          <w:lang w:val="fr-FR"/>
        </w:rPr>
        <w:t>Reconnaissant les résultats positifs de la mise en œuvre du plan d’action pour l’Afrique au cours de la période de 2012-2015 (document AEWA/MOP 6.11),</w:t>
      </w:r>
    </w:p>
    <w:p w:rsidR="00EC7054" w:rsidRPr="00A93BE3" w:rsidRDefault="00EC7054" w:rsidP="009F147A">
      <w:pPr>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 xml:space="preserve">Exprimant sa gratitude </w:t>
      </w:r>
      <w:r w:rsidRPr="00A93BE3">
        <w:rPr>
          <w:sz w:val="22"/>
          <w:szCs w:val="22"/>
          <w:lang w:val="fr-FR"/>
        </w:rPr>
        <w:t>au Gouvernements français et sénégalais pour leurs généreuses contributions substantielles à la mise en œuvre du Plan d’action pour l’Afrique par l’intermédiaire de l’Unité de soutien technique accueillie par le Fondation Tour du Valat en France et la Direction des parcs nationaux (DPN) au Sénégal et aussi sou</w:t>
      </w:r>
      <w:r w:rsidR="00537FD6">
        <w:rPr>
          <w:sz w:val="22"/>
          <w:szCs w:val="22"/>
          <w:lang w:val="fr-FR"/>
        </w:rPr>
        <w:t xml:space="preserve">tenu par la Direction </w:t>
      </w:r>
      <w:r w:rsidRPr="00A93BE3">
        <w:rPr>
          <w:sz w:val="22"/>
          <w:szCs w:val="22"/>
          <w:lang w:val="fr-FR"/>
        </w:rPr>
        <w:t xml:space="preserve">de l’eau et de la </w:t>
      </w:r>
      <w:r w:rsidRPr="00E5707C">
        <w:rPr>
          <w:sz w:val="22"/>
          <w:szCs w:val="22"/>
          <w:lang w:val="fr-FR"/>
        </w:rPr>
        <w:t xml:space="preserve">biodiversité </w:t>
      </w:r>
      <w:r w:rsidR="00537FD6" w:rsidRPr="00E5707C">
        <w:rPr>
          <w:sz w:val="22"/>
          <w:szCs w:val="22"/>
          <w:lang w:val="fr-FR"/>
        </w:rPr>
        <w:t xml:space="preserve">du ministère français de l’Ecologie, du Développement Durable et de l’Energie (MDDE) </w:t>
      </w:r>
      <w:r w:rsidRPr="00E5707C">
        <w:rPr>
          <w:sz w:val="22"/>
          <w:szCs w:val="22"/>
          <w:lang w:val="fr-FR"/>
        </w:rPr>
        <w:t>et l’Office National de la Chasse et de la Faune Sauvage (ONCFS),</w:t>
      </w:r>
      <w:bookmarkStart w:id="0" w:name="_GoBack"/>
      <w:bookmarkEnd w:id="0"/>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Exprimant aussi sa gratitude</w:t>
      </w:r>
      <w:r w:rsidRPr="00A93BE3">
        <w:rPr>
          <w:sz w:val="22"/>
          <w:szCs w:val="22"/>
          <w:lang w:val="fr-FR"/>
        </w:rPr>
        <w:t xml:space="preserve"> au Gouvernement suisse pour le co-financement généreux de la coordination de l’Initiative africaine de l’AEWA pendant la période triennale passée,</w:t>
      </w:r>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Exprimant également sa reconnaissance</w:t>
      </w:r>
      <w:r w:rsidRPr="00A93BE3">
        <w:rPr>
          <w:sz w:val="22"/>
          <w:szCs w:val="22"/>
          <w:lang w:val="fr-FR"/>
        </w:rPr>
        <w:t xml:space="preserve"> au Gouvernement allemand pour le financement généreux du poste d’Assistant de programme pour l’Initiative africaine de l’AEWA pendant la période triennale passée,</w:t>
      </w:r>
    </w:p>
    <w:p w:rsidR="00EC7054" w:rsidRPr="00A93BE3" w:rsidRDefault="00EC7054" w:rsidP="009F147A">
      <w:pPr>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Remerciant également</w:t>
      </w:r>
      <w:r w:rsidRPr="00A93BE3">
        <w:rPr>
          <w:sz w:val="22"/>
          <w:szCs w:val="22"/>
          <w:lang w:val="fr-FR"/>
        </w:rPr>
        <w:t xml:space="preserve"> les Gouvernements du Botswana, de la France, de l’Allemagne, du Kenya, du Rwanda, du Royaume-Uni, de l’Ouganda, de la République Unie de Tanzanie, de l’Afrique du Sud et de la Suisse, ainsi que la Commission européenne et les partenaires de l’AEWA, notamment le Programme de conservation de la Grue d’Afrique, BirdLife International, le Secrétariat commun de la mer des Wadden, l’Office National de la Chasse et de la Faune Sauvage (ONCFS) de France, le Naturschutzbund</w:t>
      </w:r>
      <w:r w:rsidR="007C1605" w:rsidRPr="00A93BE3">
        <w:rPr>
          <w:sz w:val="22"/>
          <w:szCs w:val="22"/>
          <w:lang w:val="fr-FR"/>
        </w:rPr>
        <w:t xml:space="preserve"> </w:t>
      </w:r>
      <w:r w:rsidRPr="00A93BE3">
        <w:rPr>
          <w:sz w:val="22"/>
          <w:szCs w:val="22"/>
          <w:lang w:val="fr-FR"/>
        </w:rPr>
        <w:t>Deutschland (NABU – le partenaire de BirdLife Partner en Allemagne) et Wetlands International pour leurs contributions financières volontaires et substantielles en vue de soutenir les activités réalisées dans le cadre de l’Initiative africaine de l’AEWA pendant la période 2012-2015,</w:t>
      </w:r>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Reconnaissant en outre</w:t>
      </w:r>
      <w:r w:rsidRPr="00A93BE3">
        <w:rPr>
          <w:sz w:val="22"/>
          <w:szCs w:val="22"/>
          <w:lang w:val="fr-FR"/>
        </w:rPr>
        <w:t xml:space="preserve"> la coopération avec et l’appui fourni à l’Initiative africaine par la Convention sur la conservation des espèces migratrices appartenant à la faune sauvage et d’autres accords environnementaux multilatéraux partenaires, en particulier la Convention de Ramsar,</w:t>
      </w:r>
    </w:p>
    <w:p w:rsidR="00EC7054" w:rsidRPr="00A93BE3" w:rsidRDefault="00EC7054" w:rsidP="009F147A">
      <w:pPr>
        <w:ind w:firstLine="720"/>
        <w:jc w:val="both"/>
        <w:rPr>
          <w:sz w:val="22"/>
          <w:szCs w:val="22"/>
          <w:lang w:val="fr-FR"/>
        </w:rPr>
        <w:sectPr w:rsidR="00EC7054" w:rsidRPr="00A93BE3" w:rsidSect="00B72372">
          <w:headerReference w:type="default" r:id="rId7"/>
          <w:pgSz w:w="11906" w:h="16838" w:code="9"/>
          <w:pgMar w:top="1021" w:right="1134" w:bottom="851" w:left="1134" w:header="851" w:footer="510" w:gutter="0"/>
          <w:pgNumType w:start="2"/>
          <w:cols w:space="708"/>
          <w:docGrid w:linePitch="360"/>
        </w:sectPr>
      </w:pPr>
    </w:p>
    <w:p w:rsidR="00EC7054" w:rsidRPr="00A93BE3" w:rsidRDefault="00EC7054" w:rsidP="009F147A">
      <w:pPr>
        <w:ind w:firstLine="720"/>
        <w:jc w:val="both"/>
        <w:rPr>
          <w:lang w:val="fr-FR"/>
        </w:rPr>
      </w:pPr>
      <w:r w:rsidRPr="00A93BE3">
        <w:rPr>
          <w:i/>
          <w:iCs/>
          <w:sz w:val="22"/>
          <w:szCs w:val="22"/>
          <w:lang w:val="fr-FR"/>
        </w:rPr>
        <w:lastRenderedPageBreak/>
        <w:t xml:space="preserve">Reconnaissant </w:t>
      </w:r>
      <w:r w:rsidRPr="00A93BE3">
        <w:rPr>
          <w:sz w:val="22"/>
          <w:szCs w:val="22"/>
          <w:lang w:val="fr-FR"/>
        </w:rPr>
        <w:t xml:space="preserve">le besoin de mobiliser davantage de ressources financières substantielles et autres pour la mise en œuvre effective des activités décrites dans le Plan d’action 2012-2017 de l’AEWA, </w:t>
      </w:r>
    </w:p>
    <w:p w:rsidR="00EC7054" w:rsidRPr="00A93BE3" w:rsidRDefault="00EC7054" w:rsidP="009F147A">
      <w:pPr>
        <w:ind w:firstLine="720"/>
        <w:jc w:val="both"/>
        <w:rPr>
          <w:sz w:val="22"/>
          <w:szCs w:val="22"/>
          <w:lang w:val="fr-FR"/>
        </w:rPr>
      </w:pPr>
    </w:p>
    <w:p w:rsidR="00EC7054" w:rsidRPr="00A93BE3" w:rsidRDefault="00EC7054" w:rsidP="009F147A">
      <w:pPr>
        <w:ind w:firstLine="720"/>
        <w:jc w:val="both"/>
        <w:rPr>
          <w:sz w:val="22"/>
          <w:szCs w:val="22"/>
          <w:lang w:val="fr-FR"/>
        </w:rPr>
      </w:pPr>
      <w:r w:rsidRPr="00A93BE3">
        <w:rPr>
          <w:i/>
          <w:iCs/>
          <w:sz w:val="22"/>
          <w:szCs w:val="22"/>
          <w:lang w:val="fr-FR"/>
        </w:rPr>
        <w:t>Reconnaissant</w:t>
      </w:r>
      <w:r w:rsidRPr="00A93BE3">
        <w:rPr>
          <w:sz w:val="22"/>
          <w:szCs w:val="22"/>
          <w:lang w:val="fr-FR"/>
        </w:rPr>
        <w:t xml:space="preserve"> la résolution 11.2 de la Convention sur la conservation des espèces migratrices qui a adopté le Plan stratégique pour les espèces migratrices 2015-2023, a invité les instruments de la Famille CMS, notamment d’intégrer les buts et les objectifs du Plan stratégique dans les instruments de politique et de planification pertinents et a invité les organes décisionnaires des instruments de la CMS à examiner le Plan stratégique pour adoption lors de leurs prochaines réunions,</w:t>
      </w:r>
    </w:p>
    <w:p w:rsidR="00EC7054" w:rsidRPr="00A93BE3" w:rsidRDefault="00EC7054" w:rsidP="009F147A">
      <w:pPr>
        <w:ind w:firstLine="720"/>
        <w:jc w:val="both"/>
        <w:rPr>
          <w:sz w:val="22"/>
          <w:szCs w:val="22"/>
          <w:lang w:val="fr-FR"/>
        </w:rPr>
      </w:pPr>
    </w:p>
    <w:p w:rsidR="00EC7054" w:rsidRPr="00A93BE3" w:rsidRDefault="00EC7054" w:rsidP="009000C5">
      <w:pPr>
        <w:ind w:firstLine="720"/>
        <w:jc w:val="both"/>
        <w:rPr>
          <w:sz w:val="22"/>
          <w:szCs w:val="22"/>
          <w:lang w:val="fr-FR"/>
        </w:rPr>
      </w:pPr>
      <w:r w:rsidRPr="00A93BE3">
        <w:rPr>
          <w:i/>
          <w:iCs/>
          <w:sz w:val="22"/>
          <w:szCs w:val="22"/>
          <w:lang w:val="fr-FR"/>
        </w:rPr>
        <w:t xml:space="preserve">Notant </w:t>
      </w:r>
      <w:r w:rsidRPr="00A93BE3">
        <w:rPr>
          <w:sz w:val="22"/>
          <w:szCs w:val="22"/>
          <w:lang w:val="fr-FR"/>
        </w:rPr>
        <w:t>que la 7</w:t>
      </w:r>
      <w:r w:rsidRPr="00A93BE3">
        <w:rPr>
          <w:sz w:val="22"/>
          <w:szCs w:val="22"/>
          <w:vertAlign w:val="superscript"/>
          <w:lang w:val="fr-FR"/>
        </w:rPr>
        <w:t>ème</w:t>
      </w:r>
      <w:r w:rsidR="007F72D4">
        <w:rPr>
          <w:sz w:val="22"/>
          <w:szCs w:val="22"/>
          <w:vertAlign w:val="superscript"/>
          <w:lang w:val="fr-FR"/>
        </w:rPr>
        <w:t xml:space="preserve"> </w:t>
      </w:r>
      <w:r w:rsidRPr="00A93BE3">
        <w:rPr>
          <w:sz w:val="22"/>
          <w:szCs w:val="22"/>
          <w:lang w:val="fr-FR"/>
        </w:rPr>
        <w:t xml:space="preserve">session de la Réunion des Parties à l’AEWA (MOP7) n’aura pas lieu </w:t>
      </w:r>
      <w:r w:rsidRPr="00A93BE3">
        <w:rPr>
          <w:sz w:val="22"/>
          <w:szCs w:val="22"/>
          <w:lang w:val="fr-FR"/>
        </w:rPr>
        <w:br w:type="textWrapping" w:clear="all"/>
        <w:t xml:space="preserve">avant 2018. </w:t>
      </w:r>
    </w:p>
    <w:p w:rsidR="00EC7054" w:rsidRPr="00A93BE3" w:rsidRDefault="00EC7054" w:rsidP="009F147A">
      <w:pPr>
        <w:jc w:val="both"/>
        <w:rPr>
          <w:sz w:val="22"/>
          <w:szCs w:val="22"/>
          <w:lang w:val="fr-FR"/>
        </w:rPr>
      </w:pPr>
    </w:p>
    <w:p w:rsidR="00EC7054" w:rsidRPr="00A93BE3" w:rsidRDefault="00EC7054" w:rsidP="009F147A">
      <w:pPr>
        <w:ind w:firstLine="720"/>
        <w:jc w:val="both"/>
        <w:rPr>
          <w:i/>
          <w:iCs/>
          <w:sz w:val="22"/>
          <w:szCs w:val="22"/>
          <w:lang w:val="fr-FR"/>
        </w:rPr>
      </w:pPr>
    </w:p>
    <w:p w:rsidR="00EC7054" w:rsidRPr="00A93BE3" w:rsidRDefault="00EC7054" w:rsidP="009F147A">
      <w:pPr>
        <w:jc w:val="both"/>
        <w:rPr>
          <w:i/>
          <w:iCs/>
          <w:sz w:val="22"/>
          <w:szCs w:val="22"/>
          <w:lang w:val="fr-FR"/>
        </w:rPr>
      </w:pPr>
      <w:r w:rsidRPr="00A93BE3">
        <w:rPr>
          <w:i/>
          <w:iCs/>
          <w:sz w:val="22"/>
          <w:szCs w:val="22"/>
          <w:lang w:val="fr-FR"/>
        </w:rPr>
        <w:t>La Réunion des Parties :</w:t>
      </w:r>
    </w:p>
    <w:p w:rsidR="00EC7054" w:rsidRPr="00A93BE3" w:rsidRDefault="00EC7054" w:rsidP="009F147A">
      <w:pPr>
        <w:jc w:val="both"/>
        <w:rPr>
          <w:i/>
          <w:iCs/>
          <w:sz w:val="22"/>
          <w:szCs w:val="22"/>
          <w:lang w:val="fr-FR"/>
        </w:rPr>
      </w:pPr>
    </w:p>
    <w:p w:rsidR="00EC7054" w:rsidRPr="00A93BE3" w:rsidRDefault="00EC7054" w:rsidP="001F424B">
      <w:pPr>
        <w:numPr>
          <w:ilvl w:val="0"/>
          <w:numId w:val="3"/>
        </w:numPr>
        <w:ind w:left="0" w:firstLine="0"/>
        <w:jc w:val="both"/>
        <w:rPr>
          <w:sz w:val="22"/>
          <w:szCs w:val="22"/>
          <w:lang w:val="fr-FR"/>
        </w:rPr>
      </w:pPr>
      <w:r w:rsidRPr="00A93BE3">
        <w:rPr>
          <w:i/>
          <w:iCs/>
          <w:sz w:val="22"/>
          <w:szCs w:val="22"/>
          <w:lang w:val="fr-FR"/>
        </w:rPr>
        <w:t xml:space="preserve">Prolonge </w:t>
      </w:r>
      <w:r w:rsidRPr="00A93BE3">
        <w:rPr>
          <w:sz w:val="22"/>
          <w:szCs w:val="22"/>
          <w:lang w:val="fr-FR"/>
        </w:rPr>
        <w:t>le Plan stratégique de l’AEWA et le Plan d’action pour l’Afrique de l’AEWA jusqu’à la MOP7 ;</w:t>
      </w:r>
    </w:p>
    <w:p w:rsidR="00EC7054" w:rsidRPr="00A93BE3" w:rsidRDefault="00EC7054" w:rsidP="009F147A">
      <w:pPr>
        <w:ind w:left="360"/>
        <w:jc w:val="both"/>
        <w:rPr>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 xml:space="preserve">Prie </w:t>
      </w:r>
      <w:r w:rsidRPr="00A93BE3">
        <w:rPr>
          <w:iCs/>
          <w:sz w:val="22"/>
          <w:szCs w:val="22"/>
          <w:lang w:val="fr-FR"/>
        </w:rPr>
        <w:t>instamment toutes les Parties contractantes et les autres parties prenantes d’intensifier la mise en œuvre du Plan stratégique de l’AEWA et du Plan d’action pour l’Afrique et invite les Etats de l'aire de répartition non Parties à tenir compte des deux processus d’élaboration de politique</w:t>
      </w:r>
      <w:r w:rsidR="007C1605" w:rsidRPr="00A93BE3">
        <w:rPr>
          <w:iCs/>
          <w:sz w:val="22"/>
          <w:szCs w:val="22"/>
          <w:lang w:val="fr-FR"/>
        </w:rPr>
        <w:t xml:space="preserve"> </w:t>
      </w:r>
      <w:r w:rsidRPr="00A93BE3">
        <w:rPr>
          <w:iCs/>
          <w:sz w:val="22"/>
          <w:szCs w:val="22"/>
          <w:lang w:val="fr-FR"/>
        </w:rPr>
        <w:t>;</w:t>
      </w:r>
    </w:p>
    <w:p w:rsidR="00EC7054" w:rsidRPr="00A93BE3" w:rsidRDefault="00EC7054" w:rsidP="001F424B">
      <w:pPr>
        <w:pStyle w:val="ListParagraph"/>
        <w:rPr>
          <w:i/>
          <w:iCs/>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 xml:space="preserve">Demande </w:t>
      </w:r>
      <w:r w:rsidRPr="00A93BE3">
        <w:rPr>
          <w:iCs/>
          <w:sz w:val="22"/>
          <w:szCs w:val="22"/>
          <w:lang w:val="fr-FR"/>
        </w:rPr>
        <w:t>aux pays et organisations donateurs de contribuer davantage à la mise en œuvre du Plan stratégique de l’AEWA et du Plan d’action pour l’Afrique par le biais de contributions financières et en nature</w:t>
      </w:r>
      <w:r w:rsidR="007C1605" w:rsidRPr="00A93BE3">
        <w:rPr>
          <w:iCs/>
          <w:sz w:val="22"/>
          <w:szCs w:val="22"/>
          <w:lang w:val="fr-FR"/>
        </w:rPr>
        <w:t xml:space="preserve"> </w:t>
      </w:r>
      <w:r w:rsidRPr="00A93BE3">
        <w:rPr>
          <w:iCs/>
          <w:sz w:val="22"/>
          <w:szCs w:val="22"/>
          <w:lang w:val="fr-FR"/>
        </w:rPr>
        <w:t>;</w:t>
      </w:r>
    </w:p>
    <w:p w:rsidR="00EC7054" w:rsidRPr="00A93BE3" w:rsidRDefault="00EC7054" w:rsidP="001F424B">
      <w:pPr>
        <w:pStyle w:val="ListParagraph"/>
        <w:rPr>
          <w:i/>
          <w:iCs/>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 xml:space="preserve"> Prie enfin </w:t>
      </w:r>
      <w:r w:rsidRPr="00A93BE3">
        <w:rPr>
          <w:iCs/>
          <w:sz w:val="22"/>
          <w:szCs w:val="22"/>
          <w:lang w:val="fr-FR"/>
        </w:rPr>
        <w:t>toutes les Parties contractantes de fournir des rapports nationaux complets et exhaustifs à la MOP7 pour permettre une évaluation globale de la mise en œuvre du Plan stratégique de l’AEWA et du Plan d’action pour l’Afrique</w:t>
      </w:r>
      <w:r w:rsidR="007C1605" w:rsidRPr="00A93BE3">
        <w:rPr>
          <w:iCs/>
          <w:sz w:val="22"/>
          <w:szCs w:val="22"/>
          <w:lang w:val="fr-FR"/>
        </w:rPr>
        <w:t xml:space="preserve"> </w:t>
      </w:r>
      <w:r w:rsidRPr="00A93BE3">
        <w:rPr>
          <w:iCs/>
          <w:sz w:val="22"/>
          <w:szCs w:val="22"/>
          <w:lang w:val="fr-FR"/>
        </w:rPr>
        <w:t xml:space="preserve">; </w:t>
      </w:r>
    </w:p>
    <w:p w:rsidR="00EC7054" w:rsidRPr="00A93BE3" w:rsidRDefault="00EC7054" w:rsidP="001F424B">
      <w:pPr>
        <w:pStyle w:val="ListParagraph"/>
        <w:rPr>
          <w:i/>
          <w:iCs/>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 xml:space="preserve">Décide </w:t>
      </w:r>
      <w:r w:rsidRPr="00A93BE3">
        <w:rPr>
          <w:iCs/>
          <w:sz w:val="22"/>
          <w:szCs w:val="22"/>
          <w:lang w:val="fr-FR"/>
        </w:rPr>
        <w:t>de fixer la date butoir de soumission des rapports nationaux par les Parties contractantes à la MOP7 à au moins 180 jours avant la date fixée pour l’ouverture de la MOP7 ;</w:t>
      </w:r>
    </w:p>
    <w:p w:rsidR="00EC7054" w:rsidRPr="00A93BE3" w:rsidRDefault="00EC7054" w:rsidP="001F424B">
      <w:pPr>
        <w:pStyle w:val="ListParagraph"/>
        <w:rPr>
          <w:iCs/>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Charge</w:t>
      </w:r>
      <w:r w:rsidR="007C1605" w:rsidRPr="00A93BE3">
        <w:rPr>
          <w:i/>
          <w:iCs/>
          <w:sz w:val="22"/>
          <w:szCs w:val="22"/>
          <w:lang w:val="fr-FR"/>
        </w:rPr>
        <w:t xml:space="preserve"> </w:t>
      </w:r>
      <w:r w:rsidRPr="00A93BE3">
        <w:rPr>
          <w:iCs/>
          <w:sz w:val="22"/>
          <w:szCs w:val="22"/>
          <w:lang w:val="fr-FR"/>
        </w:rPr>
        <w:t>le Comité permanent, travaillant avec le Comité technique et bénéficiant de l’appui du Secrétariat, de réviser le Plan stratégique de l’AEWA, tenant compte du Plan stratégique pour les espèces migratrices 2015-2023, et de présenter un projet de plan pour la période 2019-2027 pour examen et adoption par la MOP7</w:t>
      </w:r>
      <w:r w:rsidR="00D82410" w:rsidRPr="00A93BE3">
        <w:rPr>
          <w:iCs/>
          <w:sz w:val="22"/>
          <w:szCs w:val="22"/>
          <w:lang w:val="fr-FR"/>
        </w:rPr>
        <w:t xml:space="preserve"> </w:t>
      </w:r>
      <w:r w:rsidRPr="00A93BE3">
        <w:rPr>
          <w:iCs/>
          <w:sz w:val="22"/>
          <w:szCs w:val="22"/>
          <w:lang w:val="fr-FR"/>
        </w:rPr>
        <w:t>;</w:t>
      </w:r>
    </w:p>
    <w:p w:rsidR="00EC7054" w:rsidRPr="00A93BE3" w:rsidRDefault="00EC7054" w:rsidP="001F424B">
      <w:pPr>
        <w:pStyle w:val="ListParagraph"/>
        <w:rPr>
          <w:i/>
          <w:iCs/>
          <w:sz w:val="22"/>
          <w:szCs w:val="22"/>
          <w:lang w:val="fr-FR"/>
        </w:rPr>
      </w:pPr>
    </w:p>
    <w:p w:rsidR="00EC7054" w:rsidRPr="00A93BE3" w:rsidRDefault="00EC7054" w:rsidP="001F424B">
      <w:pPr>
        <w:numPr>
          <w:ilvl w:val="0"/>
          <w:numId w:val="3"/>
        </w:numPr>
        <w:ind w:left="0" w:firstLine="0"/>
        <w:jc w:val="both"/>
        <w:rPr>
          <w:iCs/>
          <w:sz w:val="22"/>
          <w:szCs w:val="22"/>
          <w:lang w:val="fr-FR"/>
        </w:rPr>
      </w:pPr>
      <w:r w:rsidRPr="00A93BE3">
        <w:rPr>
          <w:i/>
          <w:iCs/>
          <w:sz w:val="22"/>
          <w:szCs w:val="22"/>
          <w:lang w:val="fr-FR"/>
        </w:rPr>
        <w:t>Charge en outre</w:t>
      </w:r>
      <w:r w:rsidR="007C1605" w:rsidRPr="00A93BE3">
        <w:rPr>
          <w:i/>
          <w:iCs/>
          <w:sz w:val="22"/>
          <w:szCs w:val="22"/>
          <w:lang w:val="fr-FR"/>
        </w:rPr>
        <w:t xml:space="preserve"> </w:t>
      </w:r>
      <w:r w:rsidRPr="00A93BE3">
        <w:rPr>
          <w:iCs/>
          <w:sz w:val="22"/>
          <w:szCs w:val="22"/>
          <w:lang w:val="fr-FR"/>
        </w:rPr>
        <w:t>le Comité permanent, travaillant avec le Comité technique et bénéficiant de l’appui du Secrétariat, de réviser le Plan d’action pour l’Afrique de l’AEWA, parallèlement à la révision du Plan stratégique, et de présenter un projet de plan pour la période 2019-2027 pour examen et adoption par la MOP7.</w:t>
      </w:r>
    </w:p>
    <w:p w:rsidR="00EC7054" w:rsidRPr="00A93BE3" w:rsidRDefault="00EC7054" w:rsidP="009F147A">
      <w:pPr>
        <w:pStyle w:val="ListParagraph"/>
        <w:jc w:val="both"/>
        <w:rPr>
          <w:i/>
          <w:iCs/>
          <w:sz w:val="22"/>
          <w:szCs w:val="22"/>
          <w:lang w:val="fr-FR"/>
        </w:rPr>
      </w:pPr>
    </w:p>
    <w:p w:rsidR="00EC7054" w:rsidRPr="00A93BE3" w:rsidRDefault="00EC7054" w:rsidP="009F147A">
      <w:pPr>
        <w:ind w:left="360"/>
        <w:rPr>
          <w:i/>
          <w:iCs/>
          <w:sz w:val="22"/>
          <w:szCs w:val="22"/>
          <w:lang w:val="fr-FR"/>
        </w:rPr>
      </w:pPr>
    </w:p>
    <w:p w:rsidR="00EC7054" w:rsidRPr="00A93BE3" w:rsidRDefault="00EC7054" w:rsidP="00D15021">
      <w:pPr>
        <w:rPr>
          <w:lang w:val="fr-FR"/>
        </w:rPr>
      </w:pPr>
    </w:p>
    <w:sectPr w:rsidR="00EC7054" w:rsidRPr="00A93BE3" w:rsidSect="00B72372">
      <w:headerReference w:type="default" r:id="rId8"/>
      <w:footerReference w:type="default" r:id="rId9"/>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54" w:rsidRDefault="00EC7054">
      <w:r>
        <w:separator/>
      </w:r>
    </w:p>
  </w:endnote>
  <w:endnote w:type="continuationSeparator" w:id="0">
    <w:p w:rsidR="00EC7054" w:rsidRDefault="00E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54" w:rsidRDefault="00EC7054" w:rsidP="00E34F1B">
    <w:pPr>
      <w:pStyle w:val="Footer"/>
      <w:jc w:val="center"/>
    </w:pPr>
    <w:r w:rsidRPr="00E34F1B">
      <w:rPr>
        <w:sz w:val="20"/>
        <w:szCs w:val="20"/>
      </w:rPr>
      <w:fldChar w:fldCharType="begin"/>
    </w:r>
    <w:r w:rsidRPr="00E34F1B">
      <w:rPr>
        <w:sz w:val="20"/>
        <w:szCs w:val="20"/>
      </w:rPr>
      <w:instrText xml:space="preserve"> PAGE   \* MERGEFORMAT </w:instrText>
    </w:r>
    <w:r w:rsidRPr="00E34F1B">
      <w:rPr>
        <w:sz w:val="20"/>
        <w:szCs w:val="20"/>
      </w:rPr>
      <w:fldChar w:fldCharType="separate"/>
    </w:r>
    <w:r w:rsidR="00E5707C">
      <w:rPr>
        <w:noProof/>
        <w:sz w:val="20"/>
        <w:szCs w:val="20"/>
      </w:rPr>
      <w:t>2</w:t>
    </w:r>
    <w:r w:rsidRPr="00E34F1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54" w:rsidRDefault="00EC7054">
      <w:r>
        <w:separator/>
      </w:r>
    </w:p>
  </w:footnote>
  <w:footnote w:type="continuationSeparator" w:id="0">
    <w:p w:rsidR="00EC7054" w:rsidRDefault="00EC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7F72D4" w:rsidRPr="00E5707C" w:rsidTr="009F45C5">
      <w:trPr>
        <w:trHeight w:val="1256"/>
      </w:trPr>
      <w:tc>
        <w:tcPr>
          <w:tcW w:w="2268" w:type="dxa"/>
          <w:shd w:val="clear" w:color="auto" w:fill="auto"/>
          <w:tcMar>
            <w:top w:w="0" w:type="dxa"/>
            <w:left w:w="108" w:type="dxa"/>
            <w:bottom w:w="0" w:type="dxa"/>
            <w:right w:w="108" w:type="dxa"/>
          </w:tcMar>
        </w:tcPr>
        <w:p w:rsidR="007F72D4" w:rsidRPr="007F72D4" w:rsidRDefault="007F72D4" w:rsidP="007F72D4">
          <w:pPr>
            <w:suppressAutoHyphens/>
            <w:autoSpaceDN w:val="0"/>
            <w:textAlignment w:val="baseline"/>
            <w:rPr>
              <w:lang w:val="fr-FR"/>
            </w:rPr>
          </w:pPr>
          <w:r w:rsidRPr="007F72D4">
            <w:rPr>
              <w:noProof/>
              <w:lang w:val="en-US"/>
            </w:rPr>
            <w:drawing>
              <wp:anchor distT="0" distB="0" distL="114300" distR="114300" simplePos="0" relativeHeight="251660288" behindDoc="1" locked="0" layoutInCell="1" allowOverlap="1" wp14:anchorId="56958C6F" wp14:editId="42396E31">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7F72D4" w:rsidRPr="007F72D4" w:rsidRDefault="007F72D4" w:rsidP="007F72D4">
          <w:pPr>
            <w:tabs>
              <w:tab w:val="left" w:pos="2871"/>
            </w:tabs>
            <w:suppressAutoHyphens/>
            <w:autoSpaceDN w:val="0"/>
            <w:jc w:val="center"/>
            <w:textAlignment w:val="baseline"/>
            <w:rPr>
              <w:lang w:val="fr-FR"/>
            </w:rPr>
          </w:pPr>
          <w:r w:rsidRPr="007F72D4">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7F72D4" w:rsidRPr="007F72D4" w:rsidRDefault="007F72D4" w:rsidP="007F72D4">
          <w:pPr>
            <w:suppressAutoHyphens/>
            <w:autoSpaceDN w:val="0"/>
            <w:jc w:val="right"/>
            <w:textAlignment w:val="baseline"/>
            <w:rPr>
              <w:i/>
              <w:iCs/>
              <w:sz w:val="20"/>
              <w:szCs w:val="20"/>
              <w:lang w:val="fr-FR"/>
            </w:rPr>
          </w:pPr>
          <w:r w:rsidRPr="007F72D4">
            <w:rPr>
              <w:noProof/>
              <w:sz w:val="18"/>
              <w:szCs w:val="18"/>
              <w:lang w:val="en-US"/>
            </w:rPr>
            <w:drawing>
              <wp:anchor distT="0" distB="0" distL="114300" distR="114300" simplePos="0" relativeHeight="251659264" behindDoc="1" locked="0" layoutInCell="1" allowOverlap="1" wp14:anchorId="30452EE9" wp14:editId="692563B4">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2D4" w:rsidRPr="007F72D4" w:rsidRDefault="007F72D4" w:rsidP="007F72D4">
          <w:pPr>
            <w:suppressAutoHyphens/>
            <w:autoSpaceDN w:val="0"/>
            <w:jc w:val="right"/>
            <w:textAlignment w:val="baseline"/>
            <w:rPr>
              <w:sz w:val="18"/>
              <w:szCs w:val="18"/>
              <w:lang w:val="fr-FR"/>
            </w:rPr>
          </w:pPr>
        </w:p>
      </w:tc>
    </w:tr>
    <w:tr w:rsidR="007F72D4" w:rsidRPr="007F72D4" w:rsidTr="009F45C5">
      <w:tc>
        <w:tcPr>
          <w:tcW w:w="9498" w:type="dxa"/>
          <w:gridSpan w:val="3"/>
          <w:shd w:val="clear" w:color="auto" w:fill="auto"/>
          <w:tcMar>
            <w:top w:w="0" w:type="dxa"/>
            <w:left w:w="108" w:type="dxa"/>
            <w:bottom w:w="0" w:type="dxa"/>
            <w:right w:w="108" w:type="dxa"/>
          </w:tcMar>
        </w:tcPr>
        <w:p w:rsidR="007F72D4" w:rsidRPr="007F72D4" w:rsidRDefault="007F72D4" w:rsidP="007F72D4">
          <w:pPr>
            <w:autoSpaceDN w:val="0"/>
            <w:jc w:val="center"/>
            <w:rPr>
              <w:sz w:val="22"/>
              <w:lang w:val="fr-FR"/>
            </w:rPr>
          </w:pPr>
          <w:r w:rsidRPr="007F72D4">
            <w:rPr>
              <w:b/>
              <w:bCs/>
              <w:sz w:val="26"/>
              <w:szCs w:val="26"/>
              <w:lang w:val="fr-FR"/>
            </w:rPr>
            <w:t>6</w:t>
          </w:r>
          <w:r w:rsidRPr="007F72D4">
            <w:rPr>
              <w:b/>
              <w:bCs/>
              <w:sz w:val="26"/>
              <w:szCs w:val="26"/>
              <w:vertAlign w:val="superscript"/>
              <w:lang w:val="fr-FR"/>
            </w:rPr>
            <w:t>ème</w:t>
          </w:r>
          <w:r w:rsidRPr="007F72D4">
            <w:rPr>
              <w:b/>
              <w:bCs/>
              <w:sz w:val="26"/>
              <w:szCs w:val="26"/>
              <w:lang w:val="fr-FR"/>
            </w:rPr>
            <w:t xml:space="preserve"> </w:t>
          </w:r>
          <w:r w:rsidRPr="007F72D4">
            <w:rPr>
              <w:b/>
              <w:bCs/>
              <w:caps/>
              <w:sz w:val="26"/>
              <w:szCs w:val="26"/>
              <w:lang w:val="fr-FR"/>
            </w:rPr>
            <w:t>Session de la rÉunion des parties contractantes</w:t>
          </w:r>
        </w:p>
        <w:p w:rsidR="007F72D4" w:rsidRPr="007F72D4" w:rsidRDefault="007F72D4" w:rsidP="007F72D4">
          <w:pPr>
            <w:suppressAutoHyphens/>
            <w:autoSpaceDN w:val="0"/>
            <w:jc w:val="center"/>
            <w:textAlignment w:val="baseline"/>
            <w:rPr>
              <w:lang w:val="fr-FR"/>
            </w:rPr>
          </w:pPr>
          <w:r w:rsidRPr="007F72D4">
            <w:rPr>
              <w:i/>
              <w:iCs/>
              <w:lang w:val="fr-FR"/>
            </w:rPr>
            <w:t xml:space="preserve">9-14 </w:t>
          </w:r>
          <w:proofErr w:type="gramStart"/>
          <w:r w:rsidRPr="007F72D4">
            <w:rPr>
              <w:i/>
              <w:iCs/>
              <w:lang w:val="fr-FR"/>
            </w:rPr>
            <w:t>novembre</w:t>
          </w:r>
          <w:proofErr w:type="gramEnd"/>
          <w:r w:rsidRPr="007F72D4">
            <w:rPr>
              <w:i/>
              <w:iCs/>
              <w:lang w:val="fr-FR"/>
            </w:rPr>
            <w:t xml:space="preserve"> 2015, Bonn, Allemagne</w:t>
          </w:r>
        </w:p>
      </w:tc>
    </w:tr>
    <w:tr w:rsidR="007F72D4" w:rsidRPr="00E5707C"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7F72D4" w:rsidRPr="007F72D4" w:rsidRDefault="007F72D4" w:rsidP="007F72D4">
          <w:pPr>
            <w:autoSpaceDN w:val="0"/>
            <w:jc w:val="center"/>
            <w:rPr>
              <w:bCs/>
              <w:i/>
              <w:lang w:val="fr-FR"/>
            </w:rPr>
          </w:pPr>
          <w:r w:rsidRPr="007F72D4">
            <w:rPr>
              <w:bCs/>
              <w:i/>
              <w:lang w:val="fr-FR"/>
            </w:rPr>
            <w:t>« Concrétiser la conservation au niveau de la voie de migration »</w:t>
          </w:r>
        </w:p>
      </w:tc>
    </w:tr>
  </w:tbl>
  <w:p w:rsidR="00EC7054" w:rsidRPr="00F071D4" w:rsidRDefault="00EC7054">
    <w:pPr>
      <w:pStyle w:val="Header"/>
      <w:rPr>
        <w:i/>
        <w:sz w:val="18"/>
        <w:lang w:val="fr-FR"/>
      </w:rPr>
    </w:pPr>
    <w:r w:rsidRPr="00F071D4">
      <w:rPr>
        <w:i/>
        <w:sz w:val="1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54" w:rsidRPr="009F147A" w:rsidRDefault="00EC7054">
    <w:pPr>
      <w:pStyle w:val="Header"/>
      <w:rPr>
        <w:i/>
        <w:sz w:val="18"/>
        <w:lang w:val="fr-FR"/>
      </w:rPr>
    </w:pPr>
    <w:r w:rsidRPr="009F147A">
      <w:rPr>
        <w:i/>
        <w:sz w:val="18"/>
        <w:lang w:val="fr-FR"/>
      </w:rPr>
      <w:tab/>
    </w:r>
  </w:p>
  <w:p w:rsidR="00EC7054" w:rsidRPr="00F071D4" w:rsidRDefault="00EC7054">
    <w:pPr>
      <w:pStyle w:val="Header"/>
      <w:rPr>
        <w:i/>
        <w:sz w:val="18"/>
        <w:lang w:val="fr-FR"/>
      </w:rPr>
    </w:pPr>
    <w:r w:rsidRPr="00F071D4">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FF0D78"/>
    <w:multiLevelType w:val="hybridMultilevel"/>
    <w:tmpl w:val="56707592"/>
    <w:lvl w:ilvl="0" w:tplc="C256EA00">
      <w:start w:val="1"/>
      <w:numFmt w:val="decimal"/>
      <w:lvlText w:val="%1."/>
      <w:lvlJc w:val="left"/>
      <w:pPr>
        <w:ind w:left="360" w:hanging="360"/>
      </w:pPr>
      <w:rPr>
        <w:rFonts w:cs="Times New Roman" w:hint="default"/>
        <w:b w:val="0"/>
        <w:bCs w:val="0"/>
        <w:i w:val="0"/>
        <w:iCs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8CF553F"/>
    <w:multiLevelType w:val="hybridMultilevel"/>
    <w:tmpl w:val="40B4C0C6"/>
    <w:lvl w:ilvl="0" w:tplc="A4EECFDC">
      <w:start w:val="1"/>
      <w:numFmt w:val="decimal"/>
      <w:lvlText w:val="%1."/>
      <w:lvlJc w:val="left"/>
      <w:pPr>
        <w:tabs>
          <w:tab w:val="num" w:pos="360"/>
        </w:tabs>
        <w:ind w:left="360" w:hanging="360"/>
      </w:pPr>
      <w:rPr>
        <w:rFonts w:cs="Times New Roman"/>
      </w:rPr>
    </w:lvl>
    <w:lvl w:ilvl="1" w:tplc="AB36D354" w:tentative="1">
      <w:start w:val="1"/>
      <w:numFmt w:val="lowerLetter"/>
      <w:lvlText w:val="%2."/>
      <w:lvlJc w:val="left"/>
      <w:pPr>
        <w:tabs>
          <w:tab w:val="num" w:pos="1080"/>
        </w:tabs>
        <w:ind w:left="1080" w:hanging="360"/>
      </w:pPr>
      <w:rPr>
        <w:rFonts w:cs="Times New Roman"/>
      </w:rPr>
    </w:lvl>
    <w:lvl w:ilvl="2" w:tplc="FA181324" w:tentative="1">
      <w:start w:val="1"/>
      <w:numFmt w:val="lowerRoman"/>
      <w:lvlText w:val="%3."/>
      <w:lvlJc w:val="right"/>
      <w:pPr>
        <w:tabs>
          <w:tab w:val="num" w:pos="1800"/>
        </w:tabs>
        <w:ind w:left="1800" w:hanging="180"/>
      </w:pPr>
      <w:rPr>
        <w:rFonts w:cs="Times New Roman"/>
      </w:rPr>
    </w:lvl>
    <w:lvl w:ilvl="3" w:tplc="BA78FBDA" w:tentative="1">
      <w:start w:val="1"/>
      <w:numFmt w:val="decimal"/>
      <w:lvlText w:val="%4."/>
      <w:lvlJc w:val="left"/>
      <w:pPr>
        <w:tabs>
          <w:tab w:val="num" w:pos="2520"/>
        </w:tabs>
        <w:ind w:left="2520" w:hanging="360"/>
      </w:pPr>
      <w:rPr>
        <w:rFonts w:cs="Times New Roman"/>
      </w:rPr>
    </w:lvl>
    <w:lvl w:ilvl="4" w:tplc="8774F7DA" w:tentative="1">
      <w:start w:val="1"/>
      <w:numFmt w:val="lowerLetter"/>
      <w:lvlText w:val="%5."/>
      <w:lvlJc w:val="left"/>
      <w:pPr>
        <w:tabs>
          <w:tab w:val="num" w:pos="3240"/>
        </w:tabs>
        <w:ind w:left="3240" w:hanging="360"/>
      </w:pPr>
      <w:rPr>
        <w:rFonts w:cs="Times New Roman"/>
      </w:rPr>
    </w:lvl>
    <w:lvl w:ilvl="5" w:tplc="15721B2E" w:tentative="1">
      <w:start w:val="1"/>
      <w:numFmt w:val="lowerRoman"/>
      <w:lvlText w:val="%6."/>
      <w:lvlJc w:val="right"/>
      <w:pPr>
        <w:tabs>
          <w:tab w:val="num" w:pos="3960"/>
        </w:tabs>
        <w:ind w:left="3960" w:hanging="180"/>
      </w:pPr>
      <w:rPr>
        <w:rFonts w:cs="Times New Roman"/>
      </w:rPr>
    </w:lvl>
    <w:lvl w:ilvl="6" w:tplc="0AB4F810" w:tentative="1">
      <w:start w:val="1"/>
      <w:numFmt w:val="decimal"/>
      <w:lvlText w:val="%7."/>
      <w:lvlJc w:val="left"/>
      <w:pPr>
        <w:tabs>
          <w:tab w:val="num" w:pos="4680"/>
        </w:tabs>
        <w:ind w:left="4680" w:hanging="360"/>
      </w:pPr>
      <w:rPr>
        <w:rFonts w:cs="Times New Roman"/>
      </w:rPr>
    </w:lvl>
    <w:lvl w:ilvl="7" w:tplc="47F61B58" w:tentative="1">
      <w:start w:val="1"/>
      <w:numFmt w:val="lowerLetter"/>
      <w:lvlText w:val="%8."/>
      <w:lvlJc w:val="left"/>
      <w:pPr>
        <w:tabs>
          <w:tab w:val="num" w:pos="5400"/>
        </w:tabs>
        <w:ind w:left="5400" w:hanging="360"/>
      </w:pPr>
      <w:rPr>
        <w:rFonts w:cs="Times New Roman"/>
      </w:rPr>
    </w:lvl>
    <w:lvl w:ilvl="8" w:tplc="82547380"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20CED"/>
    <w:rsid w:val="000B1C7B"/>
    <w:rsid w:val="000C2F29"/>
    <w:rsid w:val="000D3670"/>
    <w:rsid w:val="000F0D3C"/>
    <w:rsid w:val="000F3E13"/>
    <w:rsid w:val="0012797A"/>
    <w:rsid w:val="00151DC8"/>
    <w:rsid w:val="00171A61"/>
    <w:rsid w:val="00190056"/>
    <w:rsid w:val="0019667B"/>
    <w:rsid w:val="001D60EA"/>
    <w:rsid w:val="001E3A1F"/>
    <w:rsid w:val="001F424B"/>
    <w:rsid w:val="00201615"/>
    <w:rsid w:val="00207D25"/>
    <w:rsid w:val="00234DD3"/>
    <w:rsid w:val="00235448"/>
    <w:rsid w:val="002438B0"/>
    <w:rsid w:val="00252BFF"/>
    <w:rsid w:val="00253C26"/>
    <w:rsid w:val="00257559"/>
    <w:rsid w:val="00261867"/>
    <w:rsid w:val="0028675D"/>
    <w:rsid w:val="00292EA1"/>
    <w:rsid w:val="002A71C8"/>
    <w:rsid w:val="002E71F1"/>
    <w:rsid w:val="002F2471"/>
    <w:rsid w:val="00313FDD"/>
    <w:rsid w:val="003220B4"/>
    <w:rsid w:val="003A2F28"/>
    <w:rsid w:val="003A3FC5"/>
    <w:rsid w:val="003C724D"/>
    <w:rsid w:val="0045281A"/>
    <w:rsid w:val="0047071F"/>
    <w:rsid w:val="004A3549"/>
    <w:rsid w:val="004B0ABD"/>
    <w:rsid w:val="004C1540"/>
    <w:rsid w:val="00516058"/>
    <w:rsid w:val="00520C71"/>
    <w:rsid w:val="0053318F"/>
    <w:rsid w:val="00537FD6"/>
    <w:rsid w:val="00554E6D"/>
    <w:rsid w:val="005639F1"/>
    <w:rsid w:val="005907B0"/>
    <w:rsid w:val="00597756"/>
    <w:rsid w:val="005B1C85"/>
    <w:rsid w:val="005B739E"/>
    <w:rsid w:val="005C0BDB"/>
    <w:rsid w:val="00601DA5"/>
    <w:rsid w:val="006225B0"/>
    <w:rsid w:val="006226FB"/>
    <w:rsid w:val="00643F8E"/>
    <w:rsid w:val="00645A28"/>
    <w:rsid w:val="006970FD"/>
    <w:rsid w:val="006B7BDA"/>
    <w:rsid w:val="006D4527"/>
    <w:rsid w:val="007221BD"/>
    <w:rsid w:val="007554C9"/>
    <w:rsid w:val="00791FD0"/>
    <w:rsid w:val="007A2040"/>
    <w:rsid w:val="007B2384"/>
    <w:rsid w:val="007C1605"/>
    <w:rsid w:val="007F72D4"/>
    <w:rsid w:val="00806601"/>
    <w:rsid w:val="008646D1"/>
    <w:rsid w:val="008704FB"/>
    <w:rsid w:val="008C03C4"/>
    <w:rsid w:val="008D47E4"/>
    <w:rsid w:val="008D6F48"/>
    <w:rsid w:val="009000C5"/>
    <w:rsid w:val="00906860"/>
    <w:rsid w:val="009B2E2C"/>
    <w:rsid w:val="009F147A"/>
    <w:rsid w:val="009F26C7"/>
    <w:rsid w:val="00A4165E"/>
    <w:rsid w:val="00A6257C"/>
    <w:rsid w:val="00A84E67"/>
    <w:rsid w:val="00A8701F"/>
    <w:rsid w:val="00A93BE3"/>
    <w:rsid w:val="00A94B5C"/>
    <w:rsid w:val="00AA661B"/>
    <w:rsid w:val="00AD04D3"/>
    <w:rsid w:val="00AE0181"/>
    <w:rsid w:val="00AE1FBF"/>
    <w:rsid w:val="00B00F74"/>
    <w:rsid w:val="00B0709B"/>
    <w:rsid w:val="00B30E3D"/>
    <w:rsid w:val="00B412FE"/>
    <w:rsid w:val="00B70595"/>
    <w:rsid w:val="00B72372"/>
    <w:rsid w:val="00B85EC3"/>
    <w:rsid w:val="00B865C5"/>
    <w:rsid w:val="00B9596C"/>
    <w:rsid w:val="00BD0902"/>
    <w:rsid w:val="00BE5185"/>
    <w:rsid w:val="00C41823"/>
    <w:rsid w:val="00C50486"/>
    <w:rsid w:val="00C65243"/>
    <w:rsid w:val="00C67256"/>
    <w:rsid w:val="00C70E7D"/>
    <w:rsid w:val="00C75F39"/>
    <w:rsid w:val="00CA20C0"/>
    <w:rsid w:val="00CD56C2"/>
    <w:rsid w:val="00D05FD0"/>
    <w:rsid w:val="00D117F0"/>
    <w:rsid w:val="00D15021"/>
    <w:rsid w:val="00D347CF"/>
    <w:rsid w:val="00D715EB"/>
    <w:rsid w:val="00D73AD2"/>
    <w:rsid w:val="00D82410"/>
    <w:rsid w:val="00D863D5"/>
    <w:rsid w:val="00DB3389"/>
    <w:rsid w:val="00DC0F68"/>
    <w:rsid w:val="00E34F1B"/>
    <w:rsid w:val="00E5707C"/>
    <w:rsid w:val="00E8104C"/>
    <w:rsid w:val="00EC7054"/>
    <w:rsid w:val="00EF4B51"/>
    <w:rsid w:val="00F071D4"/>
    <w:rsid w:val="00F13A1B"/>
    <w:rsid w:val="00F71522"/>
    <w:rsid w:val="00F83598"/>
    <w:rsid w:val="00FA4F4D"/>
    <w:rsid w:val="00FD7C42"/>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64677E6-348C-42E6-9520-D12ACFAB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EA"/>
    <w:rPr>
      <w:sz w:val="24"/>
      <w:szCs w:val="24"/>
      <w:lang w:val="en-GB"/>
    </w:rPr>
  </w:style>
  <w:style w:type="paragraph" w:styleId="Heading1">
    <w:name w:val="heading 1"/>
    <w:basedOn w:val="Normal"/>
    <w:next w:val="Normal"/>
    <w:link w:val="Heading1Char"/>
    <w:uiPriority w:val="99"/>
    <w:qFormat/>
    <w:rsid w:val="001D60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60EA"/>
    <w:pPr>
      <w:keepNext/>
      <w:outlineLvl w:val="1"/>
    </w:pPr>
    <w:rPr>
      <w:rFonts w:ascii="Arial" w:hAnsi="Arial" w:cs="Arial"/>
      <w:b/>
      <w:bCs/>
      <w:sz w:val="16"/>
      <w:lang w:val="en-US"/>
    </w:rPr>
  </w:style>
  <w:style w:type="paragraph" w:styleId="Heading3">
    <w:name w:val="heading 3"/>
    <w:basedOn w:val="Normal"/>
    <w:next w:val="Normal"/>
    <w:link w:val="Heading3Char"/>
    <w:uiPriority w:val="99"/>
    <w:qFormat/>
    <w:rsid w:val="001D60EA"/>
    <w:pPr>
      <w:keepNext/>
      <w:outlineLvl w:val="2"/>
    </w:pPr>
    <w:rPr>
      <w:rFonts w:ascii="Arial" w:hAnsi="Arial" w:cs="Arial"/>
      <w:b/>
      <w:bCs/>
      <w:sz w:val="22"/>
      <w:lang w:val="en-US"/>
    </w:rPr>
  </w:style>
  <w:style w:type="paragraph" w:styleId="Heading4">
    <w:name w:val="heading 4"/>
    <w:basedOn w:val="Normal"/>
    <w:next w:val="Normal"/>
    <w:link w:val="Heading4Char"/>
    <w:uiPriority w:val="99"/>
    <w:qFormat/>
    <w:rsid w:val="001D60EA"/>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9C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D19C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D19C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D19CB"/>
    <w:rPr>
      <w:rFonts w:asciiTheme="minorHAnsi" w:eastAsiaTheme="minorEastAsia" w:hAnsiTheme="minorHAnsi" w:cstheme="minorBidi"/>
      <w:b/>
      <w:bCs/>
      <w:sz w:val="28"/>
      <w:szCs w:val="28"/>
      <w:lang w:val="en-GB"/>
    </w:rPr>
  </w:style>
  <w:style w:type="paragraph" w:styleId="Header">
    <w:name w:val="header"/>
    <w:basedOn w:val="Normal"/>
    <w:link w:val="HeaderChar"/>
    <w:uiPriority w:val="99"/>
    <w:rsid w:val="001D60EA"/>
    <w:pPr>
      <w:tabs>
        <w:tab w:val="center" w:pos="4153"/>
        <w:tab w:val="right" w:pos="8306"/>
      </w:tabs>
    </w:pPr>
  </w:style>
  <w:style w:type="character" w:customStyle="1" w:styleId="HeaderChar">
    <w:name w:val="Header Char"/>
    <w:basedOn w:val="DefaultParagraphFont"/>
    <w:link w:val="Header"/>
    <w:uiPriority w:val="99"/>
    <w:semiHidden/>
    <w:rsid w:val="009D19CB"/>
    <w:rPr>
      <w:sz w:val="24"/>
      <w:szCs w:val="24"/>
      <w:lang w:val="en-GB"/>
    </w:rPr>
  </w:style>
  <w:style w:type="paragraph" w:styleId="Footer">
    <w:name w:val="footer"/>
    <w:basedOn w:val="Normal"/>
    <w:link w:val="FooterChar"/>
    <w:uiPriority w:val="99"/>
    <w:rsid w:val="001D60EA"/>
    <w:pPr>
      <w:tabs>
        <w:tab w:val="center" w:pos="4153"/>
        <w:tab w:val="right" w:pos="8306"/>
      </w:tabs>
    </w:pPr>
  </w:style>
  <w:style w:type="character" w:customStyle="1" w:styleId="FooterChar">
    <w:name w:val="Footer Char"/>
    <w:basedOn w:val="DefaultParagraphFont"/>
    <w:link w:val="Footer"/>
    <w:uiPriority w:val="99"/>
    <w:locked/>
    <w:rsid w:val="00F071D4"/>
    <w:rPr>
      <w:sz w:val="24"/>
      <w:lang w:val="en-GB" w:eastAsia="en-US"/>
    </w:rPr>
  </w:style>
  <w:style w:type="paragraph" w:styleId="BalloonText">
    <w:name w:val="Balloon Text"/>
    <w:basedOn w:val="Normal"/>
    <w:link w:val="BalloonTextChar"/>
    <w:uiPriority w:val="99"/>
    <w:semiHidden/>
    <w:rsid w:val="00D863D5"/>
    <w:rPr>
      <w:rFonts w:ascii="Tahoma" w:hAnsi="Tahoma"/>
      <w:sz w:val="16"/>
      <w:szCs w:val="16"/>
    </w:rPr>
  </w:style>
  <w:style w:type="character" w:customStyle="1" w:styleId="BalloonTextChar">
    <w:name w:val="Balloon Text Char"/>
    <w:basedOn w:val="DefaultParagraphFont"/>
    <w:link w:val="BalloonText"/>
    <w:uiPriority w:val="99"/>
    <w:locked/>
    <w:rsid w:val="00D863D5"/>
    <w:rPr>
      <w:rFonts w:ascii="Tahoma" w:hAnsi="Tahoma"/>
      <w:sz w:val="16"/>
      <w:lang w:val="en-GB" w:eastAsia="en-US"/>
    </w:rPr>
  </w:style>
  <w:style w:type="character" w:styleId="Emphasis">
    <w:name w:val="Emphasis"/>
    <w:basedOn w:val="DefaultParagraphFont"/>
    <w:uiPriority w:val="99"/>
    <w:qFormat/>
    <w:rsid w:val="00F071D4"/>
    <w:rPr>
      <w:rFonts w:cs="Times New Roman"/>
      <w:i/>
    </w:rPr>
  </w:style>
  <w:style w:type="paragraph" w:styleId="BodyTextIndent">
    <w:name w:val="Body Text Indent"/>
    <w:basedOn w:val="Normal"/>
    <w:link w:val="BodyTextIndentChar"/>
    <w:uiPriority w:val="99"/>
    <w:rsid w:val="00F071D4"/>
  </w:style>
  <w:style w:type="character" w:customStyle="1" w:styleId="BodyTextIndentChar">
    <w:name w:val="Body Text Indent Char"/>
    <w:basedOn w:val="DefaultParagraphFont"/>
    <w:link w:val="BodyTextIndent"/>
    <w:uiPriority w:val="99"/>
    <w:locked/>
    <w:rsid w:val="00F071D4"/>
    <w:rPr>
      <w:sz w:val="24"/>
      <w:lang w:val="en-GB" w:eastAsia="en-US"/>
    </w:rPr>
  </w:style>
  <w:style w:type="paragraph" w:styleId="ListParagraph">
    <w:name w:val="List Paragraph"/>
    <w:basedOn w:val="Normal"/>
    <w:uiPriority w:val="99"/>
    <w:qFormat/>
    <w:rsid w:val="009F147A"/>
    <w:pPr>
      <w:ind w:left="720"/>
    </w:pPr>
    <w:rPr>
      <w:sz w:val="20"/>
      <w:szCs w:val="20"/>
      <w:lang w:eastAsia="fr-FR"/>
    </w:rPr>
  </w:style>
  <w:style w:type="paragraph" w:styleId="FootnoteText">
    <w:name w:val="footnote text"/>
    <w:basedOn w:val="Normal"/>
    <w:link w:val="FootnoteTextChar"/>
    <w:uiPriority w:val="99"/>
    <w:semiHidden/>
    <w:rsid w:val="00DC0F68"/>
    <w:rPr>
      <w:sz w:val="20"/>
      <w:szCs w:val="20"/>
      <w:lang w:val="en-US"/>
    </w:rPr>
  </w:style>
  <w:style w:type="character" w:customStyle="1" w:styleId="FootnoteTextChar">
    <w:name w:val="Footnote Text Char"/>
    <w:basedOn w:val="DefaultParagraphFont"/>
    <w:link w:val="FootnoteText"/>
    <w:uiPriority w:val="99"/>
    <w:semiHidden/>
    <w:locked/>
    <w:rsid w:val="00DC0F68"/>
    <w:rPr>
      <w:lang w:eastAsia="en-US"/>
    </w:rPr>
  </w:style>
  <w:style w:type="character" w:styleId="FootnoteReference">
    <w:name w:val="footnote reference"/>
    <w:basedOn w:val="DefaultParagraphFont"/>
    <w:uiPriority w:val="99"/>
    <w:semiHidden/>
    <w:rsid w:val="00DC0F68"/>
    <w:rPr>
      <w:rFonts w:cs="Times New Roman"/>
      <w:vertAlign w:val="superscript"/>
    </w:rPr>
  </w:style>
  <w:style w:type="paragraph" w:styleId="BodyText2">
    <w:name w:val="Body Text 2"/>
    <w:basedOn w:val="Normal"/>
    <w:link w:val="BodyText2Char"/>
    <w:uiPriority w:val="99"/>
    <w:semiHidden/>
    <w:rsid w:val="00171A61"/>
    <w:pPr>
      <w:spacing w:after="120" w:line="480" w:lineRule="auto"/>
    </w:pPr>
  </w:style>
  <w:style w:type="character" w:customStyle="1" w:styleId="BodyText2Char">
    <w:name w:val="Body Text 2 Char"/>
    <w:basedOn w:val="DefaultParagraphFont"/>
    <w:link w:val="BodyText2"/>
    <w:uiPriority w:val="99"/>
    <w:semiHidden/>
    <w:locked/>
    <w:rsid w:val="00171A61"/>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5834">
      <w:marLeft w:val="0"/>
      <w:marRight w:val="0"/>
      <w:marTop w:val="0"/>
      <w:marBottom w:val="0"/>
      <w:divBdr>
        <w:top w:val="none" w:sz="0" w:space="0" w:color="auto"/>
        <w:left w:val="none" w:sz="0" w:space="0" w:color="auto"/>
        <w:bottom w:val="none" w:sz="0" w:space="0" w:color="auto"/>
        <w:right w:val="none" w:sz="0" w:space="0" w:color="auto"/>
      </w:divBdr>
    </w:div>
    <w:div w:id="917135835">
      <w:marLeft w:val="0"/>
      <w:marRight w:val="0"/>
      <w:marTop w:val="0"/>
      <w:marBottom w:val="0"/>
      <w:divBdr>
        <w:top w:val="none" w:sz="0" w:space="0" w:color="auto"/>
        <w:left w:val="none" w:sz="0" w:space="0" w:color="auto"/>
        <w:bottom w:val="none" w:sz="0" w:space="0" w:color="auto"/>
        <w:right w:val="none" w:sz="0" w:space="0" w:color="auto"/>
      </w:divBdr>
    </w:div>
    <w:div w:id="917135836">
      <w:marLeft w:val="0"/>
      <w:marRight w:val="0"/>
      <w:marTop w:val="0"/>
      <w:marBottom w:val="0"/>
      <w:divBdr>
        <w:top w:val="none" w:sz="0" w:space="0" w:color="auto"/>
        <w:left w:val="none" w:sz="0" w:space="0" w:color="auto"/>
        <w:bottom w:val="none" w:sz="0" w:space="0" w:color="auto"/>
        <w:right w:val="none" w:sz="0" w:space="0" w:color="auto"/>
      </w:divBdr>
    </w:div>
    <w:div w:id="917135837">
      <w:marLeft w:val="0"/>
      <w:marRight w:val="0"/>
      <w:marTop w:val="0"/>
      <w:marBottom w:val="0"/>
      <w:divBdr>
        <w:top w:val="none" w:sz="0" w:space="0" w:color="auto"/>
        <w:left w:val="none" w:sz="0" w:space="0" w:color="auto"/>
        <w:bottom w:val="none" w:sz="0" w:space="0" w:color="auto"/>
        <w:right w:val="none" w:sz="0" w:space="0" w:color="auto"/>
      </w:divBdr>
    </w:div>
    <w:div w:id="917135838">
      <w:marLeft w:val="0"/>
      <w:marRight w:val="0"/>
      <w:marTop w:val="0"/>
      <w:marBottom w:val="0"/>
      <w:divBdr>
        <w:top w:val="none" w:sz="0" w:space="0" w:color="auto"/>
        <w:left w:val="none" w:sz="0" w:space="0" w:color="auto"/>
        <w:bottom w:val="none" w:sz="0" w:space="0" w:color="auto"/>
        <w:right w:val="none" w:sz="0" w:space="0" w:color="auto"/>
      </w:divBdr>
    </w:div>
    <w:div w:id="917135839">
      <w:marLeft w:val="0"/>
      <w:marRight w:val="0"/>
      <w:marTop w:val="0"/>
      <w:marBottom w:val="0"/>
      <w:divBdr>
        <w:top w:val="none" w:sz="0" w:space="0" w:color="auto"/>
        <w:left w:val="none" w:sz="0" w:space="0" w:color="auto"/>
        <w:bottom w:val="none" w:sz="0" w:space="0" w:color="auto"/>
        <w:right w:val="none" w:sz="0" w:space="0" w:color="auto"/>
      </w:divBdr>
    </w:div>
    <w:div w:id="917135840">
      <w:marLeft w:val="0"/>
      <w:marRight w:val="0"/>
      <w:marTop w:val="0"/>
      <w:marBottom w:val="0"/>
      <w:divBdr>
        <w:top w:val="none" w:sz="0" w:space="0" w:color="auto"/>
        <w:left w:val="none" w:sz="0" w:space="0" w:color="auto"/>
        <w:bottom w:val="none" w:sz="0" w:space="0" w:color="auto"/>
        <w:right w:val="none" w:sz="0" w:space="0" w:color="auto"/>
      </w:divBdr>
    </w:div>
    <w:div w:id="917135841">
      <w:marLeft w:val="0"/>
      <w:marRight w:val="0"/>
      <w:marTop w:val="0"/>
      <w:marBottom w:val="0"/>
      <w:divBdr>
        <w:top w:val="none" w:sz="0" w:space="0" w:color="auto"/>
        <w:left w:val="none" w:sz="0" w:space="0" w:color="auto"/>
        <w:bottom w:val="none" w:sz="0" w:space="0" w:color="auto"/>
        <w:right w:val="none" w:sz="0" w:space="0" w:color="auto"/>
      </w:divBdr>
    </w:div>
    <w:div w:id="917135842">
      <w:marLeft w:val="0"/>
      <w:marRight w:val="0"/>
      <w:marTop w:val="0"/>
      <w:marBottom w:val="0"/>
      <w:divBdr>
        <w:top w:val="none" w:sz="0" w:space="0" w:color="auto"/>
        <w:left w:val="none" w:sz="0" w:space="0" w:color="auto"/>
        <w:bottom w:val="none" w:sz="0" w:space="0" w:color="auto"/>
        <w:right w:val="none" w:sz="0" w:space="0" w:color="auto"/>
      </w:divBdr>
    </w:div>
    <w:div w:id="917135843">
      <w:marLeft w:val="0"/>
      <w:marRight w:val="0"/>
      <w:marTop w:val="0"/>
      <w:marBottom w:val="0"/>
      <w:divBdr>
        <w:top w:val="none" w:sz="0" w:space="0" w:color="auto"/>
        <w:left w:val="none" w:sz="0" w:space="0" w:color="auto"/>
        <w:bottom w:val="none" w:sz="0" w:space="0" w:color="auto"/>
        <w:right w:val="none" w:sz="0" w:space="0" w:color="auto"/>
      </w:divBdr>
    </w:div>
    <w:div w:id="917135844">
      <w:marLeft w:val="0"/>
      <w:marRight w:val="0"/>
      <w:marTop w:val="0"/>
      <w:marBottom w:val="0"/>
      <w:divBdr>
        <w:top w:val="none" w:sz="0" w:space="0" w:color="auto"/>
        <w:left w:val="none" w:sz="0" w:space="0" w:color="auto"/>
        <w:bottom w:val="none" w:sz="0" w:space="0" w:color="auto"/>
        <w:right w:val="none" w:sz="0" w:space="0" w:color="auto"/>
      </w:divBdr>
    </w:div>
    <w:div w:id="917135845">
      <w:marLeft w:val="0"/>
      <w:marRight w:val="0"/>
      <w:marTop w:val="0"/>
      <w:marBottom w:val="0"/>
      <w:divBdr>
        <w:top w:val="none" w:sz="0" w:space="0" w:color="auto"/>
        <w:left w:val="none" w:sz="0" w:space="0" w:color="auto"/>
        <w:bottom w:val="none" w:sz="0" w:space="0" w:color="auto"/>
        <w:right w:val="none" w:sz="0" w:space="0" w:color="auto"/>
      </w:divBdr>
    </w:div>
    <w:div w:id="917135846">
      <w:marLeft w:val="0"/>
      <w:marRight w:val="0"/>
      <w:marTop w:val="0"/>
      <w:marBottom w:val="0"/>
      <w:divBdr>
        <w:top w:val="none" w:sz="0" w:space="0" w:color="auto"/>
        <w:left w:val="none" w:sz="0" w:space="0" w:color="auto"/>
        <w:bottom w:val="none" w:sz="0" w:space="0" w:color="auto"/>
        <w:right w:val="none" w:sz="0" w:space="0" w:color="auto"/>
      </w:divBdr>
    </w:div>
    <w:div w:id="917135847">
      <w:marLeft w:val="0"/>
      <w:marRight w:val="0"/>
      <w:marTop w:val="0"/>
      <w:marBottom w:val="0"/>
      <w:divBdr>
        <w:top w:val="none" w:sz="0" w:space="0" w:color="auto"/>
        <w:left w:val="none" w:sz="0" w:space="0" w:color="auto"/>
        <w:bottom w:val="none" w:sz="0" w:space="0" w:color="auto"/>
        <w:right w:val="none" w:sz="0" w:space="0" w:color="auto"/>
      </w:divBdr>
    </w:div>
    <w:div w:id="917135848">
      <w:marLeft w:val="0"/>
      <w:marRight w:val="0"/>
      <w:marTop w:val="0"/>
      <w:marBottom w:val="0"/>
      <w:divBdr>
        <w:top w:val="none" w:sz="0" w:space="0" w:color="auto"/>
        <w:left w:val="none" w:sz="0" w:space="0" w:color="auto"/>
        <w:bottom w:val="none" w:sz="0" w:space="0" w:color="auto"/>
        <w:right w:val="none" w:sz="0" w:space="0" w:color="auto"/>
      </w:divBdr>
    </w:div>
    <w:div w:id="917135849">
      <w:marLeft w:val="0"/>
      <w:marRight w:val="0"/>
      <w:marTop w:val="0"/>
      <w:marBottom w:val="0"/>
      <w:divBdr>
        <w:top w:val="none" w:sz="0" w:space="0" w:color="auto"/>
        <w:left w:val="none" w:sz="0" w:space="0" w:color="auto"/>
        <w:bottom w:val="none" w:sz="0" w:space="0" w:color="auto"/>
        <w:right w:val="none" w:sz="0" w:space="0" w:color="auto"/>
      </w:divBdr>
    </w:div>
    <w:div w:id="917135850">
      <w:marLeft w:val="0"/>
      <w:marRight w:val="0"/>
      <w:marTop w:val="0"/>
      <w:marBottom w:val="0"/>
      <w:divBdr>
        <w:top w:val="none" w:sz="0" w:space="0" w:color="auto"/>
        <w:left w:val="none" w:sz="0" w:space="0" w:color="auto"/>
        <w:bottom w:val="none" w:sz="0" w:space="0" w:color="auto"/>
        <w:right w:val="none" w:sz="0" w:space="0" w:color="auto"/>
      </w:divBdr>
    </w:div>
    <w:div w:id="917135851">
      <w:marLeft w:val="0"/>
      <w:marRight w:val="0"/>
      <w:marTop w:val="0"/>
      <w:marBottom w:val="0"/>
      <w:divBdr>
        <w:top w:val="none" w:sz="0" w:space="0" w:color="auto"/>
        <w:left w:val="none" w:sz="0" w:space="0" w:color="auto"/>
        <w:bottom w:val="none" w:sz="0" w:space="0" w:color="auto"/>
        <w:right w:val="none" w:sz="0" w:space="0" w:color="auto"/>
      </w:divBdr>
    </w:div>
    <w:div w:id="917135852">
      <w:marLeft w:val="0"/>
      <w:marRight w:val="0"/>
      <w:marTop w:val="0"/>
      <w:marBottom w:val="0"/>
      <w:divBdr>
        <w:top w:val="none" w:sz="0" w:space="0" w:color="auto"/>
        <w:left w:val="none" w:sz="0" w:space="0" w:color="auto"/>
        <w:bottom w:val="none" w:sz="0" w:space="0" w:color="auto"/>
        <w:right w:val="none" w:sz="0" w:space="0" w:color="auto"/>
      </w:divBdr>
    </w:div>
    <w:div w:id="917135853">
      <w:marLeft w:val="0"/>
      <w:marRight w:val="0"/>
      <w:marTop w:val="0"/>
      <w:marBottom w:val="0"/>
      <w:divBdr>
        <w:top w:val="none" w:sz="0" w:space="0" w:color="auto"/>
        <w:left w:val="none" w:sz="0" w:space="0" w:color="auto"/>
        <w:bottom w:val="none" w:sz="0" w:space="0" w:color="auto"/>
        <w:right w:val="none" w:sz="0" w:space="0" w:color="auto"/>
      </w:divBdr>
    </w:div>
    <w:div w:id="917135854">
      <w:marLeft w:val="0"/>
      <w:marRight w:val="0"/>
      <w:marTop w:val="0"/>
      <w:marBottom w:val="0"/>
      <w:divBdr>
        <w:top w:val="none" w:sz="0" w:space="0" w:color="auto"/>
        <w:left w:val="none" w:sz="0" w:space="0" w:color="auto"/>
        <w:bottom w:val="none" w:sz="0" w:space="0" w:color="auto"/>
        <w:right w:val="none" w:sz="0" w:space="0" w:color="auto"/>
      </w:divBdr>
    </w:div>
    <w:div w:id="917135855">
      <w:marLeft w:val="0"/>
      <w:marRight w:val="0"/>
      <w:marTop w:val="0"/>
      <w:marBottom w:val="0"/>
      <w:divBdr>
        <w:top w:val="none" w:sz="0" w:space="0" w:color="auto"/>
        <w:left w:val="none" w:sz="0" w:space="0" w:color="auto"/>
        <w:bottom w:val="none" w:sz="0" w:space="0" w:color="auto"/>
        <w:right w:val="none" w:sz="0" w:space="0" w:color="auto"/>
      </w:divBdr>
    </w:div>
    <w:div w:id="91713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EtatPresentFR</Template>
  <TotalTime>4</TotalTime>
  <Pages>2</Pages>
  <Words>851</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Verdrag</vt:lpstr>
    </vt:vector>
  </TitlesOfParts>
  <Company>Ordina Public MCC</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subject/>
  <dc:creator>C. van der Wijngaard</dc:creator>
  <cp:keywords/>
  <dc:description/>
  <cp:lastModifiedBy>Jolanta Kremer (UNEP/AEWA Secretariat)</cp:lastModifiedBy>
  <cp:revision>4</cp:revision>
  <cp:lastPrinted>2015-04-28T14:58:00Z</cp:lastPrinted>
  <dcterms:created xsi:type="dcterms:W3CDTF">2016-01-07T10:49:00Z</dcterms:created>
  <dcterms:modified xsi:type="dcterms:W3CDTF">2016-01-13T17:20:00Z</dcterms:modified>
</cp:coreProperties>
</file>