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6EF" w:rsidRPr="00190DBF" w:rsidRDefault="001E06EF">
      <w:pPr>
        <w:pStyle w:val="Heading1"/>
        <w:numPr>
          <w:ilvl w:val="0"/>
          <w:numId w:val="0"/>
        </w:numPr>
        <w:rPr>
          <w:b w:val="0"/>
          <w:bCs w:val="0"/>
          <w:sz w:val="16"/>
          <w:szCs w:val="16"/>
          <w:lang w:val="fr-FR"/>
        </w:rPr>
      </w:pPr>
      <w:r w:rsidRPr="003006D2">
        <w:rPr>
          <w:lang w:val="fr-FR"/>
        </w:rPr>
        <w:t xml:space="preserve"> </w:t>
      </w:r>
    </w:p>
    <w:p w:rsidR="001E06EF" w:rsidRPr="003006D2" w:rsidRDefault="001E06EF">
      <w:pPr>
        <w:pStyle w:val="Heading1"/>
        <w:numPr>
          <w:ilvl w:val="0"/>
          <w:numId w:val="0"/>
        </w:numPr>
        <w:tabs>
          <w:tab w:val="left" w:pos="578"/>
          <w:tab w:val="left" w:pos="1157"/>
          <w:tab w:val="left" w:pos="1735"/>
        </w:tabs>
        <w:jc w:val="center"/>
        <w:rPr>
          <w:b w:val="0"/>
          <w:bCs w:val="0"/>
          <w:lang w:val="fr-FR"/>
        </w:rPr>
      </w:pPr>
      <w:r w:rsidRPr="003006D2">
        <w:rPr>
          <w:b w:val="0"/>
          <w:bCs w:val="0"/>
          <w:lang w:val="fr-FR"/>
        </w:rPr>
        <w:t>RÉSOLUTION 6.12</w:t>
      </w:r>
    </w:p>
    <w:p w:rsidR="001E06EF" w:rsidRDefault="001E06EF">
      <w:pPr>
        <w:spacing w:after="0" w:line="240" w:lineRule="auto"/>
        <w:jc w:val="both"/>
        <w:rPr>
          <w:sz w:val="24"/>
          <w:szCs w:val="24"/>
          <w:lang w:val="fr-FR"/>
        </w:rPr>
      </w:pPr>
    </w:p>
    <w:p w:rsidR="00EA7A29" w:rsidRPr="003006D2" w:rsidRDefault="00EA7A29">
      <w:pPr>
        <w:spacing w:after="0" w:line="240" w:lineRule="auto"/>
        <w:jc w:val="both"/>
        <w:rPr>
          <w:sz w:val="24"/>
          <w:szCs w:val="24"/>
          <w:lang w:val="fr-FR"/>
        </w:rPr>
      </w:pPr>
    </w:p>
    <w:p w:rsidR="001E06EF" w:rsidRPr="003006D2" w:rsidRDefault="00A606CF">
      <w:pPr>
        <w:pStyle w:val="Heading1"/>
        <w:numPr>
          <w:ilvl w:val="0"/>
          <w:numId w:val="0"/>
        </w:numPr>
        <w:tabs>
          <w:tab w:val="left" w:pos="578"/>
          <w:tab w:val="left" w:pos="1157"/>
          <w:tab w:val="left" w:pos="1735"/>
        </w:tabs>
        <w:jc w:val="center"/>
        <w:rPr>
          <w:lang w:val="fr-FR"/>
        </w:rPr>
      </w:pPr>
      <w:r>
        <w:rPr>
          <w:lang w:val="fr-FR"/>
        </w:rPr>
        <w:t>ÉVITER UNE MORTALITÉ SUPPLÉ</w:t>
      </w:r>
      <w:r w:rsidR="001E06EF" w:rsidRPr="003006D2">
        <w:rPr>
          <w:lang w:val="fr-FR"/>
        </w:rPr>
        <w:t xml:space="preserve">MENTAIRE ET INUTILE  </w:t>
      </w:r>
    </w:p>
    <w:p w:rsidR="001E06EF" w:rsidRPr="003006D2" w:rsidRDefault="001E06EF">
      <w:pPr>
        <w:pStyle w:val="Heading1"/>
        <w:numPr>
          <w:ilvl w:val="0"/>
          <w:numId w:val="0"/>
        </w:numPr>
        <w:tabs>
          <w:tab w:val="left" w:pos="578"/>
          <w:tab w:val="left" w:pos="1157"/>
          <w:tab w:val="left" w:pos="1735"/>
        </w:tabs>
        <w:jc w:val="center"/>
        <w:rPr>
          <w:lang w:val="fr-FR"/>
        </w:rPr>
      </w:pPr>
      <w:r w:rsidRPr="003006D2">
        <w:rPr>
          <w:lang w:val="fr-FR"/>
        </w:rPr>
        <w:t>D’OISEAUX D’EAU MIGRATEURS</w:t>
      </w:r>
    </w:p>
    <w:p w:rsidR="001E06EF" w:rsidRPr="003006D2" w:rsidRDefault="001E06EF">
      <w:pPr>
        <w:pStyle w:val="Default"/>
        <w:rPr>
          <w:b/>
          <w:bCs/>
          <w:lang w:val="fr-FR"/>
        </w:rPr>
      </w:pPr>
    </w:p>
    <w:p w:rsidR="001E06EF" w:rsidRPr="003006D2" w:rsidRDefault="001E06EF">
      <w:pPr>
        <w:pStyle w:val="BodyText3"/>
        <w:ind w:firstLine="720"/>
        <w:jc w:val="both"/>
        <w:rPr>
          <w:b w:val="0"/>
          <w:bCs w:val="0"/>
          <w:sz w:val="22"/>
          <w:szCs w:val="22"/>
          <w:lang w:val="fr-FR"/>
        </w:rPr>
      </w:pPr>
      <w:r w:rsidRPr="003006D2">
        <w:rPr>
          <w:b w:val="0"/>
          <w:bCs w:val="0"/>
          <w:i/>
          <w:iCs/>
          <w:sz w:val="22"/>
          <w:szCs w:val="22"/>
          <w:lang w:val="fr-FR"/>
        </w:rPr>
        <w:t xml:space="preserve">Consciente </w:t>
      </w:r>
      <w:r w:rsidR="0005210B">
        <w:rPr>
          <w:b w:val="0"/>
          <w:bCs w:val="0"/>
          <w:sz w:val="22"/>
          <w:szCs w:val="22"/>
          <w:lang w:val="fr-FR"/>
        </w:rPr>
        <w:t>que des changements</w:t>
      </w:r>
      <w:r w:rsidRPr="003006D2">
        <w:rPr>
          <w:b w:val="0"/>
          <w:bCs w:val="0"/>
          <w:sz w:val="22"/>
          <w:szCs w:val="22"/>
          <w:lang w:val="fr-FR"/>
        </w:rPr>
        <w:t xml:space="preserve"> du taux de mortalité peuvent aboutir à des changements de la taille de la population des oiseaux d’eau, débouchant parfois sur des conséquences pour leur état de conservation, ainsi que – pour les espèces soumises à une utilisation consommatrice – sur une réduction des prélèvements potentiels,</w:t>
      </w:r>
    </w:p>
    <w:p w:rsidR="001E06EF" w:rsidRPr="003006D2" w:rsidRDefault="001E06EF">
      <w:pPr>
        <w:pStyle w:val="Default"/>
        <w:jc w:val="both"/>
        <w:rPr>
          <w:b/>
          <w:bCs/>
          <w:i/>
          <w:iCs/>
          <w:sz w:val="22"/>
          <w:szCs w:val="22"/>
          <w:lang w:val="fr-FR"/>
        </w:rPr>
      </w:pPr>
    </w:p>
    <w:p w:rsidR="001E06EF" w:rsidRPr="003006D2" w:rsidRDefault="001E06EF">
      <w:pPr>
        <w:pStyle w:val="BodyText3"/>
        <w:ind w:firstLine="720"/>
        <w:jc w:val="both"/>
        <w:rPr>
          <w:b w:val="0"/>
          <w:bCs w:val="0"/>
          <w:sz w:val="22"/>
          <w:szCs w:val="22"/>
          <w:lang w:val="fr-FR"/>
        </w:rPr>
      </w:pPr>
      <w:r w:rsidRPr="003006D2">
        <w:rPr>
          <w:b w:val="0"/>
          <w:bCs w:val="0"/>
          <w:i/>
          <w:iCs/>
          <w:sz w:val="22"/>
          <w:szCs w:val="22"/>
          <w:lang w:val="fr-FR"/>
        </w:rPr>
        <w:t xml:space="preserve">Consciente </w:t>
      </w:r>
      <w:r w:rsidRPr="003006D2">
        <w:rPr>
          <w:b w:val="0"/>
          <w:bCs w:val="0"/>
          <w:sz w:val="22"/>
          <w:szCs w:val="22"/>
          <w:lang w:val="fr-FR"/>
        </w:rPr>
        <w:t xml:space="preserve">que de nombreuses activités humaines peuvent aboutir à une mortalité supplémentaire directe d’oiseaux d’eau migrateurs, y compris l’abattage illégal, le commerce, le saturnisme, l’empoisonnement résultant de l'utilisation et de l’utilisation abusive de pesticides et d'autres produits chimiques à usage agricole, </w:t>
      </w:r>
      <w:r w:rsidR="00793399">
        <w:rPr>
          <w:b w:val="0"/>
          <w:bCs w:val="0"/>
          <w:sz w:val="22"/>
          <w:szCs w:val="22"/>
          <w:lang w:val="fr-FR"/>
        </w:rPr>
        <w:t xml:space="preserve">la mortalité accidentelle résultant de pratiques agricoles, </w:t>
      </w:r>
      <w:r w:rsidRPr="003006D2">
        <w:rPr>
          <w:b w:val="0"/>
          <w:bCs w:val="0"/>
          <w:sz w:val="22"/>
          <w:szCs w:val="22"/>
          <w:lang w:val="fr-FR"/>
        </w:rPr>
        <w:t xml:space="preserve">la mise à mort accidentelle par la pêche, y compris par les captures accidentelles dans les équipements de pêche tels que la pêche au filet maillant, à la palangre et au chalut et la mortalité due aux hydrocarbures, l’ingestion de plastiques et d’autres types de </w:t>
      </w:r>
      <w:r w:rsidR="00793399">
        <w:rPr>
          <w:b w:val="0"/>
          <w:bCs w:val="0"/>
          <w:sz w:val="22"/>
          <w:szCs w:val="22"/>
          <w:lang w:val="fr-FR"/>
        </w:rPr>
        <w:t xml:space="preserve">déchets </w:t>
      </w:r>
      <w:r w:rsidRPr="003006D2">
        <w:rPr>
          <w:b w:val="0"/>
          <w:bCs w:val="0"/>
          <w:sz w:val="22"/>
          <w:szCs w:val="22"/>
          <w:lang w:val="fr-FR"/>
        </w:rPr>
        <w:t>marin</w:t>
      </w:r>
      <w:r w:rsidR="00793399">
        <w:rPr>
          <w:b w:val="0"/>
          <w:bCs w:val="0"/>
          <w:sz w:val="22"/>
          <w:szCs w:val="22"/>
          <w:lang w:val="fr-FR"/>
        </w:rPr>
        <w:t>s</w:t>
      </w:r>
      <w:r w:rsidRPr="003006D2">
        <w:rPr>
          <w:b w:val="0"/>
          <w:bCs w:val="0"/>
          <w:sz w:val="22"/>
          <w:szCs w:val="22"/>
          <w:lang w:val="fr-FR"/>
        </w:rPr>
        <w:t>, la collision avec des infrastructures d’énergie comme les lignes électriques et les éoliennes</w:t>
      </w:r>
      <w:r w:rsidR="00793399">
        <w:rPr>
          <w:b w:val="0"/>
          <w:bCs w:val="0"/>
          <w:sz w:val="22"/>
          <w:szCs w:val="22"/>
          <w:lang w:val="fr-FR"/>
        </w:rPr>
        <w:t>, d</w:t>
      </w:r>
      <w:r w:rsidR="004D4760">
        <w:rPr>
          <w:b w:val="0"/>
          <w:bCs w:val="0"/>
          <w:sz w:val="22"/>
          <w:szCs w:val="22"/>
          <w:lang w:val="fr-FR"/>
        </w:rPr>
        <w:t xml:space="preserve">es </w:t>
      </w:r>
      <w:r w:rsidR="00793399">
        <w:rPr>
          <w:b w:val="0"/>
          <w:bCs w:val="0"/>
          <w:sz w:val="22"/>
          <w:szCs w:val="22"/>
          <w:lang w:val="fr-FR"/>
        </w:rPr>
        <w:t>espèces non indigènes</w:t>
      </w:r>
      <w:r w:rsidR="004D4760">
        <w:rPr>
          <w:b w:val="0"/>
          <w:bCs w:val="0"/>
          <w:sz w:val="22"/>
          <w:szCs w:val="22"/>
          <w:lang w:val="fr-FR"/>
        </w:rPr>
        <w:t xml:space="preserve"> introduites</w:t>
      </w:r>
      <w:r w:rsidR="0043166B">
        <w:rPr>
          <w:b w:val="0"/>
          <w:bCs w:val="0"/>
          <w:sz w:val="22"/>
          <w:szCs w:val="22"/>
          <w:lang w:val="fr-FR"/>
        </w:rPr>
        <w:t xml:space="preserve"> sur des îles,</w:t>
      </w:r>
      <w:r w:rsidRPr="003006D2">
        <w:rPr>
          <w:b w:val="0"/>
          <w:bCs w:val="0"/>
          <w:sz w:val="22"/>
          <w:szCs w:val="22"/>
          <w:lang w:val="fr-FR"/>
        </w:rPr>
        <w:t xml:space="preserve"> et qu’une mortalité supplémentaire peut aussi être attribuable, entre autres, à des modifications apportées par l’homme à l’utilisation des sols et au climat et </w:t>
      </w:r>
      <w:r w:rsidRPr="003006D2">
        <w:rPr>
          <w:b w:val="0"/>
          <w:bCs w:val="0"/>
          <w:i/>
          <w:iCs/>
          <w:sz w:val="22"/>
          <w:szCs w:val="22"/>
          <w:lang w:val="fr-FR"/>
        </w:rPr>
        <w:t xml:space="preserve">également consciente </w:t>
      </w:r>
      <w:r w:rsidRPr="003006D2">
        <w:rPr>
          <w:b w:val="0"/>
          <w:bCs w:val="0"/>
          <w:sz w:val="22"/>
          <w:szCs w:val="22"/>
          <w:lang w:val="fr-FR"/>
        </w:rPr>
        <w:t>que de multiples causes de mortalité peuvent agir de manière cumulative pour influencer la dynamique des populations,</w:t>
      </w:r>
    </w:p>
    <w:p w:rsidR="001E06EF" w:rsidRPr="003006D2" w:rsidRDefault="001E06EF">
      <w:pPr>
        <w:pStyle w:val="BodyText3"/>
        <w:ind w:firstLine="720"/>
        <w:jc w:val="both"/>
        <w:rPr>
          <w:b w:val="0"/>
          <w:bCs w:val="0"/>
          <w:sz w:val="22"/>
          <w:szCs w:val="22"/>
          <w:lang w:val="fr-FR"/>
        </w:rPr>
      </w:pPr>
    </w:p>
    <w:p w:rsidR="001E06EF" w:rsidRPr="003006D2" w:rsidRDefault="001E06EF">
      <w:pPr>
        <w:spacing w:after="0" w:line="240" w:lineRule="auto"/>
        <w:ind w:firstLine="720"/>
        <w:jc w:val="both"/>
        <w:rPr>
          <w:rFonts w:ascii="Times New Roman" w:hAnsi="Times New Roman" w:cs="Times New Roman"/>
          <w:lang w:val="fr-FR"/>
        </w:rPr>
      </w:pPr>
      <w:r w:rsidRPr="003006D2">
        <w:rPr>
          <w:rFonts w:ascii="Times New Roman" w:hAnsi="Times New Roman" w:cs="Times New Roman"/>
          <w:i/>
          <w:iCs/>
          <w:lang w:val="fr-FR"/>
        </w:rPr>
        <w:t xml:space="preserve">Consciente également </w:t>
      </w:r>
      <w:r w:rsidRPr="003006D2">
        <w:rPr>
          <w:rFonts w:ascii="Times New Roman" w:hAnsi="Times New Roman" w:cs="Times New Roman"/>
          <w:lang w:val="fr-FR"/>
        </w:rPr>
        <w:t>que la lutte contre les causes de mortalité supplémentaire et inutile d’oiseaux d’eau est essentielle pour mettre en œuvre l’Accord et son Plan d’action et a fait l’objet de discussions et de décisions lors de chaque Réunion des Parties (annexe 1</w:t>
      </w:r>
      <w:r w:rsidR="00B30D88">
        <w:rPr>
          <w:rFonts w:ascii="Times New Roman" w:hAnsi="Times New Roman" w:cs="Times New Roman"/>
          <w:lang w:val="fr-FR"/>
        </w:rPr>
        <w:t xml:space="preserve"> de la présente Résolution</w:t>
      </w:r>
      <w:r w:rsidRPr="003006D2">
        <w:rPr>
          <w:rFonts w:ascii="Times New Roman" w:hAnsi="Times New Roman" w:cs="Times New Roman"/>
          <w:lang w:val="fr-FR"/>
        </w:rPr>
        <w:t>),</w:t>
      </w:r>
    </w:p>
    <w:p w:rsidR="001E06EF" w:rsidRPr="003006D2" w:rsidRDefault="001E06EF">
      <w:pPr>
        <w:spacing w:after="0" w:line="240" w:lineRule="auto"/>
        <w:jc w:val="both"/>
        <w:rPr>
          <w:rFonts w:ascii="Times New Roman" w:hAnsi="Times New Roman" w:cs="Times New Roman"/>
          <w:lang w:val="fr-FR"/>
        </w:rPr>
      </w:pPr>
    </w:p>
    <w:p w:rsidR="001E06EF" w:rsidRPr="003006D2" w:rsidRDefault="001E06EF">
      <w:pPr>
        <w:spacing w:after="0" w:line="240" w:lineRule="auto"/>
        <w:ind w:firstLine="720"/>
        <w:jc w:val="both"/>
        <w:rPr>
          <w:rFonts w:ascii="Times New Roman" w:hAnsi="Times New Roman" w:cs="Times New Roman"/>
          <w:lang w:val="fr-FR"/>
        </w:rPr>
      </w:pPr>
      <w:r w:rsidRPr="003006D2">
        <w:rPr>
          <w:rFonts w:ascii="Times New Roman" w:hAnsi="Times New Roman" w:cs="Times New Roman"/>
          <w:i/>
          <w:iCs/>
          <w:lang w:val="fr-FR"/>
        </w:rPr>
        <w:t>Rappelant</w:t>
      </w:r>
      <w:r w:rsidRPr="003006D2">
        <w:rPr>
          <w:rFonts w:ascii="Times New Roman" w:hAnsi="Times New Roman" w:cs="Times New Roman"/>
          <w:lang w:val="fr-FR"/>
        </w:rPr>
        <w:t xml:space="preserve"> la recommandation n° 164 du Comité permanent de la Convention de Berne, adoptée le 6 décembre 2013, </w:t>
      </w:r>
      <w:r w:rsidRPr="00B30D88">
        <w:rPr>
          <w:rFonts w:ascii="Times New Roman" w:hAnsi="Times New Roman" w:cs="Times New Roman"/>
          <w:i/>
          <w:lang w:val="fr-FR"/>
        </w:rPr>
        <w:t>sur la mise en œuvre du Plan d’action de Tunis 2013-2020</w:t>
      </w:r>
      <w:r w:rsidRPr="00B30D88">
        <w:rPr>
          <w:rStyle w:val="FootnoteReference"/>
          <w:rFonts w:ascii="Times New Roman" w:hAnsi="Times New Roman" w:cs="Times New Roman"/>
          <w:i/>
          <w:lang w:val="fr-FR"/>
        </w:rPr>
        <w:footnoteReference w:id="1"/>
      </w:r>
      <w:r w:rsidRPr="00B30D88">
        <w:rPr>
          <w:rFonts w:ascii="Times New Roman" w:hAnsi="Times New Roman" w:cs="Times New Roman"/>
          <w:i/>
          <w:lang w:val="fr-FR"/>
        </w:rPr>
        <w:t xml:space="preserve"> pour l’éradication de la mise à mort, du piégeage et du commerce illégaux d’oiseaux sauvages</w:t>
      </w:r>
      <w:r w:rsidRPr="003006D2">
        <w:rPr>
          <w:rFonts w:ascii="Times New Roman" w:hAnsi="Times New Roman" w:cs="Times New Roman"/>
          <w:lang w:val="fr-FR"/>
        </w:rPr>
        <w:t xml:space="preserve"> qui, entre autres, a demandé la création d’un groupe de travail Pan-méditerranéen pour éradiquer ces activités,</w:t>
      </w:r>
    </w:p>
    <w:p w:rsidR="001E06EF" w:rsidRPr="003006D2" w:rsidRDefault="001E06EF">
      <w:pPr>
        <w:spacing w:after="0" w:line="240" w:lineRule="auto"/>
        <w:jc w:val="both"/>
        <w:rPr>
          <w:rFonts w:ascii="Times New Roman" w:hAnsi="Times New Roman" w:cs="Times New Roman"/>
          <w:lang w:val="fr-FR"/>
        </w:rPr>
      </w:pPr>
    </w:p>
    <w:p w:rsidR="001E06EF" w:rsidRPr="003006D2" w:rsidRDefault="001E06EF">
      <w:pPr>
        <w:spacing w:after="120" w:line="240" w:lineRule="auto"/>
        <w:ind w:firstLine="720"/>
        <w:jc w:val="both"/>
        <w:rPr>
          <w:rFonts w:ascii="Times New Roman" w:hAnsi="Times New Roman" w:cs="Times New Roman"/>
          <w:lang w:val="fr-FR"/>
        </w:rPr>
      </w:pPr>
      <w:r w:rsidRPr="003006D2">
        <w:rPr>
          <w:rFonts w:ascii="Times New Roman" w:hAnsi="Times New Roman" w:cs="Times New Roman"/>
          <w:i/>
          <w:iCs/>
          <w:lang w:val="fr-FR"/>
        </w:rPr>
        <w:t xml:space="preserve">Rappelant également </w:t>
      </w:r>
      <w:r w:rsidR="00636F56">
        <w:rPr>
          <w:rFonts w:ascii="Times New Roman" w:hAnsi="Times New Roman" w:cs="Times New Roman"/>
          <w:lang w:val="fr-FR"/>
        </w:rPr>
        <w:t>les</w:t>
      </w:r>
      <w:r w:rsidRPr="003006D2">
        <w:rPr>
          <w:rFonts w:ascii="Times New Roman" w:hAnsi="Times New Roman" w:cs="Times New Roman"/>
          <w:lang w:val="fr-FR"/>
        </w:rPr>
        <w:t xml:space="preserve"> résolution</w:t>
      </w:r>
      <w:r w:rsidR="00636F56">
        <w:rPr>
          <w:rFonts w:ascii="Times New Roman" w:hAnsi="Times New Roman" w:cs="Times New Roman"/>
          <w:lang w:val="fr-FR"/>
        </w:rPr>
        <w:t>s</w:t>
      </w:r>
      <w:r w:rsidRPr="003006D2">
        <w:rPr>
          <w:rFonts w:ascii="Times New Roman" w:hAnsi="Times New Roman" w:cs="Times New Roman"/>
          <w:lang w:val="fr-FR"/>
        </w:rPr>
        <w:t xml:space="preserve"> adoptée</w:t>
      </w:r>
      <w:r w:rsidR="00636F56">
        <w:rPr>
          <w:rFonts w:ascii="Times New Roman" w:hAnsi="Times New Roman" w:cs="Times New Roman"/>
          <w:lang w:val="fr-FR"/>
        </w:rPr>
        <w:t>s</w:t>
      </w:r>
      <w:r w:rsidRPr="003006D2">
        <w:rPr>
          <w:rFonts w:ascii="Times New Roman" w:hAnsi="Times New Roman" w:cs="Times New Roman"/>
          <w:lang w:val="fr-FR"/>
        </w:rPr>
        <w:t xml:space="preserve"> lors de la 11</w:t>
      </w:r>
      <w:r w:rsidRPr="003006D2">
        <w:rPr>
          <w:rFonts w:ascii="Times New Roman" w:hAnsi="Times New Roman" w:cs="Times New Roman"/>
          <w:vertAlign w:val="superscript"/>
          <w:lang w:val="fr-FR"/>
        </w:rPr>
        <w:t xml:space="preserve">ème </w:t>
      </w:r>
      <w:r w:rsidRPr="003006D2">
        <w:rPr>
          <w:rFonts w:ascii="Times New Roman" w:hAnsi="Times New Roman" w:cs="Times New Roman"/>
          <w:lang w:val="fr-FR"/>
        </w:rPr>
        <w:t>Conférence des Parties de la Convention sur les espèces migratrices (CMS) en 2014, qui aborde</w:t>
      </w:r>
      <w:r w:rsidR="00636F56">
        <w:rPr>
          <w:rFonts w:ascii="Times New Roman" w:hAnsi="Times New Roman" w:cs="Times New Roman"/>
          <w:lang w:val="fr-FR"/>
        </w:rPr>
        <w:t>nt</w:t>
      </w:r>
      <w:r w:rsidRPr="003006D2">
        <w:rPr>
          <w:rFonts w:ascii="Times New Roman" w:hAnsi="Times New Roman" w:cs="Times New Roman"/>
          <w:lang w:val="fr-FR"/>
        </w:rPr>
        <w:t xml:space="preserve"> directement les questions pouvant entraîner une mortalité inutile supplément</w:t>
      </w:r>
      <w:r w:rsidR="00636F56">
        <w:rPr>
          <w:rFonts w:ascii="Times New Roman" w:hAnsi="Times New Roman" w:cs="Times New Roman"/>
          <w:lang w:val="fr-FR"/>
        </w:rPr>
        <w:t>aire d’oiseaux d’eau et qui font</w:t>
      </w:r>
      <w:r w:rsidRPr="003006D2">
        <w:rPr>
          <w:rFonts w:ascii="Times New Roman" w:hAnsi="Times New Roman" w:cs="Times New Roman"/>
          <w:lang w:val="fr-FR"/>
        </w:rPr>
        <w:t xml:space="preserve"> des recommandations concernant des actions législatives et non-législatives en vue de réduire ou éliminer ces effets, y compris</w:t>
      </w:r>
      <w:r w:rsidR="00AE2ADA">
        <w:rPr>
          <w:rFonts w:ascii="Times New Roman" w:hAnsi="Times New Roman" w:cs="Times New Roman"/>
          <w:lang w:val="fr-FR"/>
        </w:rPr>
        <w:t xml:space="preserve"> </w:t>
      </w:r>
      <w:r w:rsidRPr="003006D2">
        <w:rPr>
          <w:rFonts w:ascii="Times New Roman" w:hAnsi="Times New Roman" w:cs="Times New Roman"/>
          <w:lang w:val="fr-FR"/>
        </w:rPr>
        <w:t>:</w:t>
      </w:r>
    </w:p>
    <w:p w:rsidR="00E5241C" w:rsidRPr="0057575F" w:rsidRDefault="001E06EF" w:rsidP="00E27F89">
      <w:pPr>
        <w:pStyle w:val="ListParagraph"/>
        <w:numPr>
          <w:ilvl w:val="0"/>
          <w:numId w:val="9"/>
        </w:numPr>
        <w:spacing w:after="120" w:line="240" w:lineRule="auto"/>
        <w:contextualSpacing w:val="0"/>
        <w:jc w:val="both"/>
        <w:rPr>
          <w:rFonts w:ascii="Times New Roman" w:hAnsi="Times New Roman" w:cs="Times New Roman"/>
          <w:lang w:val="fr-FR"/>
        </w:rPr>
      </w:pPr>
      <w:r w:rsidRPr="0057575F">
        <w:rPr>
          <w:rFonts w:ascii="Times New Roman" w:hAnsi="Times New Roman" w:cs="Times New Roman"/>
          <w:lang w:val="fr-FR"/>
        </w:rPr>
        <w:t xml:space="preserve">la résolution 11.15 intitulée </w:t>
      </w:r>
      <w:r w:rsidRPr="0057575F">
        <w:rPr>
          <w:rFonts w:ascii="Times New Roman" w:hAnsi="Times New Roman" w:cs="Times New Roman"/>
          <w:i/>
          <w:iCs/>
          <w:lang w:val="fr-FR"/>
        </w:rPr>
        <w:t>Prévenir les risques d’empoisonnement des oiseaux migrateurs</w:t>
      </w:r>
      <w:r w:rsidRPr="0057575F">
        <w:rPr>
          <w:rFonts w:ascii="Times New Roman" w:hAnsi="Times New Roman" w:cs="Times New Roman"/>
          <w:lang w:val="fr-FR"/>
        </w:rPr>
        <w:t xml:space="preserve"> qui aborde dans ses Lignes directrices annexées sur la prévention des risques d’empoisonnement des oiseaux par les insecticides </w:t>
      </w:r>
      <w:r w:rsidR="00855E61" w:rsidRPr="0057575F">
        <w:rPr>
          <w:rFonts w:ascii="Times New Roman" w:hAnsi="Times New Roman" w:cs="Times New Roman"/>
          <w:lang w:val="fr-FR"/>
        </w:rPr>
        <w:t xml:space="preserve">et </w:t>
      </w:r>
      <w:proofErr w:type="spellStart"/>
      <w:r w:rsidR="00855E61" w:rsidRPr="0057575F">
        <w:rPr>
          <w:rFonts w:ascii="Times New Roman" w:hAnsi="Times New Roman" w:cs="Times New Roman"/>
          <w:lang w:val="fr-FR"/>
        </w:rPr>
        <w:t>rodenticides</w:t>
      </w:r>
      <w:proofErr w:type="spellEnd"/>
      <w:r w:rsidR="00855E61" w:rsidRPr="0057575F">
        <w:rPr>
          <w:rFonts w:ascii="Times New Roman" w:hAnsi="Times New Roman" w:cs="Times New Roman"/>
          <w:lang w:val="fr-FR"/>
        </w:rPr>
        <w:t xml:space="preserve"> </w:t>
      </w:r>
      <w:r w:rsidRPr="0057575F">
        <w:rPr>
          <w:rFonts w:ascii="Times New Roman" w:hAnsi="Times New Roman" w:cs="Times New Roman"/>
          <w:lang w:val="fr-FR"/>
        </w:rPr>
        <w:t>utilisés pour la protection des cultures, l’ingestion d’appâts empoisonnés utilisés pour contrôler les prédateurs et protéger les récoltes, les produits pharmaceutiques vétérinaires pour traiter le bétail et les munitions au plomb et les plombs de pêche et qui, entre autres, donne mandat au Groupe de travail sur la prévention des risques d’empoisonnement de la CMS afin de fournir des directives et un appui supplémentaires en relation avec la mise en œuvre de la résolution</w:t>
      </w:r>
      <w:r w:rsidR="00855E61" w:rsidRPr="0057575F">
        <w:rPr>
          <w:rFonts w:ascii="Times New Roman" w:hAnsi="Times New Roman" w:cs="Times New Roman"/>
          <w:lang w:val="fr-FR"/>
        </w:rPr>
        <w:t xml:space="preserve"> </w:t>
      </w:r>
      <w:r w:rsidRPr="0057575F">
        <w:rPr>
          <w:rFonts w:ascii="Times New Roman" w:hAnsi="Times New Roman" w:cs="Times New Roman"/>
          <w:lang w:val="fr-FR"/>
        </w:rPr>
        <w:t>;</w:t>
      </w:r>
    </w:p>
    <w:p w:rsidR="00E5241C" w:rsidRPr="003006D2" w:rsidRDefault="00E5241C">
      <w:pPr>
        <w:pStyle w:val="ListParagraph"/>
        <w:numPr>
          <w:ilvl w:val="0"/>
          <w:numId w:val="9"/>
        </w:numPr>
        <w:spacing w:after="120" w:line="240" w:lineRule="auto"/>
        <w:contextualSpacing w:val="0"/>
        <w:jc w:val="both"/>
        <w:rPr>
          <w:rFonts w:ascii="Times New Roman" w:hAnsi="Times New Roman" w:cs="Times New Roman"/>
          <w:lang w:val="fr-FR"/>
        </w:rPr>
        <w:sectPr w:rsidR="00E5241C" w:rsidRPr="003006D2" w:rsidSect="0057575F">
          <w:headerReference w:type="first" r:id="rId8"/>
          <w:pgSz w:w="11906" w:h="16838" w:code="9"/>
          <w:pgMar w:top="1021" w:right="1134" w:bottom="851" w:left="1134" w:header="709" w:footer="510" w:gutter="0"/>
          <w:cols w:space="708"/>
          <w:titlePg/>
          <w:docGrid w:linePitch="360"/>
        </w:sectPr>
      </w:pPr>
    </w:p>
    <w:p w:rsidR="001E06EF" w:rsidRPr="003006D2" w:rsidRDefault="001E06EF">
      <w:pPr>
        <w:pStyle w:val="ListParagraph"/>
        <w:numPr>
          <w:ilvl w:val="0"/>
          <w:numId w:val="9"/>
        </w:numPr>
        <w:spacing w:after="120" w:line="240" w:lineRule="auto"/>
        <w:contextualSpacing w:val="0"/>
        <w:jc w:val="both"/>
        <w:rPr>
          <w:rFonts w:ascii="Times New Roman" w:hAnsi="Times New Roman" w:cs="Times New Roman"/>
          <w:lang w:val="fr-FR"/>
        </w:rPr>
      </w:pPr>
      <w:r w:rsidRPr="003006D2">
        <w:rPr>
          <w:rFonts w:ascii="Times New Roman" w:hAnsi="Times New Roman" w:cs="Times New Roman"/>
          <w:lang w:val="fr-FR"/>
        </w:rPr>
        <w:lastRenderedPageBreak/>
        <w:t xml:space="preserve">la résolution 11.16 sur </w:t>
      </w:r>
      <w:r w:rsidRPr="003006D2">
        <w:rPr>
          <w:rFonts w:ascii="Times New Roman" w:hAnsi="Times New Roman" w:cs="Times New Roman"/>
          <w:i/>
          <w:iCs/>
          <w:lang w:val="fr-FR"/>
        </w:rPr>
        <w:t>La prévention de l’abattage, du prélèvement et du commerce illégaux des oiseaux migrateurs</w:t>
      </w:r>
      <w:r w:rsidRPr="003006D2">
        <w:rPr>
          <w:rFonts w:ascii="Times New Roman" w:hAnsi="Times New Roman" w:cs="Times New Roman"/>
          <w:lang w:val="fr-FR"/>
        </w:rPr>
        <w:t xml:space="preserve"> qui établit, notamment sur une base commune, un Groupe de travail intergouvernemental sur l’abattage, le prélèvement et le commerce illégaux des oiseaux migrateurs en Méditerranée, comme l’a</w:t>
      </w:r>
      <w:r w:rsidR="00855E61">
        <w:rPr>
          <w:rFonts w:ascii="Times New Roman" w:hAnsi="Times New Roman" w:cs="Times New Roman"/>
          <w:lang w:val="fr-FR"/>
        </w:rPr>
        <w:t xml:space="preserve"> demandé la Convention de Berne ;</w:t>
      </w:r>
    </w:p>
    <w:p w:rsidR="001E06EF" w:rsidRPr="003006D2" w:rsidRDefault="001E06EF">
      <w:pPr>
        <w:pStyle w:val="ListParagraph"/>
        <w:numPr>
          <w:ilvl w:val="0"/>
          <w:numId w:val="9"/>
        </w:numPr>
        <w:spacing w:after="120" w:line="240" w:lineRule="auto"/>
        <w:contextualSpacing w:val="0"/>
        <w:jc w:val="both"/>
        <w:rPr>
          <w:rFonts w:ascii="Times New Roman" w:hAnsi="Times New Roman" w:cs="Times New Roman"/>
          <w:lang w:val="fr-FR"/>
        </w:rPr>
      </w:pPr>
      <w:r w:rsidRPr="003006D2">
        <w:rPr>
          <w:rFonts w:ascii="Times New Roman" w:hAnsi="Times New Roman" w:cs="Times New Roman"/>
          <w:lang w:val="fr-FR"/>
        </w:rPr>
        <w:t xml:space="preserve">la résolution 11.27 sur les </w:t>
      </w:r>
      <w:r w:rsidRPr="003006D2">
        <w:rPr>
          <w:rFonts w:ascii="Times New Roman" w:hAnsi="Times New Roman" w:cs="Times New Roman"/>
          <w:i/>
          <w:iCs/>
          <w:lang w:val="fr-FR"/>
        </w:rPr>
        <w:t>Energies renouvelables et les espèces migratrices</w:t>
      </w:r>
      <w:r w:rsidRPr="003006D2">
        <w:rPr>
          <w:rFonts w:ascii="Times New Roman" w:hAnsi="Times New Roman" w:cs="Times New Roman"/>
          <w:lang w:val="fr-FR"/>
        </w:rPr>
        <w:t>, s’attaquant au problème du déploiement approprié des technologies liées aux énergies renouvelables,</w:t>
      </w:r>
    </w:p>
    <w:p w:rsidR="001E06EF" w:rsidRPr="003006D2" w:rsidRDefault="001E06EF">
      <w:pPr>
        <w:pStyle w:val="ListParagraph"/>
        <w:spacing w:after="0" w:line="240" w:lineRule="auto"/>
        <w:ind w:left="0"/>
        <w:contextualSpacing w:val="0"/>
        <w:jc w:val="both"/>
        <w:rPr>
          <w:rFonts w:ascii="Times New Roman" w:hAnsi="Times New Roman" w:cs="Times New Roman"/>
          <w:lang w:val="fr-FR"/>
        </w:rPr>
      </w:pPr>
    </w:p>
    <w:p w:rsidR="001E06EF" w:rsidRPr="003006D2" w:rsidRDefault="001E06EF">
      <w:pPr>
        <w:spacing w:after="0" w:line="240" w:lineRule="auto"/>
        <w:ind w:firstLine="360"/>
        <w:jc w:val="both"/>
        <w:rPr>
          <w:rFonts w:ascii="Times New Roman" w:hAnsi="Times New Roman" w:cs="Times New Roman"/>
          <w:lang w:val="fr-FR"/>
        </w:rPr>
      </w:pPr>
      <w:r w:rsidRPr="003006D2">
        <w:rPr>
          <w:rFonts w:ascii="Times New Roman" w:hAnsi="Times New Roman" w:cs="Times New Roman"/>
          <w:i/>
          <w:iCs/>
          <w:lang w:val="fr-FR"/>
        </w:rPr>
        <w:t>Rappelant</w:t>
      </w:r>
      <w:r w:rsidRPr="003006D2">
        <w:rPr>
          <w:rFonts w:ascii="Times New Roman" w:hAnsi="Times New Roman" w:cs="Times New Roman"/>
          <w:lang w:val="fr-FR"/>
        </w:rPr>
        <w:t xml:space="preserve"> également le</w:t>
      </w:r>
      <w:r w:rsidRPr="003006D2">
        <w:rPr>
          <w:rFonts w:ascii="Times New Roman" w:hAnsi="Times New Roman" w:cs="Times New Roman"/>
          <w:i/>
          <w:iCs/>
          <w:lang w:val="fr-FR"/>
        </w:rPr>
        <w:t xml:space="preserve"> Plan d’action pour prendre en main le piégeage des oiseaux le long des côtes méditerranéennes de l'Egypte et de la Libye 2014 de l'AEWA/CMS </w:t>
      </w:r>
      <w:r w:rsidRPr="003006D2">
        <w:rPr>
          <w:rFonts w:ascii="Times New Roman" w:hAnsi="Times New Roman" w:cs="Times New Roman"/>
          <w:lang w:val="fr-FR"/>
        </w:rPr>
        <w:t xml:space="preserve">qui s’attaque à la mise à mort à grande échelle et non sélective d'oiseaux, et </w:t>
      </w:r>
      <w:r w:rsidRPr="003006D2">
        <w:rPr>
          <w:rFonts w:ascii="Times New Roman" w:hAnsi="Times New Roman" w:cs="Times New Roman"/>
          <w:i/>
          <w:iCs/>
          <w:lang w:val="fr-FR"/>
        </w:rPr>
        <w:t xml:space="preserve">notant, </w:t>
      </w:r>
      <w:r w:rsidRPr="003006D2">
        <w:rPr>
          <w:rFonts w:ascii="Times New Roman" w:hAnsi="Times New Roman" w:cs="Times New Roman"/>
          <w:lang w:val="fr-FR"/>
        </w:rPr>
        <w:t>concernant les questions traitées dans les résolutions 11.15, 11.16 et 11.27 de la CMS, son intérêt particulier pour la mise en œuvre de l’Accord et la réalisation de ses objectifs stratégiques et autres,</w:t>
      </w:r>
    </w:p>
    <w:p w:rsidR="001E06EF" w:rsidRPr="003006D2" w:rsidRDefault="001E06EF">
      <w:pPr>
        <w:spacing w:after="0" w:line="240" w:lineRule="auto"/>
        <w:jc w:val="both"/>
        <w:rPr>
          <w:rFonts w:ascii="Times New Roman" w:hAnsi="Times New Roman" w:cs="Times New Roman"/>
          <w:lang w:val="fr-FR"/>
        </w:rPr>
      </w:pPr>
    </w:p>
    <w:p w:rsidR="001E06EF" w:rsidRPr="00A606CF" w:rsidRDefault="001E06EF">
      <w:pPr>
        <w:spacing w:after="0" w:line="240" w:lineRule="auto"/>
        <w:ind w:firstLine="360"/>
        <w:jc w:val="both"/>
        <w:rPr>
          <w:rFonts w:ascii="Times New Roman" w:hAnsi="Times New Roman" w:cs="Times New Roman"/>
          <w:lang w:val="fr-FR"/>
        </w:rPr>
      </w:pPr>
      <w:r w:rsidRPr="00A606CF">
        <w:rPr>
          <w:rFonts w:ascii="Times New Roman" w:hAnsi="Times New Roman" w:cs="Times New Roman"/>
          <w:i/>
          <w:iCs/>
          <w:lang w:val="fr-FR"/>
        </w:rPr>
        <w:t>Notant</w:t>
      </w:r>
      <w:r w:rsidR="00A606CF">
        <w:rPr>
          <w:rFonts w:ascii="Times New Roman" w:hAnsi="Times New Roman" w:cs="Times New Roman"/>
          <w:i/>
          <w:iCs/>
          <w:lang w:val="fr-FR"/>
        </w:rPr>
        <w:t xml:space="preserve"> </w:t>
      </w:r>
      <w:r w:rsidR="00441AE4">
        <w:rPr>
          <w:rFonts w:ascii="Times New Roman" w:hAnsi="Times New Roman" w:cs="Times New Roman"/>
          <w:iCs/>
          <w:lang w:val="fr-FR"/>
        </w:rPr>
        <w:t xml:space="preserve">les lents progrès accompli par la majorité des Parties pour éliminer l’utilisation de </w:t>
      </w:r>
      <w:r w:rsidR="0030209D">
        <w:rPr>
          <w:rFonts w:ascii="Times New Roman" w:hAnsi="Times New Roman" w:cs="Times New Roman"/>
          <w:iCs/>
          <w:lang w:val="fr-FR"/>
        </w:rPr>
        <w:t xml:space="preserve">la </w:t>
      </w:r>
      <w:r w:rsidR="00441AE4">
        <w:rPr>
          <w:rFonts w:ascii="Times New Roman" w:hAnsi="Times New Roman" w:cs="Times New Roman"/>
          <w:iCs/>
          <w:lang w:val="fr-FR"/>
        </w:rPr>
        <w:t xml:space="preserve">grenaille de plomb </w:t>
      </w:r>
      <w:r w:rsidR="007B11BD">
        <w:rPr>
          <w:rFonts w:ascii="Times New Roman" w:hAnsi="Times New Roman" w:cs="Times New Roman"/>
          <w:iCs/>
          <w:lang w:val="fr-FR"/>
        </w:rPr>
        <w:t xml:space="preserve">de chasse </w:t>
      </w:r>
      <w:r w:rsidR="00441AE4">
        <w:rPr>
          <w:rFonts w:ascii="Times New Roman" w:hAnsi="Times New Roman" w:cs="Times New Roman"/>
          <w:iCs/>
          <w:lang w:val="fr-FR"/>
        </w:rPr>
        <w:t>dans les zones humides, bien qu</w:t>
      </w:r>
      <w:r w:rsidR="0030209D">
        <w:rPr>
          <w:rFonts w:ascii="Times New Roman" w:hAnsi="Times New Roman" w:cs="Times New Roman"/>
          <w:iCs/>
          <w:lang w:val="fr-FR"/>
        </w:rPr>
        <w:t>’avec plaisir les initiatives stratégiques récentes prises à cette fin par la Belgique, la Bulgarie, la Croatie, l’Estonie et la Suisse,</w:t>
      </w:r>
      <w:r w:rsidR="00441AE4">
        <w:rPr>
          <w:rFonts w:ascii="Times New Roman" w:hAnsi="Times New Roman" w:cs="Times New Roman"/>
          <w:iCs/>
          <w:lang w:val="fr-FR"/>
        </w:rPr>
        <w:t xml:space="preserve"> </w:t>
      </w:r>
      <w:r w:rsidRPr="003006D2">
        <w:rPr>
          <w:rFonts w:ascii="Times New Roman" w:hAnsi="Times New Roman" w:cs="Times New Roman"/>
          <w:i/>
          <w:iCs/>
          <w:highlight w:val="yellow"/>
          <w:lang w:val="fr-FR"/>
        </w:rPr>
        <w:t xml:space="preserve"> </w:t>
      </w:r>
    </w:p>
    <w:p w:rsidR="001E06EF" w:rsidRPr="003006D2" w:rsidRDefault="001E06EF">
      <w:pPr>
        <w:spacing w:after="0" w:line="240" w:lineRule="auto"/>
        <w:jc w:val="both"/>
        <w:rPr>
          <w:rFonts w:ascii="Times New Roman" w:hAnsi="Times New Roman" w:cs="Times New Roman"/>
          <w:i/>
          <w:iCs/>
          <w:highlight w:val="yellow"/>
          <w:lang w:val="fr-FR"/>
        </w:rPr>
      </w:pPr>
    </w:p>
    <w:p w:rsidR="001E06EF" w:rsidRPr="003006D2" w:rsidRDefault="001E06EF">
      <w:pPr>
        <w:spacing w:after="0" w:line="240" w:lineRule="auto"/>
        <w:ind w:firstLine="360"/>
        <w:jc w:val="both"/>
        <w:rPr>
          <w:rFonts w:ascii="Times New Roman" w:hAnsi="Times New Roman" w:cs="Times New Roman"/>
          <w:lang w:val="fr-FR"/>
        </w:rPr>
      </w:pPr>
      <w:r w:rsidRPr="003006D2">
        <w:rPr>
          <w:rFonts w:ascii="Times New Roman" w:hAnsi="Times New Roman" w:cs="Times New Roman"/>
          <w:i/>
          <w:iCs/>
          <w:lang w:val="fr-FR"/>
        </w:rPr>
        <w:t>Consciente</w:t>
      </w:r>
      <w:r w:rsidRPr="003006D2">
        <w:rPr>
          <w:rFonts w:ascii="Times New Roman" w:hAnsi="Times New Roman" w:cs="Times New Roman"/>
          <w:lang w:val="fr-FR"/>
        </w:rPr>
        <w:t xml:space="preserve"> de l’important ensemble de directives pour faire face aux questions figurant à l'annexe 1 qui a maintenant été développée et adoptée par l’AEWA et la CMS, ainsi que d’autres documents techniques préparés par d’autres, notamment la Convention relative à la conservation de la vie sauvage et du milieu naturel en Europe, l’Union européenne et l’Accord sur la Conservation des Albatros et des Pétrels (ACAP),</w:t>
      </w:r>
    </w:p>
    <w:p w:rsidR="001E06EF" w:rsidRPr="003006D2" w:rsidRDefault="001E06EF">
      <w:pPr>
        <w:pStyle w:val="BodyText3"/>
        <w:jc w:val="both"/>
        <w:rPr>
          <w:b w:val="0"/>
          <w:bCs w:val="0"/>
          <w:i/>
          <w:iCs/>
          <w:sz w:val="22"/>
          <w:szCs w:val="22"/>
          <w:lang w:val="fr-FR"/>
        </w:rPr>
      </w:pPr>
    </w:p>
    <w:p w:rsidR="001E06EF" w:rsidRPr="003006D2" w:rsidRDefault="001E06EF">
      <w:pPr>
        <w:pStyle w:val="BodyText3"/>
        <w:ind w:firstLine="360"/>
        <w:jc w:val="both"/>
        <w:rPr>
          <w:b w:val="0"/>
          <w:bCs w:val="0"/>
          <w:sz w:val="22"/>
          <w:szCs w:val="22"/>
          <w:lang w:val="fr-FR"/>
        </w:rPr>
      </w:pPr>
      <w:r w:rsidRPr="003006D2">
        <w:rPr>
          <w:b w:val="0"/>
          <w:bCs w:val="0"/>
          <w:i/>
          <w:iCs/>
          <w:sz w:val="22"/>
          <w:szCs w:val="22"/>
          <w:lang w:val="fr-FR"/>
        </w:rPr>
        <w:t xml:space="preserve">Notant également </w:t>
      </w:r>
      <w:r w:rsidRPr="003006D2">
        <w:rPr>
          <w:b w:val="0"/>
          <w:bCs w:val="0"/>
          <w:sz w:val="22"/>
          <w:szCs w:val="22"/>
          <w:lang w:val="fr-FR"/>
        </w:rPr>
        <w:t xml:space="preserve">la </w:t>
      </w:r>
      <w:r w:rsidRPr="000D1E10">
        <w:rPr>
          <w:b w:val="0"/>
          <w:bCs w:val="0"/>
          <w:sz w:val="22"/>
          <w:szCs w:val="22"/>
          <w:lang w:val="fr-FR"/>
        </w:rPr>
        <w:t xml:space="preserve">résolution 6.9 sur </w:t>
      </w:r>
      <w:r w:rsidRPr="000D1E10">
        <w:rPr>
          <w:b w:val="0"/>
          <w:bCs w:val="0"/>
          <w:i/>
          <w:iCs/>
          <w:sz w:val="22"/>
          <w:szCs w:val="22"/>
          <w:lang w:val="fr-FR"/>
        </w:rPr>
        <w:t xml:space="preserve">l’Amélioration de la conservation des espèces d’oiseaux de mer dans la région d’Afrique-Eurasie </w:t>
      </w:r>
      <w:r w:rsidRPr="000D1E10">
        <w:rPr>
          <w:b w:val="0"/>
          <w:bCs w:val="0"/>
          <w:sz w:val="22"/>
          <w:szCs w:val="22"/>
          <w:lang w:val="fr-FR"/>
        </w:rPr>
        <w:t xml:space="preserve">et la résolution 6.11 sur la </w:t>
      </w:r>
      <w:r w:rsidRPr="000D1E10">
        <w:rPr>
          <w:b w:val="0"/>
          <w:bCs w:val="0"/>
          <w:i/>
          <w:iCs/>
          <w:sz w:val="22"/>
          <w:szCs w:val="22"/>
          <w:lang w:val="fr-FR"/>
        </w:rPr>
        <w:t>Prise en main les impacts du déploiement de technologies d’énergie renouvelable sur les oiseaux d’eau migrateurs</w:t>
      </w:r>
      <w:r w:rsidRPr="003006D2">
        <w:rPr>
          <w:b w:val="0"/>
          <w:bCs w:val="0"/>
          <w:i/>
          <w:iCs/>
          <w:sz w:val="22"/>
          <w:szCs w:val="22"/>
          <w:lang w:val="fr-FR"/>
        </w:rPr>
        <w:t>.</w:t>
      </w:r>
    </w:p>
    <w:p w:rsidR="001E06EF" w:rsidRPr="003006D2" w:rsidRDefault="001E06EF">
      <w:pPr>
        <w:pStyle w:val="BodyText3"/>
        <w:tabs>
          <w:tab w:val="num" w:pos="540"/>
        </w:tabs>
        <w:jc w:val="both"/>
        <w:rPr>
          <w:b w:val="0"/>
          <w:bCs w:val="0"/>
          <w:i/>
          <w:iCs/>
          <w:sz w:val="22"/>
          <w:szCs w:val="22"/>
          <w:lang w:val="fr-FR"/>
        </w:rPr>
      </w:pPr>
    </w:p>
    <w:p w:rsidR="001E06EF" w:rsidRPr="003006D2" w:rsidRDefault="001E06EF">
      <w:pPr>
        <w:pStyle w:val="BodyText3"/>
        <w:tabs>
          <w:tab w:val="num" w:pos="540"/>
        </w:tabs>
        <w:jc w:val="both"/>
        <w:rPr>
          <w:b w:val="0"/>
          <w:bCs w:val="0"/>
          <w:i/>
          <w:iCs/>
          <w:sz w:val="22"/>
          <w:szCs w:val="22"/>
          <w:lang w:val="fr-FR"/>
        </w:rPr>
      </w:pPr>
    </w:p>
    <w:p w:rsidR="001E06EF" w:rsidRPr="003006D2" w:rsidRDefault="001E06EF">
      <w:pPr>
        <w:pStyle w:val="BodyText3"/>
        <w:tabs>
          <w:tab w:val="num" w:pos="540"/>
        </w:tabs>
        <w:jc w:val="both"/>
        <w:rPr>
          <w:b w:val="0"/>
          <w:bCs w:val="0"/>
          <w:i/>
          <w:iCs/>
          <w:sz w:val="22"/>
          <w:szCs w:val="22"/>
          <w:lang w:val="fr-FR"/>
        </w:rPr>
      </w:pPr>
      <w:r w:rsidRPr="003006D2">
        <w:rPr>
          <w:b w:val="0"/>
          <w:bCs w:val="0"/>
          <w:i/>
          <w:iCs/>
          <w:sz w:val="22"/>
          <w:szCs w:val="22"/>
          <w:lang w:val="fr-FR"/>
        </w:rPr>
        <w:t>La Réunion des Parties :</w:t>
      </w:r>
    </w:p>
    <w:p w:rsidR="001E06EF" w:rsidRPr="003006D2" w:rsidRDefault="001E06EF">
      <w:pPr>
        <w:pStyle w:val="BodyText3"/>
        <w:jc w:val="both"/>
        <w:rPr>
          <w:b w:val="0"/>
          <w:bCs w:val="0"/>
          <w:i/>
          <w:iCs/>
          <w:sz w:val="22"/>
          <w:szCs w:val="22"/>
          <w:lang w:val="fr-FR"/>
        </w:rPr>
      </w:pPr>
    </w:p>
    <w:p w:rsidR="001E06EF" w:rsidRPr="003006D2" w:rsidRDefault="001E06EF" w:rsidP="00190DBF">
      <w:pPr>
        <w:pStyle w:val="BodyText3"/>
        <w:numPr>
          <w:ilvl w:val="0"/>
          <w:numId w:val="3"/>
        </w:numPr>
        <w:tabs>
          <w:tab w:val="left" w:pos="426"/>
        </w:tabs>
        <w:ind w:left="0" w:firstLine="0"/>
        <w:jc w:val="both"/>
        <w:rPr>
          <w:b w:val="0"/>
          <w:bCs w:val="0"/>
          <w:lang w:val="fr-FR"/>
        </w:rPr>
      </w:pPr>
      <w:r w:rsidRPr="003006D2">
        <w:rPr>
          <w:b w:val="0"/>
          <w:bCs w:val="0"/>
          <w:i/>
          <w:iCs/>
          <w:sz w:val="22"/>
          <w:szCs w:val="22"/>
          <w:lang w:val="fr-FR"/>
        </w:rPr>
        <w:t>Prie instamment</w:t>
      </w:r>
      <w:r w:rsidRPr="003006D2">
        <w:rPr>
          <w:b w:val="0"/>
          <w:bCs w:val="0"/>
          <w:sz w:val="22"/>
          <w:szCs w:val="22"/>
          <w:lang w:val="fr-FR"/>
        </w:rPr>
        <w:t xml:space="preserve"> les Parties d’accorder la priorité à l’</w:t>
      </w:r>
      <w:r w:rsidR="00793399">
        <w:rPr>
          <w:b w:val="0"/>
          <w:bCs w:val="0"/>
          <w:sz w:val="22"/>
          <w:szCs w:val="22"/>
          <w:lang w:val="fr-FR"/>
        </w:rPr>
        <w:t xml:space="preserve">utilisation </w:t>
      </w:r>
      <w:r w:rsidRPr="003006D2">
        <w:rPr>
          <w:b w:val="0"/>
          <w:bCs w:val="0"/>
          <w:sz w:val="22"/>
          <w:szCs w:val="22"/>
          <w:lang w:val="fr-FR"/>
        </w:rPr>
        <w:t xml:space="preserve"> des nombreuses lignes directrices résumées à l’annexe 1, si besoin et de façon appropriée, dans leur mise en œuvre de l’Accord</w:t>
      </w:r>
      <w:r w:rsidR="00E5241C" w:rsidRPr="003006D2">
        <w:rPr>
          <w:b w:val="0"/>
          <w:bCs w:val="0"/>
          <w:sz w:val="22"/>
          <w:szCs w:val="22"/>
          <w:lang w:val="fr-FR"/>
        </w:rPr>
        <w:t xml:space="preserve"> </w:t>
      </w:r>
      <w:r w:rsidRPr="003006D2">
        <w:rPr>
          <w:b w:val="0"/>
          <w:bCs w:val="0"/>
          <w:sz w:val="22"/>
          <w:szCs w:val="22"/>
          <w:lang w:val="fr-FR"/>
        </w:rPr>
        <w:t xml:space="preserve">; </w:t>
      </w:r>
    </w:p>
    <w:p w:rsidR="001E06EF" w:rsidRPr="003006D2" w:rsidRDefault="001E06EF" w:rsidP="00190DBF">
      <w:pPr>
        <w:pStyle w:val="BodyText3"/>
        <w:tabs>
          <w:tab w:val="left" w:pos="720"/>
        </w:tabs>
        <w:jc w:val="both"/>
        <w:rPr>
          <w:b w:val="0"/>
          <w:bCs w:val="0"/>
          <w:sz w:val="22"/>
          <w:szCs w:val="22"/>
          <w:lang w:val="fr-FR"/>
        </w:rPr>
      </w:pPr>
    </w:p>
    <w:p w:rsidR="001E06EF" w:rsidRPr="003006D2" w:rsidRDefault="00A353DE" w:rsidP="00190DBF">
      <w:pPr>
        <w:pStyle w:val="BodyText3"/>
        <w:numPr>
          <w:ilvl w:val="0"/>
          <w:numId w:val="3"/>
        </w:numPr>
        <w:tabs>
          <w:tab w:val="left" w:pos="426"/>
        </w:tabs>
        <w:ind w:left="0" w:firstLine="0"/>
        <w:jc w:val="both"/>
        <w:rPr>
          <w:b w:val="0"/>
          <w:bCs w:val="0"/>
          <w:sz w:val="22"/>
          <w:szCs w:val="22"/>
          <w:lang w:val="fr-FR"/>
        </w:rPr>
      </w:pPr>
      <w:r w:rsidRPr="00A353DE">
        <w:rPr>
          <w:b w:val="0"/>
          <w:bCs w:val="0"/>
          <w:i/>
          <w:iCs/>
          <w:sz w:val="22"/>
          <w:szCs w:val="22"/>
          <w:lang w:val="fr-FR"/>
        </w:rPr>
        <w:t>R</w:t>
      </w:r>
      <w:r w:rsidR="001E06EF" w:rsidRPr="00A353DE">
        <w:rPr>
          <w:b w:val="0"/>
          <w:bCs w:val="0"/>
          <w:i/>
          <w:iCs/>
          <w:sz w:val="22"/>
          <w:szCs w:val="22"/>
          <w:lang w:val="fr-FR"/>
        </w:rPr>
        <w:t xml:space="preserve">emercie </w:t>
      </w:r>
      <w:r w:rsidR="001E06EF" w:rsidRPr="00A353DE">
        <w:rPr>
          <w:b w:val="0"/>
          <w:bCs w:val="0"/>
          <w:sz w:val="22"/>
          <w:szCs w:val="22"/>
          <w:lang w:val="fr-FR"/>
        </w:rPr>
        <w:t>l’Union européenne de</w:t>
      </w:r>
      <w:r w:rsidR="001E06EF" w:rsidRPr="003006D2">
        <w:rPr>
          <w:b w:val="0"/>
          <w:bCs w:val="0"/>
          <w:sz w:val="22"/>
          <w:szCs w:val="22"/>
          <w:lang w:val="fr-FR"/>
        </w:rPr>
        <w:t xml:space="preserve"> son soutien financier pour mettre en œuvre la résolution 11.16 de la CMS</w:t>
      </w:r>
      <w:r w:rsidR="0038322B">
        <w:rPr>
          <w:b w:val="0"/>
          <w:bCs w:val="0"/>
          <w:sz w:val="22"/>
          <w:szCs w:val="22"/>
          <w:lang w:val="fr-FR"/>
        </w:rPr>
        <w:t xml:space="preserve"> qui</w:t>
      </w:r>
      <w:r w:rsidR="001E06EF" w:rsidRPr="003006D2">
        <w:rPr>
          <w:b w:val="0"/>
          <w:bCs w:val="0"/>
          <w:sz w:val="22"/>
          <w:szCs w:val="22"/>
          <w:lang w:val="fr-FR"/>
        </w:rPr>
        <w:t xml:space="preserve"> permett</w:t>
      </w:r>
      <w:r w:rsidR="0038322B">
        <w:rPr>
          <w:b w:val="0"/>
          <w:bCs w:val="0"/>
          <w:sz w:val="22"/>
          <w:szCs w:val="22"/>
          <w:lang w:val="fr-FR"/>
        </w:rPr>
        <w:t>ra</w:t>
      </w:r>
      <w:r w:rsidR="001E06EF" w:rsidRPr="003006D2">
        <w:rPr>
          <w:b w:val="0"/>
          <w:bCs w:val="0"/>
          <w:sz w:val="22"/>
          <w:szCs w:val="22"/>
          <w:lang w:val="fr-FR"/>
        </w:rPr>
        <w:t xml:space="preserve"> la création du Groupe de travail intergouvernemental sur l’abattage, le prélèvement et le commerce illégaux des oiseaux migrateurs en Méditerranée</w:t>
      </w:r>
      <w:r w:rsidR="00E5241C" w:rsidRPr="003006D2">
        <w:rPr>
          <w:b w:val="0"/>
          <w:bCs w:val="0"/>
          <w:sz w:val="22"/>
          <w:szCs w:val="22"/>
          <w:lang w:val="fr-FR"/>
        </w:rPr>
        <w:t xml:space="preserve"> </w:t>
      </w:r>
      <w:r w:rsidR="001E06EF" w:rsidRPr="003006D2">
        <w:rPr>
          <w:b w:val="0"/>
          <w:bCs w:val="0"/>
          <w:sz w:val="22"/>
          <w:szCs w:val="22"/>
          <w:lang w:val="fr-FR"/>
        </w:rPr>
        <w:t>;</w:t>
      </w:r>
    </w:p>
    <w:p w:rsidR="001E06EF" w:rsidRPr="003006D2" w:rsidRDefault="001E06EF">
      <w:pPr>
        <w:pStyle w:val="ListParagraph"/>
        <w:spacing w:after="0" w:line="240" w:lineRule="auto"/>
        <w:ind w:left="0"/>
        <w:contextualSpacing w:val="0"/>
        <w:jc w:val="both"/>
        <w:rPr>
          <w:rFonts w:ascii="Times New Roman" w:hAnsi="Times New Roman" w:cs="Times New Roman"/>
          <w:lang w:val="fr-FR"/>
        </w:rPr>
      </w:pPr>
    </w:p>
    <w:p w:rsidR="001E06EF" w:rsidRPr="003006D2" w:rsidRDefault="004D530F" w:rsidP="00190DBF">
      <w:pPr>
        <w:pStyle w:val="BodyText3"/>
        <w:numPr>
          <w:ilvl w:val="0"/>
          <w:numId w:val="3"/>
        </w:numPr>
        <w:tabs>
          <w:tab w:val="left" w:pos="426"/>
        </w:tabs>
        <w:ind w:left="0" w:firstLine="0"/>
        <w:jc w:val="both"/>
        <w:rPr>
          <w:b w:val="0"/>
          <w:bCs w:val="0"/>
          <w:sz w:val="22"/>
          <w:szCs w:val="22"/>
          <w:lang w:val="fr-FR"/>
        </w:rPr>
      </w:pPr>
      <w:r>
        <w:rPr>
          <w:b w:val="0"/>
          <w:bCs w:val="0"/>
          <w:i/>
          <w:iCs/>
          <w:sz w:val="22"/>
          <w:szCs w:val="22"/>
          <w:lang w:val="fr-FR"/>
        </w:rPr>
        <w:t xml:space="preserve">Demande </w:t>
      </w:r>
      <w:r w:rsidRPr="0043166B">
        <w:rPr>
          <w:b w:val="0"/>
          <w:bCs w:val="0"/>
          <w:iCs/>
          <w:sz w:val="22"/>
          <w:szCs w:val="22"/>
          <w:lang w:val="fr-FR"/>
        </w:rPr>
        <w:t xml:space="preserve">au </w:t>
      </w:r>
      <w:r w:rsidR="001E06EF" w:rsidRPr="003006D2">
        <w:rPr>
          <w:b w:val="0"/>
          <w:bCs w:val="0"/>
          <w:sz w:val="22"/>
          <w:szCs w:val="22"/>
          <w:lang w:val="fr-FR"/>
        </w:rPr>
        <w:t>Secrétariat</w:t>
      </w:r>
      <w:r w:rsidR="0043166B">
        <w:rPr>
          <w:b w:val="0"/>
          <w:bCs w:val="0"/>
          <w:sz w:val="22"/>
          <w:szCs w:val="22"/>
          <w:lang w:val="fr-FR"/>
        </w:rPr>
        <w:t>,</w:t>
      </w:r>
      <w:r w:rsidR="001E06EF" w:rsidRPr="003006D2">
        <w:rPr>
          <w:b w:val="0"/>
          <w:bCs w:val="0"/>
          <w:sz w:val="22"/>
          <w:szCs w:val="22"/>
          <w:lang w:val="fr-FR"/>
        </w:rPr>
        <w:t xml:space="preserve"> tenant compte de l’expertise du Comité technique, </w:t>
      </w:r>
      <w:r w:rsidR="0038322B">
        <w:rPr>
          <w:b w:val="0"/>
          <w:bCs w:val="0"/>
          <w:sz w:val="22"/>
          <w:szCs w:val="22"/>
          <w:lang w:val="fr-FR"/>
        </w:rPr>
        <w:t>le cas échéant</w:t>
      </w:r>
      <w:r w:rsidR="001E06EF" w:rsidRPr="003006D2">
        <w:rPr>
          <w:b w:val="0"/>
          <w:bCs w:val="0"/>
          <w:sz w:val="22"/>
          <w:szCs w:val="22"/>
          <w:lang w:val="fr-FR"/>
        </w:rPr>
        <w:t xml:space="preserve">, </w:t>
      </w:r>
      <w:r>
        <w:rPr>
          <w:b w:val="0"/>
          <w:bCs w:val="0"/>
          <w:sz w:val="22"/>
          <w:szCs w:val="22"/>
          <w:lang w:val="fr-FR"/>
        </w:rPr>
        <w:t>de</w:t>
      </w:r>
      <w:r w:rsidRPr="003006D2">
        <w:rPr>
          <w:b w:val="0"/>
          <w:bCs w:val="0"/>
          <w:sz w:val="22"/>
          <w:szCs w:val="22"/>
          <w:lang w:val="fr-FR"/>
        </w:rPr>
        <w:t xml:space="preserve"> </w:t>
      </w:r>
      <w:r w:rsidR="001E06EF" w:rsidRPr="003006D2">
        <w:rPr>
          <w:b w:val="0"/>
          <w:bCs w:val="0"/>
          <w:sz w:val="22"/>
          <w:szCs w:val="22"/>
          <w:lang w:val="fr-FR"/>
        </w:rPr>
        <w:t xml:space="preserve">continuer à contribuer aux travaux du Groupe de travail sur la prévention des risques d’empoisonnement de la CMS et </w:t>
      </w:r>
      <w:r>
        <w:rPr>
          <w:b w:val="0"/>
          <w:bCs w:val="0"/>
          <w:sz w:val="22"/>
          <w:szCs w:val="22"/>
          <w:lang w:val="fr-FR"/>
        </w:rPr>
        <w:t>de</w:t>
      </w:r>
      <w:r w:rsidRPr="003006D2">
        <w:rPr>
          <w:b w:val="0"/>
          <w:bCs w:val="0"/>
          <w:sz w:val="22"/>
          <w:szCs w:val="22"/>
          <w:lang w:val="fr-FR"/>
        </w:rPr>
        <w:t xml:space="preserve"> </w:t>
      </w:r>
      <w:r w:rsidR="001E06EF" w:rsidRPr="003006D2">
        <w:rPr>
          <w:b w:val="0"/>
          <w:bCs w:val="0"/>
          <w:sz w:val="22"/>
          <w:szCs w:val="22"/>
          <w:lang w:val="fr-FR"/>
        </w:rPr>
        <w:t>contribuer aux travaux du Groupe de travail intergouvernemental sur l’abattage, le prélèvement et le commerce illégaux des oiseaux migrateurs en Méditerranée, à la lumière de l’importance de ces questions pour les oiseaux d’eau migrateurs et la mise en œuvre du Plan d’action de l’AEWA</w:t>
      </w:r>
      <w:r w:rsidR="00E5241C" w:rsidRPr="003006D2">
        <w:rPr>
          <w:b w:val="0"/>
          <w:bCs w:val="0"/>
          <w:sz w:val="22"/>
          <w:szCs w:val="22"/>
          <w:lang w:val="fr-FR"/>
        </w:rPr>
        <w:t xml:space="preserve"> </w:t>
      </w:r>
      <w:r w:rsidR="001E06EF" w:rsidRPr="003006D2">
        <w:rPr>
          <w:b w:val="0"/>
          <w:bCs w:val="0"/>
          <w:sz w:val="22"/>
          <w:szCs w:val="22"/>
          <w:lang w:val="fr-FR"/>
        </w:rPr>
        <w:t>;</w:t>
      </w:r>
    </w:p>
    <w:p w:rsidR="001E06EF" w:rsidRPr="003006D2" w:rsidRDefault="001E06EF" w:rsidP="00190DBF">
      <w:pPr>
        <w:pStyle w:val="ListParagraph"/>
        <w:spacing w:after="0" w:line="240" w:lineRule="auto"/>
        <w:ind w:left="0"/>
        <w:contextualSpacing w:val="0"/>
        <w:jc w:val="both"/>
        <w:rPr>
          <w:rFonts w:ascii="Times New Roman" w:hAnsi="Times New Roman" w:cs="Times New Roman"/>
          <w:lang w:val="fr-FR"/>
        </w:rPr>
      </w:pPr>
    </w:p>
    <w:p w:rsidR="001E06EF" w:rsidRDefault="004D530F" w:rsidP="00190DBF">
      <w:pPr>
        <w:pStyle w:val="BodyText3"/>
        <w:numPr>
          <w:ilvl w:val="0"/>
          <w:numId w:val="3"/>
        </w:numPr>
        <w:tabs>
          <w:tab w:val="left" w:pos="426"/>
        </w:tabs>
        <w:ind w:left="0" w:firstLine="0"/>
        <w:jc w:val="both"/>
        <w:rPr>
          <w:b w:val="0"/>
          <w:bCs w:val="0"/>
          <w:sz w:val="22"/>
          <w:szCs w:val="22"/>
          <w:lang w:val="fr-FR"/>
        </w:rPr>
      </w:pPr>
      <w:r>
        <w:rPr>
          <w:b w:val="0"/>
          <w:bCs w:val="0"/>
          <w:i/>
          <w:iCs/>
          <w:sz w:val="22"/>
          <w:szCs w:val="22"/>
          <w:lang w:val="fr-FR"/>
        </w:rPr>
        <w:t>Encourage</w:t>
      </w:r>
      <w:r w:rsidR="001E06EF" w:rsidRPr="003006D2">
        <w:rPr>
          <w:b w:val="0"/>
          <w:bCs w:val="0"/>
          <w:i/>
          <w:iCs/>
          <w:sz w:val="22"/>
          <w:szCs w:val="22"/>
          <w:lang w:val="fr-FR"/>
        </w:rPr>
        <w:t xml:space="preserve"> </w:t>
      </w:r>
      <w:r w:rsidR="001E06EF" w:rsidRPr="003006D2">
        <w:rPr>
          <w:b w:val="0"/>
          <w:bCs w:val="0"/>
          <w:sz w:val="22"/>
          <w:szCs w:val="22"/>
          <w:lang w:val="fr-FR"/>
        </w:rPr>
        <w:t xml:space="preserve">les Parties contractantes qui sont aussi Parties à la CMS d’appliquer, en priorité la résolution 11.15 </w:t>
      </w:r>
      <w:r w:rsidR="0085089C">
        <w:rPr>
          <w:b w:val="0"/>
          <w:bCs w:val="0"/>
          <w:sz w:val="22"/>
          <w:szCs w:val="22"/>
          <w:lang w:val="fr-FR"/>
        </w:rPr>
        <w:t xml:space="preserve">de la CMS </w:t>
      </w:r>
      <w:r w:rsidR="001E06EF" w:rsidRPr="003006D2">
        <w:rPr>
          <w:b w:val="0"/>
          <w:bCs w:val="0"/>
          <w:sz w:val="22"/>
          <w:szCs w:val="22"/>
          <w:lang w:val="fr-FR"/>
        </w:rPr>
        <w:t xml:space="preserve">pour </w:t>
      </w:r>
      <w:r w:rsidR="001E06EF" w:rsidRPr="00CE345C">
        <w:rPr>
          <w:b w:val="0"/>
          <w:bCs w:val="0"/>
          <w:i/>
          <w:sz w:val="22"/>
          <w:szCs w:val="22"/>
          <w:lang w:val="fr-FR"/>
        </w:rPr>
        <w:t>Prévenir les risques d’empoisonnement des oiseaux migrateurs</w:t>
      </w:r>
      <w:r w:rsidR="00E75F0A">
        <w:rPr>
          <w:b w:val="0"/>
          <w:bCs w:val="0"/>
          <w:sz w:val="22"/>
          <w:szCs w:val="22"/>
          <w:lang w:val="fr-FR"/>
        </w:rPr>
        <w:t xml:space="preserve"> et d’utiliser, </w:t>
      </w:r>
      <w:r w:rsidR="00325CD6">
        <w:rPr>
          <w:b w:val="0"/>
          <w:bCs w:val="0"/>
          <w:sz w:val="22"/>
          <w:szCs w:val="22"/>
          <w:lang w:val="fr-FR"/>
        </w:rPr>
        <w:t>le cas échéant</w:t>
      </w:r>
      <w:r w:rsidR="00E75F0A">
        <w:rPr>
          <w:b w:val="0"/>
          <w:bCs w:val="0"/>
          <w:sz w:val="22"/>
          <w:szCs w:val="22"/>
          <w:lang w:val="fr-FR"/>
        </w:rPr>
        <w:t xml:space="preserve">, </w:t>
      </w:r>
      <w:r w:rsidR="001E06EF" w:rsidRPr="003006D2">
        <w:rPr>
          <w:b w:val="0"/>
          <w:bCs w:val="0"/>
          <w:sz w:val="22"/>
          <w:szCs w:val="22"/>
          <w:lang w:val="fr-FR"/>
        </w:rPr>
        <w:t>les lignes directrices annexées à cette résolution portant sur la façon de prévenir les risques de</w:t>
      </w:r>
      <w:r w:rsidR="00E5241C" w:rsidRPr="003006D2">
        <w:rPr>
          <w:b w:val="0"/>
          <w:bCs w:val="0"/>
          <w:sz w:val="22"/>
          <w:szCs w:val="22"/>
          <w:lang w:val="fr-FR"/>
        </w:rPr>
        <w:t xml:space="preserve"> </w:t>
      </w:r>
      <w:r w:rsidR="001E06EF" w:rsidRPr="003006D2">
        <w:rPr>
          <w:b w:val="0"/>
          <w:bCs w:val="0"/>
          <w:sz w:val="22"/>
          <w:szCs w:val="22"/>
          <w:lang w:val="fr-FR"/>
        </w:rPr>
        <w:t>:</w:t>
      </w:r>
    </w:p>
    <w:p w:rsidR="00AE2ADA" w:rsidRDefault="00AE2ADA" w:rsidP="00AE2ADA">
      <w:pPr>
        <w:pStyle w:val="ListParagraph"/>
        <w:rPr>
          <w:b/>
          <w:bCs/>
          <w:lang w:val="fr-FR"/>
        </w:rPr>
      </w:pPr>
    </w:p>
    <w:p w:rsidR="001E06EF" w:rsidRPr="003006D2" w:rsidRDefault="001E06EF">
      <w:pPr>
        <w:pStyle w:val="ListParagraph"/>
        <w:numPr>
          <w:ilvl w:val="0"/>
          <w:numId w:val="10"/>
        </w:numPr>
        <w:spacing w:after="120" w:line="240" w:lineRule="auto"/>
        <w:ind w:left="851" w:hanging="425"/>
        <w:contextualSpacing w:val="0"/>
        <w:jc w:val="both"/>
        <w:rPr>
          <w:rFonts w:ascii="Times New Roman" w:hAnsi="Times New Roman" w:cs="Times New Roman"/>
          <w:lang w:val="fr-FR"/>
        </w:rPr>
      </w:pPr>
      <w:r w:rsidRPr="003006D2">
        <w:rPr>
          <w:rFonts w:ascii="Times New Roman" w:hAnsi="Times New Roman" w:cs="Times New Roman"/>
          <w:lang w:val="fr-FR"/>
        </w:rPr>
        <w:t xml:space="preserve">l’empoisonnement accidentel d’oiseaux par l’utilisation et/ou l’utilisation abusive d’insecticides et de </w:t>
      </w:r>
      <w:proofErr w:type="spellStart"/>
      <w:r w:rsidRPr="003006D2">
        <w:rPr>
          <w:rFonts w:ascii="Times New Roman" w:hAnsi="Times New Roman" w:cs="Times New Roman"/>
          <w:lang w:val="fr-FR"/>
        </w:rPr>
        <w:t>rodenticides</w:t>
      </w:r>
      <w:proofErr w:type="spellEnd"/>
      <w:r w:rsidRPr="003006D2">
        <w:rPr>
          <w:rFonts w:ascii="Times New Roman" w:hAnsi="Times New Roman" w:cs="Times New Roman"/>
          <w:lang w:val="fr-FR"/>
        </w:rPr>
        <w:t xml:space="preserve"> pour protéger les cultures agricoles</w:t>
      </w:r>
      <w:r w:rsidR="00E5241C" w:rsidRPr="003006D2">
        <w:rPr>
          <w:rFonts w:ascii="Times New Roman" w:hAnsi="Times New Roman" w:cs="Times New Roman"/>
          <w:lang w:val="fr-FR"/>
        </w:rPr>
        <w:t xml:space="preserve"> </w:t>
      </w:r>
      <w:r w:rsidRPr="003006D2">
        <w:rPr>
          <w:rFonts w:ascii="Times New Roman" w:hAnsi="Times New Roman" w:cs="Times New Roman"/>
          <w:lang w:val="fr-FR"/>
        </w:rPr>
        <w:t>;</w:t>
      </w:r>
    </w:p>
    <w:p w:rsidR="001E06EF" w:rsidRPr="003006D2" w:rsidRDefault="001E06EF">
      <w:pPr>
        <w:pStyle w:val="ListParagraph"/>
        <w:numPr>
          <w:ilvl w:val="0"/>
          <w:numId w:val="10"/>
        </w:numPr>
        <w:spacing w:after="120" w:line="240" w:lineRule="auto"/>
        <w:ind w:left="851" w:hanging="425"/>
        <w:contextualSpacing w:val="0"/>
        <w:jc w:val="both"/>
        <w:rPr>
          <w:rFonts w:ascii="Times New Roman" w:hAnsi="Times New Roman" w:cs="Times New Roman"/>
          <w:lang w:val="fr-FR"/>
        </w:rPr>
      </w:pPr>
      <w:r w:rsidRPr="003006D2">
        <w:rPr>
          <w:rFonts w:ascii="Times New Roman" w:hAnsi="Times New Roman" w:cs="Times New Roman"/>
          <w:lang w:val="fr-FR"/>
        </w:rPr>
        <w:t xml:space="preserve">la mise à mort intentionnelle et/ou accidentelle d’oiseaux par l’utilisation d’appâts empoisonnés pour contrôler les prédateurs et protéger les récoltes, et </w:t>
      </w:r>
    </w:p>
    <w:p w:rsidR="001E06EF" w:rsidRPr="003006D2" w:rsidRDefault="001E06EF">
      <w:pPr>
        <w:pStyle w:val="ListParagraph"/>
        <w:numPr>
          <w:ilvl w:val="0"/>
          <w:numId w:val="10"/>
        </w:numPr>
        <w:spacing w:after="120" w:line="240" w:lineRule="auto"/>
        <w:ind w:left="851" w:hanging="425"/>
        <w:contextualSpacing w:val="0"/>
        <w:jc w:val="both"/>
        <w:rPr>
          <w:rFonts w:ascii="Times New Roman" w:hAnsi="Times New Roman" w:cs="Times New Roman"/>
          <w:lang w:val="fr-FR"/>
        </w:rPr>
      </w:pPr>
      <w:r w:rsidRPr="003006D2">
        <w:rPr>
          <w:rFonts w:ascii="Times New Roman" w:hAnsi="Times New Roman" w:cs="Times New Roman"/>
          <w:lang w:val="fr-FR"/>
        </w:rPr>
        <w:t>l’utilisation de munitions au plomb et de poids de pêche, et</w:t>
      </w:r>
      <w:r w:rsidR="00E5241C" w:rsidRPr="003006D2">
        <w:rPr>
          <w:rFonts w:ascii="Times New Roman" w:hAnsi="Times New Roman" w:cs="Times New Roman"/>
          <w:lang w:val="fr-FR"/>
        </w:rPr>
        <w:t> ;</w:t>
      </w:r>
    </w:p>
    <w:p w:rsidR="001E06EF" w:rsidRPr="003006D2" w:rsidRDefault="001E06EF">
      <w:pPr>
        <w:pStyle w:val="ListParagraph"/>
        <w:spacing w:after="0" w:line="240" w:lineRule="auto"/>
        <w:ind w:left="0"/>
        <w:contextualSpacing w:val="0"/>
        <w:jc w:val="both"/>
        <w:rPr>
          <w:rFonts w:ascii="Times New Roman" w:hAnsi="Times New Roman" w:cs="Times New Roman"/>
          <w:lang w:val="fr-FR"/>
        </w:rPr>
      </w:pPr>
    </w:p>
    <w:p w:rsidR="001E06EF" w:rsidRPr="00AE2ADA" w:rsidRDefault="00325CD6" w:rsidP="00B4185C">
      <w:pPr>
        <w:pStyle w:val="BodyText3"/>
        <w:numPr>
          <w:ilvl w:val="0"/>
          <w:numId w:val="3"/>
        </w:numPr>
        <w:tabs>
          <w:tab w:val="left" w:pos="426"/>
        </w:tabs>
        <w:ind w:left="0" w:firstLine="0"/>
        <w:jc w:val="both"/>
        <w:rPr>
          <w:lang w:val="fr-FR"/>
        </w:rPr>
      </w:pPr>
      <w:r>
        <w:rPr>
          <w:b w:val="0"/>
          <w:bCs w:val="0"/>
          <w:i/>
          <w:iCs/>
          <w:sz w:val="22"/>
          <w:szCs w:val="22"/>
          <w:lang w:val="fr-FR"/>
        </w:rPr>
        <w:t>Invite</w:t>
      </w:r>
      <w:r w:rsidRPr="00AE2ADA">
        <w:rPr>
          <w:b w:val="0"/>
          <w:bCs w:val="0"/>
          <w:i/>
          <w:iCs/>
          <w:sz w:val="22"/>
          <w:szCs w:val="22"/>
          <w:lang w:val="fr-FR"/>
        </w:rPr>
        <w:t xml:space="preserve"> </w:t>
      </w:r>
      <w:r w:rsidR="001E06EF" w:rsidRPr="00AE2ADA">
        <w:rPr>
          <w:b w:val="0"/>
          <w:bCs w:val="0"/>
          <w:sz w:val="22"/>
          <w:szCs w:val="22"/>
          <w:lang w:val="fr-FR"/>
        </w:rPr>
        <w:t xml:space="preserve">les Parties contractantes qui ne sont pas Parties à la CMS à appliquer, </w:t>
      </w:r>
      <w:r>
        <w:rPr>
          <w:b w:val="0"/>
          <w:bCs w:val="0"/>
          <w:sz w:val="22"/>
          <w:szCs w:val="22"/>
          <w:lang w:val="fr-FR"/>
        </w:rPr>
        <w:t>le cas échéant</w:t>
      </w:r>
      <w:r w:rsidR="001E06EF" w:rsidRPr="00AE2ADA">
        <w:rPr>
          <w:b w:val="0"/>
          <w:bCs w:val="0"/>
          <w:sz w:val="22"/>
          <w:szCs w:val="22"/>
          <w:lang w:val="fr-FR"/>
        </w:rPr>
        <w:t xml:space="preserve">, la résolution 11.15 </w:t>
      </w:r>
      <w:r>
        <w:rPr>
          <w:b w:val="0"/>
          <w:bCs w:val="0"/>
          <w:sz w:val="22"/>
          <w:szCs w:val="22"/>
          <w:lang w:val="fr-FR"/>
        </w:rPr>
        <w:t xml:space="preserve">de la CMS </w:t>
      </w:r>
      <w:r w:rsidR="001E06EF" w:rsidRPr="00AE2ADA">
        <w:rPr>
          <w:b w:val="0"/>
          <w:bCs w:val="0"/>
          <w:sz w:val="22"/>
          <w:szCs w:val="22"/>
          <w:lang w:val="fr-FR"/>
        </w:rPr>
        <w:t xml:space="preserve">pour </w:t>
      </w:r>
      <w:r w:rsidR="001E06EF" w:rsidRPr="00AE2ADA">
        <w:rPr>
          <w:b w:val="0"/>
          <w:bCs w:val="0"/>
          <w:i/>
          <w:sz w:val="22"/>
          <w:szCs w:val="22"/>
          <w:lang w:val="fr-FR"/>
        </w:rPr>
        <w:t>Prévenir les risques d’empoisonnement des oiseaux migrateurs</w:t>
      </w:r>
      <w:r w:rsidR="001E06EF" w:rsidRPr="00AE2ADA">
        <w:rPr>
          <w:b w:val="0"/>
          <w:bCs w:val="0"/>
          <w:sz w:val="22"/>
          <w:szCs w:val="22"/>
          <w:lang w:val="fr-FR"/>
        </w:rPr>
        <w:t>.</w:t>
      </w:r>
    </w:p>
    <w:p w:rsidR="001E06EF" w:rsidRPr="003006D2" w:rsidRDefault="001E06EF">
      <w:pPr>
        <w:pStyle w:val="ListParagraph"/>
        <w:spacing w:after="0" w:line="240" w:lineRule="auto"/>
        <w:ind w:left="0"/>
        <w:contextualSpacing w:val="0"/>
        <w:jc w:val="both"/>
        <w:rPr>
          <w:rFonts w:ascii="Times New Roman" w:hAnsi="Times New Roman" w:cs="Times New Roman"/>
          <w:lang w:val="fr-FR"/>
        </w:rPr>
        <w:sectPr w:rsidR="001E06EF" w:rsidRPr="003006D2" w:rsidSect="00E5241C">
          <w:headerReference w:type="default" r:id="rId9"/>
          <w:footerReference w:type="default" r:id="rId10"/>
          <w:pgSz w:w="11906" w:h="16838" w:code="9"/>
          <w:pgMar w:top="1021" w:right="1134" w:bottom="851" w:left="1134" w:header="709" w:footer="510" w:gutter="0"/>
          <w:cols w:space="708"/>
          <w:docGrid w:linePitch="360"/>
        </w:sectPr>
      </w:pPr>
    </w:p>
    <w:p w:rsidR="001E06EF" w:rsidRPr="003006D2" w:rsidRDefault="001E06EF">
      <w:pPr>
        <w:spacing w:line="280" w:lineRule="auto"/>
        <w:jc w:val="both"/>
        <w:rPr>
          <w:rFonts w:ascii="Times New Roman" w:hAnsi="Times New Roman" w:cs="Times New Roman"/>
          <w:lang w:val="fr-FR"/>
        </w:rPr>
      </w:pPr>
      <w:r w:rsidRPr="003006D2">
        <w:rPr>
          <w:rFonts w:ascii="Times New Roman" w:hAnsi="Times New Roman" w:cs="Times New Roman"/>
          <w:sz w:val="28"/>
          <w:szCs w:val="28"/>
          <w:lang w:val="fr-FR"/>
        </w:rPr>
        <w:lastRenderedPageBreak/>
        <w:t>Annexe 1</w:t>
      </w:r>
      <w:r w:rsidRPr="003006D2">
        <w:rPr>
          <w:rFonts w:ascii="Times New Roman" w:hAnsi="Times New Roman" w:cs="Times New Roman"/>
          <w:b/>
          <w:bCs/>
          <w:lang w:val="fr-FR"/>
        </w:rPr>
        <w:t xml:space="preserve">  </w:t>
      </w:r>
    </w:p>
    <w:p w:rsidR="001E06EF" w:rsidRPr="003006D2" w:rsidRDefault="001E06EF">
      <w:pPr>
        <w:spacing w:line="280" w:lineRule="auto"/>
        <w:jc w:val="both"/>
        <w:rPr>
          <w:rFonts w:ascii="Times New Roman" w:hAnsi="Times New Roman" w:cs="Times New Roman"/>
          <w:lang w:val="fr-FR"/>
        </w:rPr>
      </w:pPr>
      <w:r w:rsidRPr="003006D2">
        <w:rPr>
          <w:rFonts w:ascii="Times New Roman" w:hAnsi="Times New Roman" w:cs="Times New Roman"/>
          <w:b/>
          <w:bCs/>
          <w:lang w:val="fr-FR"/>
        </w:rPr>
        <w:t>Résolutions de l’AEWA et de la CMS et directives adoptées abordant les questions causant une mortalité supplémentaire inutile pour les oiseaux migra</w:t>
      </w:r>
      <w:r w:rsidR="005F2E61">
        <w:rPr>
          <w:rFonts w:ascii="Times New Roman" w:hAnsi="Times New Roman" w:cs="Times New Roman"/>
          <w:b/>
          <w:bCs/>
          <w:lang w:val="fr-FR"/>
        </w:rPr>
        <w:t>teurs.  Veuillez noter qu’en plus</w:t>
      </w:r>
      <w:r w:rsidRPr="003006D2">
        <w:rPr>
          <w:rFonts w:ascii="Times New Roman" w:hAnsi="Times New Roman" w:cs="Times New Roman"/>
          <w:b/>
          <w:bCs/>
          <w:lang w:val="fr-FR"/>
        </w:rPr>
        <w:t xml:space="preserve"> de nombreux Plans d’action par espèce traitent ces causes de mortalité et fournissent des directives pour les espèces concernées.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39"/>
        <w:gridCol w:w="3639"/>
        <w:gridCol w:w="3639"/>
        <w:gridCol w:w="3639"/>
      </w:tblGrid>
      <w:tr w:rsidR="001E06EF" w:rsidRPr="00EA2D7E">
        <w:trPr>
          <w:tblHeader/>
        </w:trPr>
        <w:tc>
          <w:tcPr>
            <w:tcW w:w="1250" w:type="pct"/>
            <w:shd w:val="clear" w:color="auto" w:fill="EEECE1"/>
          </w:tcPr>
          <w:p w:rsidR="001E06EF" w:rsidRPr="003006D2" w:rsidRDefault="001E06EF">
            <w:pPr>
              <w:spacing w:after="120" w:line="280" w:lineRule="auto"/>
              <w:rPr>
                <w:lang w:val="fr-FR"/>
              </w:rPr>
            </w:pPr>
            <w:r w:rsidRPr="003006D2">
              <w:rPr>
                <w:rFonts w:ascii="Times New Roman" w:hAnsi="Times New Roman" w:cs="Times New Roman"/>
                <w:b/>
                <w:bCs/>
                <w:sz w:val="20"/>
                <w:szCs w:val="20"/>
                <w:lang w:val="fr-FR"/>
              </w:rPr>
              <w:t>Cause de mortalité supplémentaire inutile</w:t>
            </w:r>
          </w:p>
        </w:tc>
        <w:tc>
          <w:tcPr>
            <w:tcW w:w="1250" w:type="pct"/>
            <w:shd w:val="clear" w:color="auto" w:fill="EEECE1"/>
          </w:tcPr>
          <w:p w:rsidR="001E06EF" w:rsidRPr="003006D2" w:rsidRDefault="001E06EF">
            <w:pPr>
              <w:spacing w:after="120" w:line="280" w:lineRule="auto"/>
              <w:rPr>
                <w:lang w:val="fr-FR"/>
              </w:rPr>
            </w:pPr>
            <w:r w:rsidRPr="003006D2">
              <w:rPr>
                <w:rFonts w:ascii="Times New Roman" w:hAnsi="Times New Roman" w:cs="Times New Roman"/>
                <w:b/>
                <w:bCs/>
                <w:sz w:val="20"/>
                <w:szCs w:val="20"/>
                <w:lang w:val="fr-FR"/>
              </w:rPr>
              <w:t xml:space="preserve">Directives et objectifs stratégiques convenus par les Parties à AEWA </w:t>
            </w:r>
          </w:p>
        </w:tc>
        <w:tc>
          <w:tcPr>
            <w:tcW w:w="1250" w:type="pct"/>
            <w:shd w:val="clear" w:color="auto" w:fill="EEECE1"/>
          </w:tcPr>
          <w:p w:rsidR="001E06EF" w:rsidRPr="003006D2" w:rsidRDefault="001E06EF">
            <w:pPr>
              <w:spacing w:after="120" w:line="280" w:lineRule="auto"/>
              <w:rPr>
                <w:lang w:val="fr-FR"/>
              </w:rPr>
            </w:pPr>
            <w:r w:rsidRPr="003006D2">
              <w:rPr>
                <w:rFonts w:ascii="Times New Roman" w:hAnsi="Times New Roman" w:cs="Times New Roman"/>
                <w:b/>
                <w:bCs/>
                <w:sz w:val="20"/>
                <w:szCs w:val="20"/>
                <w:lang w:val="fr-FR"/>
              </w:rPr>
              <w:t>Résolutions pertinentes de l’AEWA &amp; de la CMS</w:t>
            </w:r>
          </w:p>
        </w:tc>
        <w:tc>
          <w:tcPr>
            <w:tcW w:w="1250" w:type="pct"/>
            <w:shd w:val="clear" w:color="auto" w:fill="EEECE1"/>
          </w:tcPr>
          <w:p w:rsidR="001E06EF" w:rsidRPr="003006D2" w:rsidRDefault="001E06EF">
            <w:pPr>
              <w:spacing w:after="120" w:line="280" w:lineRule="auto"/>
              <w:rPr>
                <w:lang w:val="fr-FR"/>
              </w:rPr>
            </w:pPr>
            <w:r w:rsidRPr="003006D2">
              <w:rPr>
                <w:rFonts w:ascii="Times New Roman" w:hAnsi="Times New Roman" w:cs="Times New Roman"/>
                <w:b/>
                <w:bCs/>
                <w:sz w:val="20"/>
                <w:szCs w:val="20"/>
                <w:lang w:val="fr-FR"/>
              </w:rPr>
              <w:t>Directives pertinentes de l’AEWA &amp; de la CMS</w:t>
            </w:r>
          </w:p>
        </w:tc>
      </w:tr>
      <w:tr w:rsidR="001E06EF" w:rsidRPr="00EA2D7E">
        <w:tc>
          <w:tcPr>
            <w:tcW w:w="1250" w:type="pct"/>
          </w:tcPr>
          <w:p w:rsidR="001E06EF" w:rsidRPr="003006D2" w:rsidRDefault="001E06EF">
            <w:pPr>
              <w:spacing w:after="120" w:line="280" w:lineRule="auto"/>
              <w:rPr>
                <w:lang w:val="fr-FR"/>
              </w:rPr>
            </w:pPr>
            <w:r w:rsidRPr="003006D2">
              <w:rPr>
                <w:rFonts w:ascii="Times New Roman" w:hAnsi="Times New Roman" w:cs="Times New Roman"/>
                <w:sz w:val="20"/>
                <w:szCs w:val="20"/>
                <w:lang w:val="fr-FR"/>
              </w:rPr>
              <w:t>Mortalité due à la collision avec ou l’électrocution par les infrastructures de pro</w:t>
            </w:r>
            <w:r w:rsidR="005F2E61">
              <w:rPr>
                <w:rFonts w:ascii="Times New Roman" w:hAnsi="Times New Roman" w:cs="Times New Roman"/>
                <w:sz w:val="20"/>
                <w:szCs w:val="20"/>
                <w:lang w:val="fr-FR"/>
              </w:rPr>
              <w:t>duction d’électricité, y compris celles liées à</w:t>
            </w:r>
            <w:r w:rsidRPr="003006D2">
              <w:rPr>
                <w:rFonts w:ascii="Times New Roman" w:hAnsi="Times New Roman" w:cs="Times New Roman"/>
                <w:sz w:val="20"/>
                <w:szCs w:val="20"/>
                <w:lang w:val="fr-FR"/>
              </w:rPr>
              <w:t xml:space="preserve"> l’énergie renouvelable</w:t>
            </w:r>
          </w:p>
        </w:tc>
        <w:tc>
          <w:tcPr>
            <w:tcW w:w="1250" w:type="pct"/>
          </w:tcPr>
          <w:p w:rsidR="001E06EF" w:rsidRPr="003006D2" w:rsidRDefault="001E06EF">
            <w:pPr>
              <w:spacing w:after="120" w:line="280" w:lineRule="auto"/>
              <w:ind w:left="284" w:hanging="284"/>
              <w:rPr>
                <w:lang w:val="fr-FR"/>
              </w:rPr>
            </w:pPr>
            <w:r w:rsidRPr="003006D2">
              <w:rPr>
                <w:rFonts w:ascii="Times New Roman" w:hAnsi="Times New Roman" w:cs="Times New Roman"/>
                <w:sz w:val="20"/>
                <w:szCs w:val="20"/>
                <w:lang w:val="fr-FR"/>
              </w:rPr>
              <w:t>Plan d’action de l’AEWA,  para. 4.3.5</w:t>
            </w:r>
          </w:p>
        </w:tc>
        <w:tc>
          <w:tcPr>
            <w:tcW w:w="1250" w:type="pct"/>
          </w:tcPr>
          <w:p w:rsidR="001E06EF" w:rsidRPr="003006D2" w:rsidRDefault="005F2E61">
            <w:pPr>
              <w:spacing w:after="120" w:line="280" w:lineRule="auto"/>
              <w:ind w:left="284" w:hanging="284"/>
              <w:rPr>
                <w:rFonts w:ascii="Times New Roman" w:hAnsi="Times New Roman" w:cs="Times New Roman"/>
                <w:lang w:val="fr-FR"/>
              </w:rPr>
            </w:pPr>
            <w:r>
              <w:rPr>
                <w:rFonts w:ascii="Times New Roman" w:hAnsi="Times New Roman" w:cs="Times New Roman"/>
                <w:sz w:val="20"/>
                <w:szCs w:val="20"/>
                <w:lang w:val="fr-FR"/>
              </w:rPr>
              <w:t xml:space="preserve">CMS </w:t>
            </w:r>
            <w:proofErr w:type="spellStart"/>
            <w:r>
              <w:rPr>
                <w:rFonts w:ascii="Times New Roman" w:hAnsi="Times New Roman" w:cs="Times New Roman"/>
                <w:sz w:val="20"/>
                <w:szCs w:val="20"/>
                <w:lang w:val="fr-FR"/>
              </w:rPr>
              <w:t>Rés</w:t>
            </w:r>
            <w:proofErr w:type="spellEnd"/>
            <w:r>
              <w:rPr>
                <w:rFonts w:ascii="Times New Roman" w:hAnsi="Times New Roman" w:cs="Times New Roman"/>
                <w:sz w:val="20"/>
                <w:szCs w:val="20"/>
                <w:lang w:val="fr-FR"/>
              </w:rPr>
              <w:t xml:space="preserve">. 7.4. Électrocution des </w:t>
            </w:r>
            <w:r w:rsidR="001E06EF" w:rsidRPr="003006D2">
              <w:rPr>
                <w:rFonts w:ascii="Times New Roman" w:hAnsi="Times New Roman" w:cs="Times New Roman"/>
                <w:sz w:val="20"/>
                <w:szCs w:val="20"/>
                <w:lang w:val="fr-FR"/>
              </w:rPr>
              <w:t>oiseaux migrateurs</w:t>
            </w:r>
          </w:p>
          <w:p w:rsidR="001E06EF" w:rsidRPr="003006D2" w:rsidRDefault="001E06EF">
            <w:pPr>
              <w:spacing w:after="120" w:line="280" w:lineRule="auto"/>
              <w:ind w:left="284" w:hanging="284"/>
              <w:rPr>
                <w:rFonts w:ascii="Times New Roman" w:hAnsi="Times New Roman" w:cs="Times New Roman"/>
                <w:sz w:val="20"/>
                <w:szCs w:val="20"/>
                <w:lang w:val="fr-FR"/>
              </w:rPr>
            </w:pPr>
            <w:r w:rsidRPr="003006D2">
              <w:rPr>
                <w:rFonts w:ascii="Times New Roman" w:hAnsi="Times New Roman" w:cs="Times New Roman"/>
                <w:sz w:val="20"/>
                <w:szCs w:val="20"/>
                <w:lang w:val="fr-FR"/>
              </w:rPr>
              <w:t xml:space="preserve">CMS </w:t>
            </w:r>
            <w:proofErr w:type="spellStart"/>
            <w:r w:rsidRPr="003006D2">
              <w:rPr>
                <w:rFonts w:ascii="Times New Roman" w:hAnsi="Times New Roman" w:cs="Times New Roman"/>
                <w:sz w:val="20"/>
                <w:szCs w:val="20"/>
                <w:lang w:val="fr-FR"/>
              </w:rPr>
              <w:t>Rés</w:t>
            </w:r>
            <w:proofErr w:type="spellEnd"/>
            <w:r w:rsidR="005F2E61">
              <w:rPr>
                <w:rFonts w:ascii="Times New Roman" w:hAnsi="Times New Roman" w:cs="Times New Roman"/>
                <w:sz w:val="20"/>
                <w:szCs w:val="20"/>
                <w:lang w:val="fr-FR"/>
              </w:rPr>
              <w:t xml:space="preserve"> 7.5 Éoliennes et </w:t>
            </w:r>
            <w:r w:rsidRPr="003006D2">
              <w:rPr>
                <w:rFonts w:ascii="Times New Roman" w:hAnsi="Times New Roman" w:cs="Times New Roman"/>
                <w:sz w:val="20"/>
                <w:szCs w:val="20"/>
                <w:lang w:val="fr-FR"/>
              </w:rPr>
              <w:t>espèces migratrices</w:t>
            </w:r>
          </w:p>
          <w:p w:rsidR="001E06EF" w:rsidRPr="003006D2" w:rsidRDefault="001E06EF">
            <w:pPr>
              <w:spacing w:after="120" w:line="280" w:lineRule="auto"/>
              <w:ind w:left="284" w:hanging="284"/>
              <w:rPr>
                <w:rFonts w:ascii="Times New Roman" w:hAnsi="Times New Roman" w:cs="Times New Roman"/>
                <w:sz w:val="20"/>
                <w:szCs w:val="20"/>
                <w:lang w:val="fr-FR"/>
              </w:rPr>
            </w:pPr>
            <w:r w:rsidRPr="003006D2">
              <w:rPr>
                <w:rFonts w:ascii="Times New Roman" w:hAnsi="Times New Roman" w:cs="Times New Roman"/>
                <w:sz w:val="20"/>
                <w:szCs w:val="20"/>
                <w:lang w:val="fr-FR"/>
              </w:rPr>
              <w:t xml:space="preserve">CMS </w:t>
            </w:r>
            <w:proofErr w:type="spellStart"/>
            <w:r w:rsidRPr="003006D2">
              <w:rPr>
                <w:rFonts w:ascii="Times New Roman" w:hAnsi="Times New Roman" w:cs="Times New Roman"/>
                <w:sz w:val="20"/>
                <w:szCs w:val="20"/>
                <w:lang w:val="fr-FR"/>
              </w:rPr>
              <w:t>Rés</w:t>
            </w:r>
            <w:proofErr w:type="spellEnd"/>
            <w:r w:rsidRPr="003006D2">
              <w:rPr>
                <w:rFonts w:ascii="Times New Roman" w:hAnsi="Times New Roman" w:cs="Times New Roman"/>
                <w:sz w:val="20"/>
                <w:szCs w:val="20"/>
                <w:lang w:val="fr-FR"/>
              </w:rPr>
              <w:t>. 10.11 Lignes électriques et oiseaux migrateurs</w:t>
            </w:r>
          </w:p>
          <w:p w:rsidR="001E06EF" w:rsidRPr="003006D2" w:rsidRDefault="001E06EF">
            <w:pPr>
              <w:spacing w:after="120" w:line="280" w:lineRule="auto"/>
              <w:ind w:left="284" w:hanging="284"/>
              <w:rPr>
                <w:rFonts w:ascii="Times New Roman" w:hAnsi="Times New Roman" w:cs="Times New Roman"/>
                <w:lang w:val="fr-FR"/>
              </w:rPr>
            </w:pPr>
            <w:r w:rsidRPr="003006D2">
              <w:rPr>
                <w:rFonts w:ascii="Times New Roman" w:hAnsi="Times New Roman" w:cs="Times New Roman"/>
                <w:sz w:val="20"/>
                <w:szCs w:val="20"/>
                <w:lang w:val="fr-FR"/>
              </w:rPr>
              <w:t xml:space="preserve">CMS </w:t>
            </w:r>
            <w:proofErr w:type="spellStart"/>
            <w:r w:rsidRPr="003006D2">
              <w:rPr>
                <w:rFonts w:ascii="Times New Roman" w:hAnsi="Times New Roman" w:cs="Times New Roman"/>
                <w:sz w:val="20"/>
                <w:szCs w:val="20"/>
                <w:lang w:val="fr-FR"/>
              </w:rPr>
              <w:t>Rés</w:t>
            </w:r>
            <w:proofErr w:type="spellEnd"/>
            <w:r w:rsidRPr="003006D2">
              <w:rPr>
                <w:rFonts w:ascii="Times New Roman" w:hAnsi="Times New Roman" w:cs="Times New Roman"/>
                <w:sz w:val="20"/>
                <w:szCs w:val="20"/>
                <w:lang w:val="fr-FR"/>
              </w:rPr>
              <w:t>. 11.27 Energies renouvelables et espèces migratrices</w:t>
            </w:r>
          </w:p>
          <w:p w:rsidR="001E06EF" w:rsidRPr="003006D2" w:rsidRDefault="001E06EF">
            <w:pPr>
              <w:spacing w:after="120" w:line="280" w:lineRule="auto"/>
              <w:ind w:left="284" w:hanging="284"/>
              <w:rPr>
                <w:rFonts w:ascii="Times New Roman" w:hAnsi="Times New Roman" w:cs="Times New Roman"/>
                <w:lang w:val="fr-FR"/>
              </w:rPr>
            </w:pPr>
            <w:r w:rsidRPr="003006D2">
              <w:rPr>
                <w:rFonts w:ascii="Times New Roman" w:hAnsi="Times New Roman" w:cs="Times New Roman"/>
                <w:sz w:val="20"/>
                <w:szCs w:val="20"/>
                <w:lang w:val="fr-FR"/>
              </w:rPr>
              <w:t xml:space="preserve">AEWA </w:t>
            </w:r>
            <w:proofErr w:type="spellStart"/>
            <w:r w:rsidRPr="003006D2">
              <w:rPr>
                <w:rFonts w:ascii="Times New Roman" w:hAnsi="Times New Roman" w:cs="Times New Roman"/>
                <w:sz w:val="20"/>
                <w:szCs w:val="20"/>
                <w:lang w:val="fr-FR"/>
              </w:rPr>
              <w:t>Rés</w:t>
            </w:r>
            <w:proofErr w:type="spellEnd"/>
            <w:r w:rsidRPr="003006D2">
              <w:rPr>
                <w:rFonts w:ascii="Times New Roman" w:hAnsi="Times New Roman" w:cs="Times New Roman"/>
                <w:sz w:val="20"/>
                <w:szCs w:val="20"/>
                <w:lang w:val="fr-FR"/>
              </w:rPr>
              <w:t>. 5.11 Lignes électriques et oiseaux d’eau migrateurs</w:t>
            </w:r>
          </w:p>
          <w:p w:rsidR="001E06EF" w:rsidRPr="003006D2" w:rsidRDefault="005F2E61">
            <w:pPr>
              <w:spacing w:after="120" w:line="280" w:lineRule="auto"/>
              <w:ind w:left="284" w:hanging="284"/>
              <w:rPr>
                <w:lang w:val="fr-FR"/>
              </w:rPr>
            </w:pPr>
            <w:r>
              <w:rPr>
                <w:rFonts w:ascii="Times New Roman" w:hAnsi="Times New Roman" w:cs="Times New Roman"/>
                <w:sz w:val="20"/>
                <w:szCs w:val="20"/>
                <w:lang w:val="fr-FR"/>
              </w:rPr>
              <w:t xml:space="preserve">AEWA </w:t>
            </w:r>
            <w:proofErr w:type="spellStart"/>
            <w:r>
              <w:rPr>
                <w:rFonts w:ascii="Times New Roman" w:hAnsi="Times New Roman" w:cs="Times New Roman"/>
                <w:sz w:val="20"/>
                <w:szCs w:val="20"/>
                <w:lang w:val="fr-FR"/>
              </w:rPr>
              <w:t>Rés</w:t>
            </w:r>
            <w:proofErr w:type="spellEnd"/>
            <w:r>
              <w:rPr>
                <w:rFonts w:ascii="Times New Roman" w:hAnsi="Times New Roman" w:cs="Times New Roman"/>
                <w:sz w:val="20"/>
                <w:szCs w:val="20"/>
                <w:lang w:val="fr-FR"/>
              </w:rPr>
              <w:t>. 5.16 É</w:t>
            </w:r>
            <w:r w:rsidR="001E06EF" w:rsidRPr="003006D2">
              <w:rPr>
                <w:rFonts w:ascii="Times New Roman" w:hAnsi="Times New Roman" w:cs="Times New Roman"/>
                <w:sz w:val="20"/>
                <w:szCs w:val="20"/>
                <w:lang w:val="fr-FR"/>
              </w:rPr>
              <w:t>nergie renouvelable et oiseaux d’eau migrateurs</w:t>
            </w:r>
          </w:p>
        </w:tc>
        <w:tc>
          <w:tcPr>
            <w:tcW w:w="1250" w:type="pct"/>
          </w:tcPr>
          <w:p w:rsidR="001E06EF" w:rsidRPr="003006D2" w:rsidRDefault="001E06EF">
            <w:pPr>
              <w:spacing w:after="120" w:line="280" w:lineRule="auto"/>
              <w:ind w:left="284" w:hanging="284"/>
              <w:rPr>
                <w:rFonts w:ascii="Times New Roman" w:hAnsi="Times New Roman" w:cs="Times New Roman"/>
                <w:sz w:val="20"/>
                <w:szCs w:val="20"/>
                <w:lang w:val="fr-FR"/>
              </w:rPr>
            </w:pPr>
            <w:r w:rsidRPr="003006D2">
              <w:rPr>
                <w:rFonts w:ascii="Times New Roman" w:hAnsi="Times New Roman" w:cs="Times New Roman"/>
                <w:sz w:val="20"/>
                <w:szCs w:val="20"/>
                <w:lang w:val="fr-FR"/>
              </w:rPr>
              <w:t xml:space="preserve">Lignes directrices de conservation AEWA </w:t>
            </w:r>
            <w:r w:rsidR="003006D2" w:rsidRPr="003006D2">
              <w:rPr>
                <w:rFonts w:ascii="Times New Roman" w:hAnsi="Times New Roman" w:cs="Times New Roman"/>
                <w:sz w:val="20"/>
                <w:szCs w:val="20"/>
                <w:lang w:val="fr-FR"/>
              </w:rPr>
              <w:t>(n</w:t>
            </w:r>
            <w:r w:rsidRPr="003006D2">
              <w:rPr>
                <w:rFonts w:ascii="Times New Roman" w:hAnsi="Times New Roman" w:cs="Times New Roman"/>
                <w:sz w:val="20"/>
                <w:szCs w:val="20"/>
                <w:lang w:val="fr-FR"/>
              </w:rPr>
              <w:t>° 11) sur la façon d’éviter, de minimiser ou d’atténuer l’impact du développement d’infrastructures et des perturbations afférentes sur les oiseaux d’eau</w:t>
            </w:r>
          </w:p>
          <w:p w:rsidR="001E06EF" w:rsidRPr="003006D2" w:rsidRDefault="001E06EF">
            <w:pPr>
              <w:spacing w:after="120" w:line="280" w:lineRule="auto"/>
              <w:ind w:left="284" w:hanging="284"/>
              <w:rPr>
                <w:rFonts w:ascii="Times New Roman" w:hAnsi="Times New Roman" w:cs="Times New Roman"/>
                <w:sz w:val="20"/>
                <w:szCs w:val="20"/>
                <w:lang w:val="fr-FR"/>
              </w:rPr>
            </w:pPr>
            <w:r w:rsidRPr="003006D2">
              <w:rPr>
                <w:rFonts w:ascii="Times New Roman" w:hAnsi="Times New Roman" w:cs="Times New Roman"/>
                <w:sz w:val="20"/>
                <w:szCs w:val="20"/>
                <w:lang w:val="fr-FR"/>
              </w:rPr>
              <w:t>Lignes directrices de conservation AEWA (n° 14) sur la façon d’éviter ou d’atténuer l’impact des lignes électriques sur les oiseaux migrateurs dans la région Afrique-Eurasie</w:t>
            </w:r>
          </w:p>
          <w:p w:rsidR="001E06EF" w:rsidRPr="003006D2" w:rsidRDefault="001E06EF">
            <w:pPr>
              <w:spacing w:after="120" w:line="280" w:lineRule="auto"/>
              <w:ind w:left="284" w:hanging="284"/>
              <w:rPr>
                <w:rFonts w:ascii="Times New Roman" w:hAnsi="Times New Roman" w:cs="Times New Roman"/>
                <w:sz w:val="20"/>
                <w:szCs w:val="20"/>
                <w:lang w:val="fr-FR"/>
              </w:rPr>
            </w:pPr>
            <w:r w:rsidRPr="003006D2">
              <w:rPr>
                <w:rFonts w:ascii="Times New Roman" w:hAnsi="Times New Roman" w:cs="Times New Roman"/>
                <w:sz w:val="20"/>
                <w:szCs w:val="20"/>
                <w:lang w:val="fr-FR"/>
              </w:rPr>
              <w:t>Lignes directrices de conservation AEWA (n° 8) sur la réduction des dommages aux récoltes, des dommages aux pêcheries, des collisions d’oiseaux et d'autres formes de conflit entre les oiseaux d'eau et les activités humaines</w:t>
            </w:r>
          </w:p>
          <w:p w:rsidR="001E06EF" w:rsidRPr="003006D2" w:rsidRDefault="001E06EF" w:rsidP="0030209D">
            <w:pPr>
              <w:spacing w:after="120" w:line="280" w:lineRule="auto"/>
              <w:ind w:left="284" w:hanging="284"/>
              <w:rPr>
                <w:lang w:val="fr-FR"/>
              </w:rPr>
            </w:pPr>
            <w:r w:rsidRPr="003006D2">
              <w:rPr>
                <w:rFonts w:ascii="Times New Roman" w:hAnsi="Times New Roman" w:cs="Times New Roman"/>
                <w:sz w:val="20"/>
                <w:szCs w:val="20"/>
                <w:lang w:val="fr-FR"/>
              </w:rPr>
              <w:t xml:space="preserve">Directives CMS/AEWA sur les technologies </w:t>
            </w:r>
            <w:r w:rsidR="0030209D">
              <w:rPr>
                <w:rFonts w:ascii="Times New Roman" w:hAnsi="Times New Roman" w:cs="Times New Roman"/>
                <w:sz w:val="20"/>
                <w:szCs w:val="20"/>
                <w:lang w:val="fr-FR"/>
              </w:rPr>
              <w:t xml:space="preserve">liées aux énergies renouvelables et </w:t>
            </w:r>
            <w:r w:rsidRPr="003006D2">
              <w:rPr>
                <w:rFonts w:ascii="Times New Roman" w:hAnsi="Times New Roman" w:cs="Times New Roman"/>
                <w:sz w:val="20"/>
                <w:szCs w:val="20"/>
                <w:lang w:val="fr-FR"/>
              </w:rPr>
              <w:t xml:space="preserve">espèces migratrices : lignes directrices pour </w:t>
            </w:r>
            <w:r w:rsidR="0030209D">
              <w:rPr>
                <w:rFonts w:ascii="Times New Roman" w:hAnsi="Times New Roman" w:cs="Times New Roman"/>
                <w:sz w:val="20"/>
                <w:szCs w:val="20"/>
                <w:lang w:val="fr-FR"/>
              </w:rPr>
              <w:t>un déploiement</w:t>
            </w:r>
            <w:r w:rsidRPr="003006D2">
              <w:rPr>
                <w:rFonts w:ascii="Times New Roman" w:hAnsi="Times New Roman" w:cs="Times New Roman"/>
                <w:sz w:val="20"/>
                <w:szCs w:val="20"/>
                <w:lang w:val="fr-FR"/>
              </w:rPr>
              <w:t xml:space="preserve"> durable (document AEWA/MOP 6.</w:t>
            </w:r>
            <w:r w:rsidR="000D1E10">
              <w:rPr>
                <w:rFonts w:ascii="Times New Roman" w:hAnsi="Times New Roman" w:cs="Times New Roman"/>
                <w:sz w:val="20"/>
                <w:szCs w:val="20"/>
                <w:lang w:val="fr-FR"/>
              </w:rPr>
              <w:t>37</w:t>
            </w:r>
            <w:r w:rsidRPr="003006D2">
              <w:rPr>
                <w:rFonts w:ascii="Times New Roman" w:hAnsi="Times New Roman" w:cs="Times New Roman"/>
                <w:sz w:val="20"/>
                <w:szCs w:val="20"/>
                <w:lang w:val="fr-FR"/>
              </w:rPr>
              <w:t>)</w:t>
            </w:r>
          </w:p>
        </w:tc>
      </w:tr>
      <w:tr w:rsidR="001E06EF" w:rsidRPr="00EA2D7E">
        <w:tc>
          <w:tcPr>
            <w:tcW w:w="1250" w:type="pct"/>
          </w:tcPr>
          <w:p w:rsidR="001E06EF" w:rsidRPr="003006D2" w:rsidRDefault="001E06EF">
            <w:pPr>
              <w:spacing w:after="120" w:line="280" w:lineRule="auto"/>
              <w:rPr>
                <w:lang w:val="fr-FR"/>
              </w:rPr>
            </w:pPr>
            <w:r w:rsidRPr="003006D2">
              <w:rPr>
                <w:rFonts w:ascii="Times New Roman" w:hAnsi="Times New Roman" w:cs="Times New Roman"/>
                <w:sz w:val="20"/>
                <w:szCs w:val="20"/>
                <w:lang w:val="fr-FR"/>
              </w:rPr>
              <w:t xml:space="preserve">Empoisonnement par l’utilisation de grenaille de plomb dans les zones humides </w:t>
            </w:r>
          </w:p>
        </w:tc>
        <w:tc>
          <w:tcPr>
            <w:tcW w:w="1250" w:type="pct"/>
          </w:tcPr>
          <w:p w:rsidR="001E06EF" w:rsidRPr="003006D2" w:rsidRDefault="001E06EF">
            <w:pPr>
              <w:spacing w:after="120" w:line="280" w:lineRule="auto"/>
              <w:ind w:left="284" w:hanging="284"/>
              <w:rPr>
                <w:rFonts w:ascii="Times New Roman" w:hAnsi="Times New Roman" w:cs="Times New Roman"/>
                <w:sz w:val="20"/>
                <w:szCs w:val="20"/>
                <w:lang w:val="fr-FR"/>
              </w:rPr>
            </w:pPr>
            <w:r w:rsidRPr="003006D2">
              <w:rPr>
                <w:rFonts w:ascii="Times New Roman" w:hAnsi="Times New Roman" w:cs="Times New Roman"/>
                <w:sz w:val="20"/>
                <w:szCs w:val="20"/>
                <w:lang w:val="fr-FR"/>
              </w:rPr>
              <w:t>Plan d’action de l’AEWA,  para. 4.1.4</w:t>
            </w:r>
          </w:p>
          <w:p w:rsidR="001E06EF" w:rsidRPr="003006D2" w:rsidRDefault="001E06EF">
            <w:pPr>
              <w:spacing w:after="120" w:line="280" w:lineRule="auto"/>
              <w:ind w:left="284" w:hanging="284"/>
              <w:rPr>
                <w:lang w:val="fr-FR"/>
              </w:rPr>
            </w:pPr>
            <w:r w:rsidRPr="003006D2">
              <w:rPr>
                <w:rFonts w:ascii="Times New Roman" w:hAnsi="Times New Roman" w:cs="Times New Roman"/>
                <w:sz w:val="20"/>
                <w:szCs w:val="20"/>
                <w:lang w:val="fr-FR"/>
              </w:rPr>
              <w:t xml:space="preserve">Plan stratégique 2.1 « L’utilisation de la grenaille de plomb pour la chasse dans les zones humides est éliminée </w:t>
            </w:r>
            <w:r w:rsidRPr="003006D2">
              <w:rPr>
                <w:rFonts w:ascii="Times New Roman" w:hAnsi="Times New Roman" w:cs="Times New Roman"/>
                <w:sz w:val="20"/>
                <w:szCs w:val="20"/>
                <w:lang w:val="fr-FR"/>
              </w:rPr>
              <w:lastRenderedPageBreak/>
              <w:t>progressivement dans toutes les Parties contractantes d’ici 2017. »</w:t>
            </w:r>
          </w:p>
        </w:tc>
        <w:tc>
          <w:tcPr>
            <w:tcW w:w="1250" w:type="pct"/>
          </w:tcPr>
          <w:p w:rsidR="001E06EF" w:rsidRPr="003006D2" w:rsidRDefault="005F2E61">
            <w:pPr>
              <w:spacing w:after="120" w:line="280" w:lineRule="auto"/>
              <w:ind w:left="284" w:hanging="284"/>
              <w:rPr>
                <w:rFonts w:ascii="Times New Roman" w:hAnsi="Times New Roman" w:cs="Times New Roman"/>
                <w:sz w:val="20"/>
                <w:szCs w:val="20"/>
                <w:lang w:val="fr-FR"/>
              </w:rPr>
            </w:pPr>
            <w:r>
              <w:rPr>
                <w:rFonts w:ascii="Times New Roman" w:hAnsi="Times New Roman" w:cs="Times New Roman"/>
                <w:sz w:val="20"/>
                <w:szCs w:val="20"/>
                <w:lang w:val="fr-FR"/>
              </w:rPr>
              <w:lastRenderedPageBreak/>
              <w:t xml:space="preserve">AEWA </w:t>
            </w:r>
            <w:proofErr w:type="spellStart"/>
            <w:r>
              <w:rPr>
                <w:rFonts w:ascii="Times New Roman" w:hAnsi="Times New Roman" w:cs="Times New Roman"/>
                <w:sz w:val="20"/>
                <w:szCs w:val="20"/>
                <w:lang w:val="fr-FR"/>
              </w:rPr>
              <w:t>Rés</w:t>
            </w:r>
            <w:proofErr w:type="spellEnd"/>
            <w:r>
              <w:rPr>
                <w:rFonts w:ascii="Times New Roman" w:hAnsi="Times New Roman" w:cs="Times New Roman"/>
                <w:sz w:val="20"/>
                <w:szCs w:val="20"/>
                <w:lang w:val="fr-FR"/>
              </w:rPr>
              <w:t xml:space="preserve">. 1.14 </w:t>
            </w:r>
            <w:r w:rsidR="001E06EF" w:rsidRPr="003006D2">
              <w:rPr>
                <w:rFonts w:ascii="Times New Roman" w:hAnsi="Times New Roman" w:cs="Times New Roman"/>
                <w:sz w:val="20"/>
                <w:szCs w:val="20"/>
                <w:lang w:val="fr-FR"/>
              </w:rPr>
              <w:t>Suppression progressive de la grenaille de plomb dans les zones humides</w:t>
            </w:r>
          </w:p>
          <w:p w:rsidR="001E06EF" w:rsidRPr="003006D2" w:rsidRDefault="001E06EF">
            <w:pPr>
              <w:spacing w:after="120" w:line="280" w:lineRule="auto"/>
              <w:ind w:left="284" w:hanging="284"/>
              <w:rPr>
                <w:rFonts w:ascii="Times New Roman" w:hAnsi="Times New Roman" w:cs="Times New Roman"/>
                <w:lang w:val="fr-FR"/>
              </w:rPr>
            </w:pPr>
            <w:r w:rsidRPr="003006D2">
              <w:rPr>
                <w:rFonts w:ascii="Times New Roman" w:hAnsi="Times New Roman" w:cs="Times New Roman"/>
                <w:sz w:val="20"/>
                <w:szCs w:val="20"/>
                <w:lang w:val="fr-FR"/>
              </w:rPr>
              <w:lastRenderedPageBreak/>
              <w:t xml:space="preserve">AEWA </w:t>
            </w:r>
            <w:proofErr w:type="spellStart"/>
            <w:r w:rsidRPr="003006D2">
              <w:rPr>
                <w:rFonts w:ascii="Times New Roman" w:hAnsi="Times New Roman" w:cs="Times New Roman"/>
                <w:sz w:val="20"/>
                <w:szCs w:val="20"/>
                <w:lang w:val="fr-FR"/>
              </w:rPr>
              <w:t>Rés</w:t>
            </w:r>
            <w:proofErr w:type="spellEnd"/>
            <w:r w:rsidRPr="003006D2">
              <w:rPr>
                <w:rFonts w:ascii="Times New Roman" w:hAnsi="Times New Roman" w:cs="Times New Roman"/>
                <w:sz w:val="20"/>
                <w:szCs w:val="20"/>
                <w:lang w:val="fr-FR"/>
              </w:rPr>
              <w:t>. 2</w:t>
            </w:r>
            <w:r w:rsidR="00EA7A29">
              <w:rPr>
                <w:rFonts w:ascii="Times New Roman" w:hAnsi="Times New Roman" w:cs="Times New Roman"/>
                <w:sz w:val="20"/>
                <w:szCs w:val="20"/>
                <w:lang w:val="fr-FR"/>
              </w:rPr>
              <w:t>.</w:t>
            </w:r>
            <w:r w:rsidRPr="003006D2">
              <w:rPr>
                <w:rFonts w:ascii="Times New Roman" w:hAnsi="Times New Roman" w:cs="Times New Roman"/>
                <w:sz w:val="20"/>
                <w:szCs w:val="20"/>
                <w:lang w:val="fr-FR"/>
              </w:rPr>
              <w:t>2. Suppression progressive de la grenaille de plomb pour la chasse dans les zones humides</w:t>
            </w:r>
          </w:p>
          <w:p w:rsidR="001E06EF" w:rsidRPr="003006D2" w:rsidRDefault="001E06EF">
            <w:pPr>
              <w:spacing w:after="120" w:line="280" w:lineRule="auto"/>
              <w:ind w:left="284" w:hanging="284"/>
              <w:rPr>
                <w:rFonts w:ascii="Times New Roman" w:hAnsi="Times New Roman" w:cs="Times New Roman"/>
                <w:lang w:val="fr-FR"/>
              </w:rPr>
            </w:pPr>
            <w:r w:rsidRPr="003006D2">
              <w:rPr>
                <w:rFonts w:ascii="Times New Roman" w:hAnsi="Times New Roman" w:cs="Times New Roman"/>
                <w:sz w:val="20"/>
                <w:szCs w:val="20"/>
                <w:lang w:val="fr-FR"/>
              </w:rPr>
              <w:t xml:space="preserve">AEWA </w:t>
            </w:r>
            <w:proofErr w:type="spellStart"/>
            <w:r w:rsidRPr="003006D2">
              <w:rPr>
                <w:rFonts w:ascii="Times New Roman" w:hAnsi="Times New Roman" w:cs="Times New Roman"/>
                <w:sz w:val="20"/>
                <w:szCs w:val="20"/>
                <w:lang w:val="fr-FR"/>
              </w:rPr>
              <w:t>Rés</w:t>
            </w:r>
            <w:proofErr w:type="spellEnd"/>
            <w:r w:rsidRPr="003006D2">
              <w:rPr>
                <w:rFonts w:ascii="Times New Roman" w:hAnsi="Times New Roman" w:cs="Times New Roman"/>
                <w:sz w:val="20"/>
                <w:szCs w:val="20"/>
                <w:lang w:val="fr-FR"/>
              </w:rPr>
              <w:t>. 3.4</w:t>
            </w:r>
            <w:r w:rsidR="00EA7A29">
              <w:rPr>
                <w:rFonts w:ascii="Times New Roman" w:hAnsi="Times New Roman" w:cs="Times New Roman"/>
                <w:sz w:val="20"/>
                <w:szCs w:val="20"/>
                <w:lang w:val="fr-FR"/>
              </w:rPr>
              <w:t>.</w:t>
            </w:r>
            <w:r w:rsidRPr="003006D2">
              <w:rPr>
                <w:rFonts w:ascii="Times New Roman" w:hAnsi="Times New Roman" w:cs="Times New Roman"/>
                <w:sz w:val="20"/>
                <w:szCs w:val="20"/>
                <w:lang w:val="fr-FR"/>
              </w:rPr>
              <w:t xml:space="preserve"> Présentation des rapports nationaux à la MOP3 et MOP4 et des rapports sur la suppression progressive de l’utilisation de la grenaille de plomb pour la chasse dans les zones humides</w:t>
            </w:r>
          </w:p>
          <w:p w:rsidR="001E06EF" w:rsidRPr="003006D2" w:rsidRDefault="001E06EF">
            <w:pPr>
              <w:spacing w:after="120" w:line="280" w:lineRule="auto"/>
              <w:ind w:left="284" w:hanging="284"/>
              <w:rPr>
                <w:rFonts w:ascii="Times New Roman" w:hAnsi="Times New Roman" w:cs="Times New Roman"/>
                <w:lang w:val="fr-FR"/>
              </w:rPr>
            </w:pPr>
            <w:r w:rsidRPr="003006D2">
              <w:rPr>
                <w:rFonts w:ascii="Times New Roman" w:hAnsi="Times New Roman" w:cs="Times New Roman"/>
                <w:sz w:val="20"/>
                <w:szCs w:val="20"/>
                <w:lang w:val="fr-FR"/>
              </w:rPr>
              <w:t xml:space="preserve">AEWA </w:t>
            </w:r>
            <w:proofErr w:type="spellStart"/>
            <w:r w:rsidRPr="003006D2">
              <w:rPr>
                <w:rFonts w:ascii="Times New Roman" w:hAnsi="Times New Roman" w:cs="Times New Roman"/>
                <w:sz w:val="20"/>
                <w:szCs w:val="20"/>
                <w:lang w:val="fr-FR"/>
              </w:rPr>
              <w:t>Rés</w:t>
            </w:r>
            <w:proofErr w:type="spellEnd"/>
            <w:r w:rsidRPr="003006D2">
              <w:rPr>
                <w:rFonts w:ascii="Times New Roman" w:hAnsi="Times New Roman" w:cs="Times New Roman"/>
                <w:sz w:val="20"/>
                <w:szCs w:val="20"/>
                <w:lang w:val="fr-FR"/>
              </w:rPr>
              <w:t>. 4.1. Suppression progressive de la grenaille de plomb pour la chasse dans les zones humides</w:t>
            </w:r>
          </w:p>
          <w:p w:rsidR="001E06EF" w:rsidRPr="003006D2" w:rsidRDefault="001E06EF">
            <w:pPr>
              <w:spacing w:after="120" w:line="280" w:lineRule="auto"/>
              <w:ind w:left="284" w:hanging="284"/>
              <w:rPr>
                <w:rFonts w:ascii="Times New Roman" w:hAnsi="Times New Roman" w:cs="Times New Roman"/>
                <w:lang w:val="fr-FR"/>
              </w:rPr>
            </w:pPr>
            <w:r w:rsidRPr="003006D2">
              <w:rPr>
                <w:rFonts w:ascii="Times New Roman" w:hAnsi="Times New Roman" w:cs="Times New Roman"/>
                <w:sz w:val="20"/>
                <w:szCs w:val="20"/>
                <w:lang w:val="fr-FR"/>
              </w:rPr>
              <w:t xml:space="preserve">CMS </w:t>
            </w:r>
            <w:proofErr w:type="spellStart"/>
            <w:r w:rsidRPr="003006D2">
              <w:rPr>
                <w:rFonts w:ascii="Times New Roman" w:hAnsi="Times New Roman" w:cs="Times New Roman"/>
                <w:sz w:val="20"/>
                <w:szCs w:val="20"/>
                <w:lang w:val="fr-FR"/>
              </w:rPr>
              <w:t>Rés</w:t>
            </w:r>
            <w:proofErr w:type="spellEnd"/>
            <w:r w:rsidRPr="003006D2">
              <w:rPr>
                <w:rFonts w:ascii="Times New Roman" w:hAnsi="Times New Roman" w:cs="Times New Roman"/>
                <w:sz w:val="20"/>
                <w:szCs w:val="20"/>
                <w:lang w:val="fr-FR"/>
              </w:rPr>
              <w:t>. 10.26</w:t>
            </w:r>
            <w:r w:rsidR="00EA7A29">
              <w:rPr>
                <w:rFonts w:ascii="Times New Roman" w:hAnsi="Times New Roman" w:cs="Times New Roman"/>
                <w:sz w:val="20"/>
                <w:szCs w:val="20"/>
                <w:lang w:val="fr-FR"/>
              </w:rPr>
              <w:t>.</w:t>
            </w:r>
            <w:r w:rsidRPr="003006D2">
              <w:rPr>
                <w:rFonts w:ascii="Times New Roman" w:hAnsi="Times New Roman" w:cs="Times New Roman"/>
                <w:sz w:val="20"/>
                <w:szCs w:val="20"/>
                <w:lang w:val="fr-FR"/>
              </w:rPr>
              <w:t xml:space="preserve"> Réduire le risque d’empoisonnement des oiseaux migrateurs </w:t>
            </w:r>
          </w:p>
          <w:p w:rsidR="001E06EF" w:rsidRPr="003006D2" w:rsidRDefault="001E06EF">
            <w:pPr>
              <w:spacing w:after="120" w:line="280" w:lineRule="auto"/>
              <w:ind w:left="284" w:hanging="284"/>
              <w:rPr>
                <w:lang w:val="fr-FR"/>
              </w:rPr>
            </w:pPr>
            <w:r w:rsidRPr="003006D2">
              <w:rPr>
                <w:rFonts w:ascii="Times New Roman" w:hAnsi="Times New Roman" w:cs="Times New Roman"/>
                <w:sz w:val="20"/>
                <w:szCs w:val="20"/>
                <w:lang w:val="fr-FR"/>
              </w:rPr>
              <w:t xml:space="preserve">CMS </w:t>
            </w:r>
            <w:proofErr w:type="spellStart"/>
            <w:r w:rsidRPr="003006D2">
              <w:rPr>
                <w:rFonts w:ascii="Times New Roman" w:hAnsi="Times New Roman" w:cs="Times New Roman"/>
                <w:sz w:val="20"/>
                <w:szCs w:val="20"/>
                <w:lang w:val="fr-FR"/>
              </w:rPr>
              <w:t>Rés</w:t>
            </w:r>
            <w:proofErr w:type="spellEnd"/>
            <w:r w:rsidRPr="003006D2">
              <w:rPr>
                <w:rFonts w:ascii="Times New Roman" w:hAnsi="Times New Roman" w:cs="Times New Roman"/>
                <w:sz w:val="20"/>
                <w:szCs w:val="20"/>
                <w:lang w:val="fr-FR"/>
              </w:rPr>
              <w:t>. 11.15. Prévenir les risques d’empoisonnement des oiseaux migrateurs</w:t>
            </w:r>
          </w:p>
        </w:tc>
        <w:tc>
          <w:tcPr>
            <w:tcW w:w="1250" w:type="pct"/>
          </w:tcPr>
          <w:p w:rsidR="001E06EF" w:rsidRPr="003006D2" w:rsidRDefault="001E06EF">
            <w:pPr>
              <w:spacing w:after="120" w:line="280" w:lineRule="auto"/>
              <w:ind w:left="284" w:hanging="284"/>
              <w:rPr>
                <w:rFonts w:ascii="Times New Roman" w:hAnsi="Times New Roman" w:cs="Times New Roman"/>
                <w:sz w:val="20"/>
                <w:szCs w:val="20"/>
                <w:lang w:val="fr-FR"/>
              </w:rPr>
            </w:pPr>
            <w:r w:rsidRPr="003006D2">
              <w:rPr>
                <w:rFonts w:ascii="Times New Roman" w:hAnsi="Times New Roman" w:cs="Times New Roman"/>
                <w:sz w:val="20"/>
                <w:szCs w:val="20"/>
                <w:lang w:val="fr-FR"/>
              </w:rPr>
              <w:lastRenderedPageBreak/>
              <w:t>Lignes directrices de conservation AEWA (n° 5) sur le prélèvement durable des oiseaux d'eau migrateurs (document AEWA/MOP 6.</w:t>
            </w:r>
            <w:r w:rsidR="000D1E10">
              <w:rPr>
                <w:rFonts w:ascii="Times New Roman" w:hAnsi="Times New Roman" w:cs="Times New Roman"/>
                <w:sz w:val="20"/>
                <w:szCs w:val="20"/>
                <w:lang w:val="fr-FR"/>
              </w:rPr>
              <w:t>36</w:t>
            </w:r>
            <w:r w:rsidRPr="003006D2">
              <w:rPr>
                <w:rFonts w:ascii="Times New Roman" w:hAnsi="Times New Roman" w:cs="Times New Roman"/>
                <w:sz w:val="20"/>
                <w:szCs w:val="20"/>
                <w:lang w:val="fr-FR"/>
              </w:rPr>
              <w:t xml:space="preserve">) </w:t>
            </w:r>
          </w:p>
          <w:p w:rsidR="001E06EF" w:rsidRPr="003006D2" w:rsidRDefault="001E06EF">
            <w:pPr>
              <w:spacing w:after="120" w:line="280" w:lineRule="auto"/>
              <w:ind w:left="284" w:hanging="284"/>
              <w:rPr>
                <w:rFonts w:ascii="Times New Roman" w:hAnsi="Times New Roman" w:cs="Times New Roman"/>
                <w:lang w:val="fr-FR"/>
              </w:rPr>
            </w:pPr>
            <w:r w:rsidRPr="003006D2">
              <w:rPr>
                <w:rFonts w:ascii="Times New Roman" w:hAnsi="Times New Roman" w:cs="Times New Roman"/>
                <w:sz w:val="20"/>
                <w:szCs w:val="20"/>
                <w:lang w:val="fr-FR"/>
              </w:rPr>
              <w:lastRenderedPageBreak/>
              <w:t xml:space="preserve">AEWA 2009. </w:t>
            </w:r>
            <w:r w:rsidRPr="003006D2">
              <w:rPr>
                <w:rFonts w:ascii="Times New Roman" w:hAnsi="Times New Roman" w:cs="Times New Roman"/>
                <w:i/>
                <w:iCs/>
                <w:sz w:val="20"/>
                <w:szCs w:val="20"/>
                <w:lang w:val="fr-FR"/>
              </w:rPr>
              <w:t>La grenaille  non toxique.  Vers l’utilisation durable des ressources en oiseaux d’eau.</w:t>
            </w:r>
            <w:r w:rsidRPr="003006D2">
              <w:rPr>
                <w:rFonts w:ascii="Times New Roman" w:hAnsi="Times New Roman" w:cs="Times New Roman"/>
                <w:sz w:val="20"/>
                <w:szCs w:val="20"/>
                <w:lang w:val="fr-FR"/>
              </w:rPr>
              <w:t xml:space="preserve">  Lignes directrices de conservation AEWA n° 3</w:t>
            </w:r>
          </w:p>
          <w:p w:rsidR="001E06EF" w:rsidRPr="003006D2" w:rsidRDefault="001E06EF">
            <w:pPr>
              <w:spacing w:after="120" w:line="280" w:lineRule="auto"/>
              <w:ind w:left="284" w:hanging="284"/>
              <w:rPr>
                <w:rFonts w:ascii="Times New Roman" w:hAnsi="Times New Roman" w:cs="Times New Roman"/>
                <w:lang w:val="fr-FR"/>
              </w:rPr>
            </w:pPr>
            <w:r w:rsidRPr="003006D2">
              <w:rPr>
                <w:rFonts w:ascii="Times New Roman" w:hAnsi="Times New Roman" w:cs="Times New Roman"/>
                <w:kern w:val="14"/>
                <w:sz w:val="20"/>
                <w:szCs w:val="20"/>
                <w:lang w:val="fr-FR"/>
              </w:rPr>
              <w:t xml:space="preserve">AEWA 2009.  </w:t>
            </w:r>
            <w:r w:rsidRPr="003006D2">
              <w:rPr>
                <w:rFonts w:ascii="Times New Roman" w:hAnsi="Times New Roman" w:cs="Times New Roman"/>
                <w:i/>
                <w:iCs/>
                <w:kern w:val="14"/>
                <w:sz w:val="20"/>
                <w:szCs w:val="20"/>
                <w:lang w:val="fr-FR"/>
              </w:rPr>
              <w:t>La Suppression progressive de</w:t>
            </w:r>
            <w:r w:rsidRPr="003006D2">
              <w:rPr>
                <w:rFonts w:ascii="Times New Roman" w:hAnsi="Times New Roman" w:cs="Times New Roman"/>
                <w:i/>
                <w:iCs/>
                <w:sz w:val="20"/>
                <w:szCs w:val="20"/>
                <w:lang w:val="fr-FR"/>
              </w:rPr>
              <w:t xml:space="preserve"> l'utilisation de la grenaille de plomb pour la chasse dans les zones humides  Expérience acquise et leçons apprises par les Etats de l’aire de répartition de l’AEWA.</w:t>
            </w:r>
            <w:r w:rsidRPr="003006D2">
              <w:rPr>
                <w:rFonts w:ascii="Times New Roman" w:hAnsi="Times New Roman" w:cs="Times New Roman"/>
                <w:sz w:val="20"/>
                <w:szCs w:val="20"/>
                <w:lang w:val="fr-FR"/>
              </w:rPr>
              <w:t xml:space="preserve">  30 p.</w:t>
            </w:r>
          </w:p>
          <w:p w:rsidR="001E06EF" w:rsidRPr="003006D2" w:rsidRDefault="001E06EF">
            <w:pPr>
              <w:spacing w:after="0" w:line="280" w:lineRule="auto"/>
              <w:ind w:left="284" w:hanging="284"/>
              <w:rPr>
                <w:rFonts w:ascii="Times New Roman" w:hAnsi="Times New Roman" w:cs="Times New Roman"/>
                <w:lang w:val="fr-FR"/>
              </w:rPr>
            </w:pPr>
            <w:r w:rsidRPr="003006D2">
              <w:rPr>
                <w:rFonts w:ascii="Times New Roman" w:hAnsi="Times New Roman" w:cs="Times New Roman"/>
                <w:sz w:val="20"/>
                <w:szCs w:val="20"/>
                <w:lang w:val="fr-FR"/>
              </w:rPr>
              <w:t xml:space="preserve">CMS </w:t>
            </w:r>
            <w:proofErr w:type="spellStart"/>
            <w:r w:rsidRPr="003006D2">
              <w:rPr>
                <w:rFonts w:ascii="Times New Roman" w:hAnsi="Times New Roman" w:cs="Times New Roman"/>
                <w:sz w:val="20"/>
                <w:szCs w:val="20"/>
                <w:lang w:val="fr-FR"/>
              </w:rPr>
              <w:t>Rés</w:t>
            </w:r>
            <w:proofErr w:type="spellEnd"/>
            <w:r w:rsidRPr="003006D2">
              <w:rPr>
                <w:rFonts w:ascii="Times New Roman" w:hAnsi="Times New Roman" w:cs="Times New Roman"/>
                <w:sz w:val="20"/>
                <w:szCs w:val="20"/>
                <w:lang w:val="fr-FR"/>
              </w:rPr>
              <w:t>. 11.15  Lignes directrices pour prévenir les risques d’empoisonnement aux oiseaux migrateurs</w:t>
            </w:r>
          </w:p>
          <w:p w:rsidR="001E06EF" w:rsidRPr="003006D2" w:rsidRDefault="001E06EF">
            <w:pPr>
              <w:pStyle w:val="ListParagraph"/>
              <w:numPr>
                <w:ilvl w:val="0"/>
                <w:numId w:val="11"/>
              </w:numPr>
              <w:spacing w:after="120" w:line="240" w:lineRule="auto"/>
              <w:rPr>
                <w:lang w:val="fr-FR"/>
              </w:rPr>
            </w:pPr>
            <w:r w:rsidRPr="003006D2">
              <w:rPr>
                <w:rFonts w:ascii="Times New Roman" w:hAnsi="Times New Roman" w:cs="Times New Roman"/>
                <w:sz w:val="20"/>
                <w:szCs w:val="20"/>
                <w:lang w:val="fr-FR"/>
              </w:rPr>
              <w:t>Recommandations pour prévenir les risques liés aux munitions au plomb et aux plombs de pêche</w:t>
            </w:r>
          </w:p>
        </w:tc>
      </w:tr>
      <w:tr w:rsidR="001E06EF" w:rsidRPr="00EA2D7E">
        <w:tc>
          <w:tcPr>
            <w:tcW w:w="1250" w:type="pct"/>
          </w:tcPr>
          <w:p w:rsidR="001E06EF" w:rsidRPr="003006D2" w:rsidRDefault="001E06EF">
            <w:pPr>
              <w:spacing w:after="120" w:line="280" w:lineRule="auto"/>
              <w:rPr>
                <w:lang w:val="fr-FR"/>
              </w:rPr>
            </w:pPr>
            <w:r w:rsidRPr="003006D2">
              <w:rPr>
                <w:rFonts w:ascii="Times New Roman" w:hAnsi="Times New Roman" w:cs="Times New Roman"/>
                <w:sz w:val="20"/>
                <w:szCs w:val="20"/>
                <w:lang w:val="fr-FR"/>
              </w:rPr>
              <w:lastRenderedPageBreak/>
              <w:t>Empoisonnement par l'utilisation de plombs de pêche</w:t>
            </w:r>
          </w:p>
        </w:tc>
        <w:tc>
          <w:tcPr>
            <w:tcW w:w="1250" w:type="pct"/>
          </w:tcPr>
          <w:p w:rsidR="001E06EF" w:rsidRPr="003006D2" w:rsidRDefault="001E06EF">
            <w:pPr>
              <w:spacing w:after="120" w:line="280" w:lineRule="auto"/>
              <w:ind w:left="284" w:hanging="284"/>
              <w:rPr>
                <w:rFonts w:ascii="Times New Roman" w:hAnsi="Times New Roman" w:cs="Times New Roman"/>
                <w:sz w:val="20"/>
                <w:szCs w:val="20"/>
                <w:lang w:val="fr-FR"/>
              </w:rPr>
            </w:pPr>
            <w:r w:rsidRPr="003006D2">
              <w:rPr>
                <w:rFonts w:ascii="Times New Roman" w:hAnsi="Times New Roman" w:cs="Times New Roman"/>
                <w:sz w:val="20"/>
                <w:szCs w:val="20"/>
                <w:lang w:val="fr-FR"/>
              </w:rPr>
              <w:t>Plan d’action de l’AEWA,  para. 4.3.12</w:t>
            </w:r>
          </w:p>
          <w:p w:rsidR="001E06EF" w:rsidRPr="003006D2" w:rsidRDefault="001E06EF">
            <w:pPr>
              <w:spacing w:after="120"/>
              <w:ind w:left="284" w:hanging="284"/>
              <w:rPr>
                <w:rFonts w:ascii="Times New Roman" w:hAnsi="Times New Roman" w:cs="Times New Roman"/>
                <w:sz w:val="20"/>
                <w:szCs w:val="20"/>
                <w:lang w:val="fr-FR"/>
              </w:rPr>
            </w:pPr>
          </w:p>
        </w:tc>
        <w:tc>
          <w:tcPr>
            <w:tcW w:w="1250" w:type="pct"/>
          </w:tcPr>
          <w:p w:rsidR="001E06EF" w:rsidRPr="003006D2" w:rsidRDefault="001E06EF">
            <w:pPr>
              <w:spacing w:after="120" w:line="280" w:lineRule="auto"/>
              <w:ind w:left="284" w:hanging="284"/>
              <w:rPr>
                <w:rFonts w:ascii="Times New Roman" w:hAnsi="Times New Roman" w:cs="Times New Roman"/>
                <w:lang w:val="fr-FR"/>
              </w:rPr>
            </w:pPr>
            <w:r w:rsidRPr="003006D2">
              <w:rPr>
                <w:rFonts w:ascii="Times New Roman" w:hAnsi="Times New Roman" w:cs="Times New Roman"/>
                <w:sz w:val="20"/>
                <w:szCs w:val="20"/>
                <w:lang w:val="fr-FR"/>
              </w:rPr>
              <w:t xml:space="preserve">CMS </w:t>
            </w:r>
            <w:proofErr w:type="spellStart"/>
            <w:r w:rsidRPr="003006D2">
              <w:rPr>
                <w:rFonts w:ascii="Times New Roman" w:hAnsi="Times New Roman" w:cs="Times New Roman"/>
                <w:sz w:val="20"/>
                <w:szCs w:val="20"/>
                <w:lang w:val="fr-FR"/>
              </w:rPr>
              <w:t>Rés</w:t>
            </w:r>
            <w:proofErr w:type="spellEnd"/>
            <w:r w:rsidRPr="003006D2">
              <w:rPr>
                <w:rFonts w:ascii="Times New Roman" w:hAnsi="Times New Roman" w:cs="Times New Roman"/>
                <w:sz w:val="20"/>
                <w:szCs w:val="20"/>
                <w:lang w:val="fr-FR"/>
              </w:rPr>
              <w:t>. 10.26</w:t>
            </w:r>
            <w:r w:rsidR="00EA7A29">
              <w:rPr>
                <w:rFonts w:ascii="Times New Roman" w:hAnsi="Times New Roman" w:cs="Times New Roman"/>
                <w:sz w:val="20"/>
                <w:szCs w:val="20"/>
                <w:lang w:val="fr-FR"/>
              </w:rPr>
              <w:t>.</w:t>
            </w:r>
            <w:r w:rsidRPr="003006D2">
              <w:rPr>
                <w:rFonts w:ascii="Times New Roman" w:hAnsi="Times New Roman" w:cs="Times New Roman"/>
                <w:sz w:val="20"/>
                <w:szCs w:val="20"/>
                <w:lang w:val="fr-FR"/>
              </w:rPr>
              <w:t xml:space="preserve"> Réduire le risque d’empoisonnement des oiseaux migrateurs</w:t>
            </w:r>
          </w:p>
          <w:p w:rsidR="001E06EF" w:rsidRPr="003006D2" w:rsidRDefault="004D459C">
            <w:pPr>
              <w:spacing w:after="120" w:line="280" w:lineRule="auto"/>
              <w:ind w:left="284" w:hanging="284"/>
              <w:rPr>
                <w:lang w:val="fr-FR"/>
              </w:rPr>
            </w:pPr>
            <w:r>
              <w:rPr>
                <w:rFonts w:ascii="Times New Roman" w:hAnsi="Times New Roman" w:cs="Times New Roman"/>
                <w:sz w:val="20"/>
                <w:szCs w:val="20"/>
                <w:lang w:val="fr-FR"/>
              </w:rPr>
              <w:t xml:space="preserve">CMS </w:t>
            </w:r>
            <w:proofErr w:type="spellStart"/>
            <w:r>
              <w:rPr>
                <w:rFonts w:ascii="Times New Roman" w:hAnsi="Times New Roman" w:cs="Times New Roman"/>
                <w:sz w:val="20"/>
                <w:szCs w:val="20"/>
                <w:lang w:val="fr-FR"/>
              </w:rPr>
              <w:t>Rés</w:t>
            </w:r>
            <w:proofErr w:type="spellEnd"/>
            <w:r>
              <w:rPr>
                <w:rFonts w:ascii="Times New Roman" w:hAnsi="Times New Roman" w:cs="Times New Roman"/>
                <w:sz w:val="20"/>
                <w:szCs w:val="20"/>
                <w:lang w:val="fr-FR"/>
              </w:rPr>
              <w:t>. 11.15</w:t>
            </w:r>
            <w:r w:rsidR="00EA7A29">
              <w:rPr>
                <w:rFonts w:ascii="Times New Roman" w:hAnsi="Times New Roman" w:cs="Times New Roman"/>
                <w:sz w:val="20"/>
                <w:szCs w:val="20"/>
                <w:lang w:val="fr-FR"/>
              </w:rPr>
              <w:t>.</w:t>
            </w:r>
            <w:r w:rsidR="001E06EF" w:rsidRPr="003006D2">
              <w:rPr>
                <w:rFonts w:ascii="Times New Roman" w:hAnsi="Times New Roman" w:cs="Times New Roman"/>
                <w:sz w:val="20"/>
                <w:szCs w:val="20"/>
                <w:lang w:val="fr-FR"/>
              </w:rPr>
              <w:t xml:space="preserve"> Prévenir les risques d’empoisonnement des oiseaux migrateurs</w:t>
            </w:r>
          </w:p>
        </w:tc>
        <w:tc>
          <w:tcPr>
            <w:tcW w:w="1250" w:type="pct"/>
          </w:tcPr>
          <w:p w:rsidR="001E06EF" w:rsidRPr="003006D2" w:rsidRDefault="001E06EF">
            <w:pPr>
              <w:spacing w:after="0" w:line="280" w:lineRule="auto"/>
              <w:ind w:left="284" w:hanging="284"/>
              <w:rPr>
                <w:rFonts w:ascii="Times New Roman" w:hAnsi="Times New Roman" w:cs="Times New Roman"/>
                <w:lang w:val="fr-FR"/>
              </w:rPr>
            </w:pPr>
            <w:r w:rsidRPr="003006D2">
              <w:rPr>
                <w:rFonts w:ascii="Times New Roman" w:hAnsi="Times New Roman" w:cs="Times New Roman"/>
                <w:sz w:val="20"/>
                <w:szCs w:val="20"/>
                <w:lang w:val="fr-FR"/>
              </w:rPr>
              <w:t xml:space="preserve">CMS </w:t>
            </w:r>
            <w:proofErr w:type="spellStart"/>
            <w:r w:rsidRPr="003006D2">
              <w:rPr>
                <w:rFonts w:ascii="Times New Roman" w:hAnsi="Times New Roman" w:cs="Times New Roman"/>
                <w:sz w:val="20"/>
                <w:szCs w:val="20"/>
                <w:lang w:val="fr-FR"/>
              </w:rPr>
              <w:t>Rés</w:t>
            </w:r>
            <w:proofErr w:type="spellEnd"/>
            <w:r w:rsidRPr="003006D2">
              <w:rPr>
                <w:rFonts w:ascii="Times New Roman" w:hAnsi="Times New Roman" w:cs="Times New Roman"/>
                <w:sz w:val="20"/>
                <w:szCs w:val="20"/>
                <w:lang w:val="fr-FR"/>
              </w:rPr>
              <w:t>. 11.15</w:t>
            </w:r>
            <w:r w:rsidR="00EA7A29">
              <w:rPr>
                <w:rFonts w:ascii="Times New Roman" w:hAnsi="Times New Roman" w:cs="Times New Roman"/>
                <w:sz w:val="20"/>
                <w:szCs w:val="20"/>
                <w:lang w:val="fr-FR"/>
              </w:rPr>
              <w:t>.</w:t>
            </w:r>
            <w:r w:rsidRPr="003006D2">
              <w:rPr>
                <w:rFonts w:ascii="Times New Roman" w:hAnsi="Times New Roman" w:cs="Times New Roman"/>
                <w:sz w:val="20"/>
                <w:szCs w:val="20"/>
                <w:lang w:val="fr-FR"/>
              </w:rPr>
              <w:t xml:space="preserve"> Lignes directrices pour prévenir les risques d’empoisonnement aux oiseaux migrateurs</w:t>
            </w:r>
          </w:p>
          <w:p w:rsidR="001E06EF" w:rsidRPr="003006D2" w:rsidRDefault="001E06EF">
            <w:pPr>
              <w:pStyle w:val="ListParagraph"/>
              <w:numPr>
                <w:ilvl w:val="0"/>
                <w:numId w:val="11"/>
              </w:numPr>
              <w:spacing w:after="120" w:line="240" w:lineRule="auto"/>
              <w:rPr>
                <w:lang w:val="fr-FR"/>
              </w:rPr>
            </w:pPr>
            <w:r w:rsidRPr="003006D2">
              <w:rPr>
                <w:rFonts w:ascii="Times New Roman" w:hAnsi="Times New Roman" w:cs="Times New Roman"/>
                <w:sz w:val="20"/>
                <w:szCs w:val="20"/>
                <w:lang w:val="fr-FR"/>
              </w:rPr>
              <w:t>Recommandations pour prévenir les risques liés aux munitions au plomb et aux plombs de pêche</w:t>
            </w:r>
          </w:p>
        </w:tc>
      </w:tr>
      <w:tr w:rsidR="001E06EF" w:rsidRPr="00EA2D7E">
        <w:tc>
          <w:tcPr>
            <w:tcW w:w="1250" w:type="pct"/>
          </w:tcPr>
          <w:p w:rsidR="001E06EF" w:rsidRPr="003006D2" w:rsidRDefault="001E06EF">
            <w:pPr>
              <w:spacing w:after="120" w:line="280" w:lineRule="auto"/>
              <w:rPr>
                <w:lang w:val="fr-FR"/>
              </w:rPr>
            </w:pPr>
            <w:r w:rsidRPr="003006D2">
              <w:rPr>
                <w:rFonts w:ascii="Times New Roman" w:hAnsi="Times New Roman" w:cs="Times New Roman"/>
                <w:sz w:val="20"/>
                <w:szCs w:val="20"/>
                <w:lang w:val="fr-FR"/>
              </w:rPr>
              <w:t>Empoisonnement intentionnel par l’utilisation d’appâts</w:t>
            </w:r>
          </w:p>
        </w:tc>
        <w:tc>
          <w:tcPr>
            <w:tcW w:w="1250" w:type="pct"/>
          </w:tcPr>
          <w:p w:rsidR="001E06EF" w:rsidRPr="003006D2" w:rsidRDefault="001E06EF">
            <w:pPr>
              <w:spacing w:after="120" w:line="280" w:lineRule="auto"/>
              <w:ind w:left="284" w:hanging="284"/>
              <w:rPr>
                <w:rFonts w:ascii="Times New Roman" w:hAnsi="Times New Roman" w:cs="Times New Roman"/>
                <w:sz w:val="20"/>
                <w:szCs w:val="20"/>
                <w:lang w:val="fr-FR"/>
              </w:rPr>
            </w:pPr>
            <w:r w:rsidRPr="003006D2">
              <w:rPr>
                <w:rFonts w:ascii="Times New Roman" w:hAnsi="Times New Roman" w:cs="Times New Roman"/>
                <w:sz w:val="20"/>
                <w:szCs w:val="20"/>
                <w:lang w:val="fr-FR"/>
              </w:rPr>
              <w:t>Plan d’action de l’AEWA,  paras 2.1.1 &amp; 2.1.2</w:t>
            </w:r>
          </w:p>
          <w:p w:rsidR="001E06EF" w:rsidRPr="003006D2" w:rsidRDefault="001E06EF">
            <w:pPr>
              <w:spacing w:after="120" w:line="280" w:lineRule="auto"/>
              <w:ind w:left="284" w:hanging="284"/>
              <w:rPr>
                <w:lang w:val="fr-FR"/>
              </w:rPr>
            </w:pPr>
            <w:r w:rsidRPr="003006D2">
              <w:rPr>
                <w:rFonts w:ascii="Times New Roman" w:hAnsi="Times New Roman" w:cs="Times New Roman"/>
                <w:sz w:val="20"/>
                <w:szCs w:val="20"/>
                <w:lang w:val="fr-FR"/>
              </w:rPr>
              <w:t xml:space="preserve">Plan stratégique 2.3 </w:t>
            </w:r>
            <w:r w:rsidRPr="003006D2">
              <w:rPr>
                <w:rFonts w:ascii="Times New Roman" w:hAnsi="Times New Roman" w:cs="Times New Roman"/>
                <w:b/>
                <w:bCs/>
                <w:sz w:val="20"/>
                <w:szCs w:val="20"/>
                <w:lang w:val="fr-FR"/>
              </w:rPr>
              <w:t>« </w:t>
            </w:r>
            <w:r w:rsidRPr="003006D2">
              <w:rPr>
                <w:rFonts w:ascii="Times New Roman" w:hAnsi="Times New Roman" w:cs="Times New Roman"/>
                <w:sz w:val="20"/>
                <w:szCs w:val="20"/>
                <w:lang w:val="fr-FR"/>
              </w:rPr>
              <w:t xml:space="preserve">Des mesures pour réduire, et éliminer autant que possible, les prélèvements illégaux d’oiseaux d’eau, l’utilisation d’appâts </w:t>
            </w:r>
            <w:r w:rsidRPr="003006D2">
              <w:rPr>
                <w:rFonts w:ascii="Times New Roman" w:hAnsi="Times New Roman" w:cs="Times New Roman"/>
                <w:sz w:val="20"/>
                <w:szCs w:val="20"/>
                <w:lang w:val="fr-FR"/>
              </w:rPr>
              <w:lastRenderedPageBreak/>
              <w:t>empoisonnés ainsi que les méthodes de prélèvement non sélectives sont développées et mises en œuvre. »</w:t>
            </w:r>
          </w:p>
        </w:tc>
        <w:tc>
          <w:tcPr>
            <w:tcW w:w="1250" w:type="pct"/>
          </w:tcPr>
          <w:p w:rsidR="001E06EF" w:rsidRPr="003006D2" w:rsidRDefault="001E06EF">
            <w:pPr>
              <w:spacing w:after="120" w:line="280" w:lineRule="auto"/>
              <w:ind w:left="284" w:hanging="284"/>
              <w:rPr>
                <w:rFonts w:ascii="Times New Roman" w:hAnsi="Times New Roman" w:cs="Times New Roman"/>
                <w:lang w:val="fr-FR"/>
              </w:rPr>
            </w:pPr>
            <w:r w:rsidRPr="003006D2">
              <w:rPr>
                <w:rFonts w:ascii="Times New Roman" w:hAnsi="Times New Roman" w:cs="Times New Roman"/>
                <w:sz w:val="20"/>
                <w:szCs w:val="20"/>
                <w:lang w:val="fr-FR"/>
              </w:rPr>
              <w:lastRenderedPageBreak/>
              <w:t xml:space="preserve">CMS </w:t>
            </w:r>
            <w:proofErr w:type="spellStart"/>
            <w:r w:rsidRPr="003006D2">
              <w:rPr>
                <w:rFonts w:ascii="Times New Roman" w:hAnsi="Times New Roman" w:cs="Times New Roman"/>
                <w:sz w:val="20"/>
                <w:szCs w:val="20"/>
                <w:lang w:val="fr-FR"/>
              </w:rPr>
              <w:t>Rés</w:t>
            </w:r>
            <w:proofErr w:type="spellEnd"/>
            <w:r w:rsidRPr="003006D2">
              <w:rPr>
                <w:rFonts w:ascii="Times New Roman" w:hAnsi="Times New Roman" w:cs="Times New Roman"/>
                <w:sz w:val="20"/>
                <w:szCs w:val="20"/>
                <w:lang w:val="fr-FR"/>
              </w:rPr>
              <w:t>. 10.26  Réduire le risque d’empoisonnement des oiseaux migrateurs</w:t>
            </w:r>
          </w:p>
          <w:p w:rsidR="001E06EF" w:rsidRPr="003006D2" w:rsidRDefault="001E06EF">
            <w:pPr>
              <w:spacing w:after="120" w:line="280" w:lineRule="auto"/>
              <w:ind w:left="284" w:hanging="284"/>
              <w:rPr>
                <w:lang w:val="fr-FR"/>
              </w:rPr>
            </w:pPr>
            <w:r w:rsidRPr="003006D2">
              <w:rPr>
                <w:rFonts w:ascii="Times New Roman" w:hAnsi="Times New Roman" w:cs="Times New Roman"/>
                <w:sz w:val="20"/>
                <w:szCs w:val="20"/>
                <w:lang w:val="fr-FR"/>
              </w:rPr>
              <w:lastRenderedPageBreak/>
              <w:t xml:space="preserve">CMS </w:t>
            </w:r>
            <w:proofErr w:type="spellStart"/>
            <w:r w:rsidRPr="003006D2">
              <w:rPr>
                <w:rFonts w:ascii="Times New Roman" w:hAnsi="Times New Roman" w:cs="Times New Roman"/>
                <w:sz w:val="20"/>
                <w:szCs w:val="20"/>
                <w:lang w:val="fr-FR"/>
              </w:rPr>
              <w:t>Rés</w:t>
            </w:r>
            <w:proofErr w:type="spellEnd"/>
            <w:r w:rsidRPr="003006D2">
              <w:rPr>
                <w:rFonts w:ascii="Times New Roman" w:hAnsi="Times New Roman" w:cs="Times New Roman"/>
                <w:sz w:val="20"/>
                <w:szCs w:val="20"/>
                <w:lang w:val="fr-FR"/>
              </w:rPr>
              <w:t>. 11.15. Prévenir les risques d’empoisonnement des oiseaux migrateurs</w:t>
            </w:r>
          </w:p>
        </w:tc>
        <w:tc>
          <w:tcPr>
            <w:tcW w:w="1250" w:type="pct"/>
          </w:tcPr>
          <w:p w:rsidR="001E06EF" w:rsidRPr="003006D2" w:rsidRDefault="001E06EF">
            <w:pPr>
              <w:spacing w:after="0" w:line="280" w:lineRule="auto"/>
              <w:ind w:left="284" w:hanging="284"/>
              <w:rPr>
                <w:rFonts w:ascii="Times New Roman" w:hAnsi="Times New Roman" w:cs="Times New Roman"/>
                <w:lang w:val="fr-FR"/>
              </w:rPr>
            </w:pPr>
            <w:r w:rsidRPr="003006D2">
              <w:rPr>
                <w:rFonts w:ascii="Times New Roman" w:hAnsi="Times New Roman" w:cs="Times New Roman"/>
                <w:sz w:val="20"/>
                <w:szCs w:val="20"/>
                <w:lang w:val="fr-FR"/>
              </w:rPr>
              <w:lastRenderedPageBreak/>
              <w:t xml:space="preserve">CMS </w:t>
            </w:r>
            <w:proofErr w:type="spellStart"/>
            <w:r w:rsidRPr="003006D2">
              <w:rPr>
                <w:rFonts w:ascii="Times New Roman" w:hAnsi="Times New Roman" w:cs="Times New Roman"/>
                <w:sz w:val="20"/>
                <w:szCs w:val="20"/>
                <w:lang w:val="fr-FR"/>
              </w:rPr>
              <w:t>Rés</w:t>
            </w:r>
            <w:proofErr w:type="spellEnd"/>
            <w:r w:rsidRPr="003006D2">
              <w:rPr>
                <w:rFonts w:ascii="Times New Roman" w:hAnsi="Times New Roman" w:cs="Times New Roman"/>
                <w:sz w:val="20"/>
                <w:szCs w:val="20"/>
                <w:lang w:val="fr-FR"/>
              </w:rPr>
              <w:t>. 11.15</w:t>
            </w:r>
            <w:r w:rsidR="00EA7A29">
              <w:rPr>
                <w:rFonts w:ascii="Times New Roman" w:hAnsi="Times New Roman" w:cs="Times New Roman"/>
                <w:sz w:val="20"/>
                <w:szCs w:val="20"/>
                <w:lang w:val="fr-FR"/>
              </w:rPr>
              <w:t>.</w:t>
            </w:r>
            <w:r w:rsidRPr="003006D2">
              <w:rPr>
                <w:rFonts w:ascii="Times New Roman" w:hAnsi="Times New Roman" w:cs="Times New Roman"/>
                <w:sz w:val="20"/>
                <w:szCs w:val="20"/>
                <w:lang w:val="fr-FR"/>
              </w:rPr>
              <w:t xml:space="preserve"> Lignes directrices pour prévenir les risques d’empoisonnement aux oiseaux migrateurs</w:t>
            </w:r>
          </w:p>
          <w:p w:rsidR="001E06EF" w:rsidRPr="003006D2" w:rsidRDefault="001E06EF">
            <w:pPr>
              <w:pStyle w:val="ListParagraph"/>
              <w:numPr>
                <w:ilvl w:val="0"/>
                <w:numId w:val="11"/>
              </w:numPr>
              <w:spacing w:after="120" w:line="240" w:lineRule="auto"/>
              <w:rPr>
                <w:lang w:val="fr-FR"/>
              </w:rPr>
            </w:pPr>
            <w:r w:rsidRPr="003006D2">
              <w:rPr>
                <w:rFonts w:ascii="Times New Roman" w:hAnsi="Times New Roman" w:cs="Times New Roman"/>
                <w:sz w:val="20"/>
                <w:szCs w:val="20"/>
                <w:lang w:val="fr-FR"/>
              </w:rPr>
              <w:t xml:space="preserve">Recommandations pour prévenir les risques liés à l’utilisation d’appâts empoisonnés pour </w:t>
            </w:r>
            <w:r w:rsidRPr="003006D2">
              <w:rPr>
                <w:rFonts w:ascii="Times New Roman" w:hAnsi="Times New Roman" w:cs="Times New Roman"/>
                <w:sz w:val="20"/>
                <w:szCs w:val="20"/>
                <w:lang w:val="fr-FR"/>
              </w:rPr>
              <w:lastRenderedPageBreak/>
              <w:t xml:space="preserve">contrôler les prédateurs et protéger les récoltes </w:t>
            </w:r>
          </w:p>
        </w:tc>
      </w:tr>
      <w:tr w:rsidR="001E06EF" w:rsidRPr="00EA2D7E">
        <w:tc>
          <w:tcPr>
            <w:tcW w:w="1250" w:type="pct"/>
          </w:tcPr>
          <w:p w:rsidR="001E06EF" w:rsidRPr="003006D2" w:rsidRDefault="001E06EF">
            <w:pPr>
              <w:spacing w:after="120" w:line="280" w:lineRule="auto"/>
              <w:rPr>
                <w:lang w:val="fr-FR"/>
              </w:rPr>
            </w:pPr>
            <w:r w:rsidRPr="003006D2">
              <w:rPr>
                <w:rFonts w:ascii="Times New Roman" w:hAnsi="Times New Roman" w:cs="Times New Roman"/>
                <w:sz w:val="20"/>
                <w:szCs w:val="20"/>
                <w:lang w:val="fr-FR"/>
              </w:rPr>
              <w:lastRenderedPageBreak/>
              <w:t>Empoisonnement résultant de l’utilisation et/ou de l’utilisation abusive de produits chimiques à usage agricole</w:t>
            </w:r>
          </w:p>
        </w:tc>
        <w:tc>
          <w:tcPr>
            <w:tcW w:w="1250" w:type="pct"/>
          </w:tcPr>
          <w:p w:rsidR="001E06EF" w:rsidRPr="003006D2" w:rsidRDefault="001E06EF">
            <w:pPr>
              <w:spacing w:after="120" w:line="280" w:lineRule="auto"/>
              <w:ind w:left="284" w:hanging="284"/>
              <w:rPr>
                <w:lang w:val="fr-FR"/>
              </w:rPr>
            </w:pPr>
            <w:r w:rsidRPr="003006D2">
              <w:rPr>
                <w:rFonts w:ascii="Times New Roman" w:hAnsi="Times New Roman" w:cs="Times New Roman"/>
                <w:sz w:val="20"/>
                <w:szCs w:val="20"/>
                <w:lang w:val="fr-FR"/>
              </w:rPr>
              <w:t>Plan d’action de l’AEWA,  paras 2.1.1 &amp; 2.1.2</w:t>
            </w:r>
          </w:p>
        </w:tc>
        <w:tc>
          <w:tcPr>
            <w:tcW w:w="1250" w:type="pct"/>
          </w:tcPr>
          <w:p w:rsidR="001E06EF" w:rsidRPr="003006D2" w:rsidRDefault="001E06EF">
            <w:pPr>
              <w:spacing w:after="120" w:line="280" w:lineRule="auto"/>
              <w:ind w:left="284" w:hanging="284"/>
              <w:rPr>
                <w:rFonts w:ascii="Times New Roman" w:hAnsi="Times New Roman" w:cs="Times New Roman"/>
                <w:lang w:val="fr-FR"/>
              </w:rPr>
            </w:pPr>
            <w:r w:rsidRPr="003006D2">
              <w:rPr>
                <w:rFonts w:ascii="Times New Roman" w:hAnsi="Times New Roman" w:cs="Times New Roman"/>
                <w:sz w:val="20"/>
                <w:szCs w:val="20"/>
                <w:lang w:val="fr-FR"/>
              </w:rPr>
              <w:t xml:space="preserve">CMS </w:t>
            </w:r>
            <w:proofErr w:type="spellStart"/>
            <w:r w:rsidRPr="003006D2">
              <w:rPr>
                <w:rFonts w:ascii="Times New Roman" w:hAnsi="Times New Roman" w:cs="Times New Roman"/>
                <w:sz w:val="20"/>
                <w:szCs w:val="20"/>
                <w:lang w:val="fr-FR"/>
              </w:rPr>
              <w:t>Rés</w:t>
            </w:r>
            <w:proofErr w:type="spellEnd"/>
            <w:r w:rsidRPr="003006D2">
              <w:rPr>
                <w:rFonts w:ascii="Times New Roman" w:hAnsi="Times New Roman" w:cs="Times New Roman"/>
                <w:sz w:val="20"/>
                <w:szCs w:val="20"/>
                <w:lang w:val="fr-FR"/>
              </w:rPr>
              <w:t xml:space="preserve">. 10.26  Réduire le risque d’empoisonnement des oiseaux migrateurs </w:t>
            </w:r>
          </w:p>
          <w:p w:rsidR="001E06EF" w:rsidRPr="003006D2" w:rsidRDefault="004D459C">
            <w:pPr>
              <w:spacing w:after="120" w:line="280" w:lineRule="auto"/>
              <w:ind w:left="284" w:hanging="284"/>
              <w:rPr>
                <w:rFonts w:ascii="Times New Roman" w:hAnsi="Times New Roman" w:cs="Times New Roman"/>
                <w:lang w:val="fr-FR"/>
              </w:rPr>
            </w:pPr>
            <w:r>
              <w:rPr>
                <w:rFonts w:ascii="Times New Roman" w:hAnsi="Times New Roman" w:cs="Times New Roman"/>
                <w:sz w:val="20"/>
                <w:szCs w:val="20"/>
                <w:lang w:val="fr-FR"/>
              </w:rPr>
              <w:t xml:space="preserve">CMS </w:t>
            </w:r>
            <w:proofErr w:type="spellStart"/>
            <w:r>
              <w:rPr>
                <w:rFonts w:ascii="Times New Roman" w:hAnsi="Times New Roman" w:cs="Times New Roman"/>
                <w:sz w:val="20"/>
                <w:szCs w:val="20"/>
                <w:lang w:val="fr-FR"/>
              </w:rPr>
              <w:t>Rés</w:t>
            </w:r>
            <w:proofErr w:type="spellEnd"/>
            <w:r>
              <w:rPr>
                <w:rFonts w:ascii="Times New Roman" w:hAnsi="Times New Roman" w:cs="Times New Roman"/>
                <w:sz w:val="20"/>
                <w:szCs w:val="20"/>
                <w:lang w:val="fr-FR"/>
              </w:rPr>
              <w:t>. 11.15</w:t>
            </w:r>
            <w:r w:rsidR="001E06EF" w:rsidRPr="003006D2">
              <w:rPr>
                <w:rFonts w:ascii="Times New Roman" w:hAnsi="Times New Roman" w:cs="Times New Roman"/>
                <w:sz w:val="20"/>
                <w:szCs w:val="20"/>
                <w:lang w:val="fr-FR"/>
              </w:rPr>
              <w:t xml:space="preserve"> Prévenir les risques d’empoisonnement des oiseaux migrateurs </w:t>
            </w:r>
          </w:p>
          <w:p w:rsidR="001E06EF" w:rsidRPr="003006D2" w:rsidRDefault="001E06EF">
            <w:pPr>
              <w:spacing w:after="120" w:line="280" w:lineRule="auto"/>
              <w:ind w:left="284" w:hanging="284"/>
              <w:rPr>
                <w:rFonts w:ascii="Times New Roman" w:hAnsi="Times New Roman" w:cs="Times New Roman"/>
                <w:lang w:val="fr-FR"/>
              </w:rPr>
            </w:pPr>
            <w:r w:rsidRPr="003006D2">
              <w:rPr>
                <w:rFonts w:ascii="Times New Roman" w:hAnsi="Times New Roman" w:cs="Times New Roman"/>
                <w:sz w:val="20"/>
                <w:szCs w:val="20"/>
                <w:lang w:val="fr-FR"/>
              </w:rPr>
              <w:t xml:space="preserve">AEWA </w:t>
            </w:r>
            <w:proofErr w:type="spellStart"/>
            <w:r w:rsidRPr="003006D2">
              <w:rPr>
                <w:rFonts w:ascii="Times New Roman" w:hAnsi="Times New Roman" w:cs="Times New Roman"/>
                <w:sz w:val="20"/>
                <w:szCs w:val="20"/>
                <w:lang w:val="fr-FR"/>
              </w:rPr>
              <w:t>Rés</w:t>
            </w:r>
            <w:proofErr w:type="spellEnd"/>
            <w:r w:rsidRPr="003006D2">
              <w:rPr>
                <w:rFonts w:ascii="Times New Roman" w:hAnsi="Times New Roman" w:cs="Times New Roman"/>
                <w:sz w:val="20"/>
                <w:szCs w:val="20"/>
                <w:lang w:val="fr-FR"/>
              </w:rPr>
              <w:t>. 5.1 Les effets négatifs des produits agrochimiques sur les oiseaux d’eau migrateurs en Afrique</w:t>
            </w:r>
          </w:p>
          <w:p w:rsidR="001E06EF" w:rsidRPr="003006D2" w:rsidRDefault="004D459C">
            <w:pPr>
              <w:spacing w:after="120" w:line="280" w:lineRule="auto"/>
              <w:ind w:left="284" w:hanging="284"/>
              <w:rPr>
                <w:lang w:val="fr-FR"/>
              </w:rPr>
            </w:pPr>
            <w:r>
              <w:rPr>
                <w:rFonts w:ascii="Times New Roman" w:hAnsi="Times New Roman" w:cs="Times New Roman"/>
                <w:sz w:val="20"/>
                <w:szCs w:val="20"/>
                <w:lang w:val="fr-FR"/>
              </w:rPr>
              <w:t xml:space="preserve">CMS </w:t>
            </w:r>
            <w:proofErr w:type="spellStart"/>
            <w:r>
              <w:rPr>
                <w:rFonts w:ascii="Times New Roman" w:hAnsi="Times New Roman" w:cs="Times New Roman"/>
                <w:sz w:val="20"/>
                <w:szCs w:val="20"/>
                <w:lang w:val="fr-FR"/>
              </w:rPr>
              <w:t>Rés</w:t>
            </w:r>
            <w:proofErr w:type="spellEnd"/>
            <w:r>
              <w:rPr>
                <w:rFonts w:ascii="Times New Roman" w:hAnsi="Times New Roman" w:cs="Times New Roman"/>
                <w:sz w:val="20"/>
                <w:szCs w:val="20"/>
                <w:lang w:val="fr-FR"/>
              </w:rPr>
              <w:t>. 11.15</w:t>
            </w:r>
            <w:r w:rsidR="001E06EF" w:rsidRPr="003006D2">
              <w:rPr>
                <w:rFonts w:ascii="Times New Roman" w:hAnsi="Times New Roman" w:cs="Times New Roman"/>
                <w:sz w:val="20"/>
                <w:szCs w:val="20"/>
                <w:lang w:val="fr-FR"/>
              </w:rPr>
              <w:t xml:space="preserve"> Prévenir les risques d’empoisonnement des oiseaux migrateurs</w:t>
            </w:r>
          </w:p>
        </w:tc>
        <w:tc>
          <w:tcPr>
            <w:tcW w:w="1250" w:type="pct"/>
          </w:tcPr>
          <w:p w:rsidR="001E06EF" w:rsidRPr="003006D2" w:rsidRDefault="001E06EF">
            <w:pPr>
              <w:spacing w:after="0" w:line="280" w:lineRule="auto"/>
              <w:ind w:left="284" w:hanging="284"/>
              <w:rPr>
                <w:rFonts w:ascii="Times New Roman" w:hAnsi="Times New Roman" w:cs="Times New Roman"/>
                <w:lang w:val="fr-FR"/>
              </w:rPr>
            </w:pPr>
            <w:r w:rsidRPr="003006D2">
              <w:rPr>
                <w:rFonts w:ascii="Times New Roman" w:hAnsi="Times New Roman" w:cs="Times New Roman"/>
                <w:sz w:val="20"/>
                <w:szCs w:val="20"/>
                <w:lang w:val="fr-FR"/>
              </w:rPr>
              <w:t xml:space="preserve">CMS </w:t>
            </w:r>
            <w:proofErr w:type="spellStart"/>
            <w:r w:rsidRPr="003006D2">
              <w:rPr>
                <w:rFonts w:ascii="Times New Roman" w:hAnsi="Times New Roman" w:cs="Times New Roman"/>
                <w:sz w:val="20"/>
                <w:szCs w:val="20"/>
                <w:lang w:val="fr-FR"/>
              </w:rPr>
              <w:t>Rés</w:t>
            </w:r>
            <w:proofErr w:type="spellEnd"/>
            <w:r w:rsidRPr="003006D2">
              <w:rPr>
                <w:rFonts w:ascii="Times New Roman" w:hAnsi="Times New Roman" w:cs="Times New Roman"/>
                <w:sz w:val="20"/>
                <w:szCs w:val="20"/>
                <w:lang w:val="fr-FR"/>
              </w:rPr>
              <w:t>. 11.15  Lignes directrices pour prévenir les risques d’empoisonnement aux oiseaux migrateurs</w:t>
            </w:r>
          </w:p>
          <w:p w:rsidR="001E06EF" w:rsidRPr="003006D2" w:rsidRDefault="001E06EF">
            <w:pPr>
              <w:pStyle w:val="ListParagraph"/>
              <w:numPr>
                <w:ilvl w:val="0"/>
                <w:numId w:val="11"/>
              </w:numPr>
              <w:spacing w:after="120" w:line="240" w:lineRule="auto"/>
              <w:rPr>
                <w:lang w:val="fr-FR"/>
              </w:rPr>
            </w:pPr>
            <w:r w:rsidRPr="003006D2">
              <w:rPr>
                <w:rFonts w:ascii="Times New Roman" w:hAnsi="Times New Roman" w:cs="Times New Roman"/>
                <w:sz w:val="20"/>
                <w:szCs w:val="20"/>
                <w:lang w:val="fr-FR"/>
              </w:rPr>
              <w:t>Recommandations pour prévenir les risques d’empoisonnement par les insecticides utilisés pour la protection des cultures</w:t>
            </w:r>
          </w:p>
        </w:tc>
      </w:tr>
      <w:tr w:rsidR="001E06EF" w:rsidRPr="00EA2D7E">
        <w:tc>
          <w:tcPr>
            <w:tcW w:w="1250" w:type="pct"/>
          </w:tcPr>
          <w:p w:rsidR="001E06EF" w:rsidRPr="003006D2" w:rsidRDefault="001E06EF">
            <w:pPr>
              <w:spacing w:after="120" w:line="280" w:lineRule="auto"/>
              <w:rPr>
                <w:lang w:val="fr-FR"/>
              </w:rPr>
            </w:pPr>
            <w:r w:rsidRPr="003006D2">
              <w:rPr>
                <w:rFonts w:ascii="Times New Roman" w:hAnsi="Times New Roman" w:cs="Times New Roman"/>
                <w:sz w:val="20"/>
                <w:szCs w:val="20"/>
                <w:lang w:val="fr-FR"/>
              </w:rPr>
              <w:t>Mise à mort illégale d’oiseaux d'eau (à des fins de consommation ou de commerce) par  piégeage ou tir</w:t>
            </w:r>
          </w:p>
        </w:tc>
        <w:tc>
          <w:tcPr>
            <w:tcW w:w="1250" w:type="pct"/>
          </w:tcPr>
          <w:p w:rsidR="001E06EF" w:rsidRPr="003006D2" w:rsidRDefault="001E06EF">
            <w:pPr>
              <w:spacing w:after="120" w:line="280" w:lineRule="auto"/>
              <w:ind w:left="284" w:hanging="284"/>
              <w:rPr>
                <w:rFonts w:ascii="Times New Roman" w:hAnsi="Times New Roman" w:cs="Times New Roman"/>
                <w:sz w:val="20"/>
                <w:szCs w:val="20"/>
                <w:lang w:val="fr-FR"/>
              </w:rPr>
            </w:pPr>
            <w:r w:rsidRPr="003006D2">
              <w:rPr>
                <w:rFonts w:ascii="Times New Roman" w:hAnsi="Times New Roman" w:cs="Times New Roman"/>
                <w:sz w:val="20"/>
                <w:szCs w:val="20"/>
                <w:lang w:val="fr-FR"/>
              </w:rPr>
              <w:t>Plan d’action de l’AEWA,  paras 2.1.1 &amp; 2.1.2</w:t>
            </w:r>
          </w:p>
          <w:p w:rsidR="001E06EF" w:rsidRPr="003006D2" w:rsidRDefault="001E06EF">
            <w:pPr>
              <w:spacing w:after="120" w:line="280" w:lineRule="auto"/>
              <w:ind w:left="284" w:hanging="284"/>
              <w:rPr>
                <w:rFonts w:ascii="Times New Roman" w:hAnsi="Times New Roman" w:cs="Times New Roman"/>
                <w:lang w:val="fr-FR"/>
              </w:rPr>
            </w:pPr>
            <w:r w:rsidRPr="003006D2">
              <w:rPr>
                <w:rFonts w:ascii="Times New Roman" w:hAnsi="Times New Roman" w:cs="Times New Roman"/>
                <w:sz w:val="20"/>
                <w:szCs w:val="20"/>
                <w:lang w:val="fr-FR"/>
              </w:rPr>
              <w:t xml:space="preserve">Plan stratégique 2.3 </w:t>
            </w:r>
            <w:r w:rsidRPr="003006D2">
              <w:rPr>
                <w:rFonts w:ascii="Times New Roman" w:hAnsi="Times New Roman" w:cs="Times New Roman"/>
                <w:b/>
                <w:bCs/>
                <w:sz w:val="20"/>
                <w:szCs w:val="20"/>
                <w:lang w:val="fr-FR"/>
              </w:rPr>
              <w:t>« </w:t>
            </w:r>
            <w:r w:rsidRPr="003006D2">
              <w:rPr>
                <w:rFonts w:ascii="Times New Roman" w:hAnsi="Times New Roman" w:cs="Times New Roman"/>
                <w:sz w:val="20"/>
                <w:szCs w:val="20"/>
                <w:lang w:val="fr-FR"/>
              </w:rPr>
              <w:t>Des mesures pour réduire, et éliminer autant que possible, les prélèvements illégaux d’oiseaux d’eau, l’utilisation d’appâts empoisonnés ainsi que les méthodes de prélèvement non sélectives sont développées et mises en œuvre. »</w:t>
            </w:r>
          </w:p>
          <w:p w:rsidR="001E06EF" w:rsidRPr="003006D2" w:rsidRDefault="001E06EF">
            <w:pPr>
              <w:spacing w:after="120" w:line="280" w:lineRule="auto"/>
              <w:ind w:left="284" w:hanging="284"/>
              <w:rPr>
                <w:lang w:val="fr-FR"/>
              </w:rPr>
            </w:pPr>
            <w:r w:rsidRPr="003006D2">
              <w:rPr>
                <w:rFonts w:ascii="Times New Roman" w:hAnsi="Times New Roman" w:cs="Times New Roman"/>
                <w:sz w:val="20"/>
                <w:szCs w:val="20"/>
                <w:lang w:val="fr-FR"/>
              </w:rPr>
              <w:t xml:space="preserve">Plan d’action pour l’Afrique </w:t>
            </w:r>
            <w:r w:rsidRPr="003006D2">
              <w:rPr>
                <w:rFonts w:ascii="Times New Roman" w:hAnsi="Times New Roman" w:cs="Times New Roman"/>
                <w:b/>
                <w:bCs/>
                <w:sz w:val="20"/>
                <w:szCs w:val="20"/>
                <w:lang w:val="fr-FR"/>
              </w:rPr>
              <w:t>« </w:t>
            </w:r>
            <w:r w:rsidRPr="003006D2">
              <w:rPr>
                <w:rFonts w:ascii="Times New Roman" w:hAnsi="Times New Roman" w:cs="Times New Roman"/>
                <w:sz w:val="20"/>
                <w:szCs w:val="20"/>
                <w:lang w:val="fr-FR"/>
              </w:rPr>
              <w:t xml:space="preserve">Toutes les Parties possèdent et appliquent des législations appropriées qui permettent de réduire, et autant que possible d’éliminer les prélèvements illégaux d’oiseaux d’eau, l’utilisation d’appâts </w:t>
            </w:r>
            <w:r w:rsidRPr="003006D2">
              <w:rPr>
                <w:rFonts w:ascii="Times New Roman" w:hAnsi="Times New Roman" w:cs="Times New Roman"/>
                <w:sz w:val="20"/>
                <w:szCs w:val="20"/>
                <w:lang w:val="fr-FR"/>
              </w:rPr>
              <w:lastRenderedPageBreak/>
              <w:t>empoisonnés et autres méthodes de prélèvement non sélectives ainsi que le commerce illégal d’ici 2017. »</w:t>
            </w:r>
          </w:p>
        </w:tc>
        <w:tc>
          <w:tcPr>
            <w:tcW w:w="1250" w:type="pct"/>
          </w:tcPr>
          <w:p w:rsidR="001E06EF" w:rsidRPr="003006D2" w:rsidRDefault="001E06EF">
            <w:pPr>
              <w:spacing w:after="120" w:line="280" w:lineRule="auto"/>
              <w:ind w:left="284" w:hanging="284"/>
              <w:rPr>
                <w:rFonts w:ascii="Times New Roman" w:hAnsi="Times New Roman" w:cs="Times New Roman"/>
                <w:lang w:val="fr-FR"/>
              </w:rPr>
            </w:pPr>
            <w:r w:rsidRPr="003006D2">
              <w:rPr>
                <w:rFonts w:ascii="Times New Roman" w:hAnsi="Times New Roman" w:cs="Times New Roman"/>
                <w:sz w:val="20"/>
                <w:szCs w:val="20"/>
                <w:lang w:val="fr-FR"/>
              </w:rPr>
              <w:lastRenderedPageBreak/>
              <w:t xml:space="preserve">CMS </w:t>
            </w:r>
            <w:proofErr w:type="spellStart"/>
            <w:r w:rsidRPr="003006D2">
              <w:rPr>
                <w:rFonts w:ascii="Times New Roman" w:hAnsi="Times New Roman" w:cs="Times New Roman"/>
                <w:sz w:val="20"/>
                <w:szCs w:val="20"/>
                <w:lang w:val="fr-FR"/>
              </w:rPr>
              <w:t>Rés</w:t>
            </w:r>
            <w:proofErr w:type="spellEnd"/>
            <w:r w:rsidRPr="003006D2">
              <w:rPr>
                <w:rFonts w:ascii="Times New Roman" w:hAnsi="Times New Roman" w:cs="Times New Roman"/>
                <w:sz w:val="20"/>
                <w:szCs w:val="20"/>
                <w:lang w:val="fr-FR"/>
              </w:rPr>
              <w:t>. 11.16</w:t>
            </w:r>
            <w:r w:rsidR="00EA7A29">
              <w:rPr>
                <w:rFonts w:ascii="Times New Roman" w:hAnsi="Times New Roman" w:cs="Times New Roman"/>
                <w:sz w:val="20"/>
                <w:szCs w:val="20"/>
                <w:lang w:val="fr-FR"/>
              </w:rPr>
              <w:t>.</w:t>
            </w:r>
            <w:r w:rsidRPr="003006D2">
              <w:rPr>
                <w:rFonts w:ascii="Times New Roman" w:hAnsi="Times New Roman" w:cs="Times New Roman"/>
                <w:sz w:val="20"/>
                <w:szCs w:val="20"/>
                <w:lang w:val="fr-FR"/>
              </w:rPr>
              <w:t xml:space="preserve"> La prévention de l’abattage, du prélèvement et du commerce illégaux des oiseaux migrateurs</w:t>
            </w:r>
          </w:p>
          <w:p w:rsidR="001E06EF" w:rsidRPr="003006D2" w:rsidRDefault="001E06EF" w:rsidP="00EA7A29">
            <w:pPr>
              <w:spacing w:after="120" w:line="280" w:lineRule="auto"/>
              <w:ind w:left="284" w:hanging="284"/>
              <w:rPr>
                <w:lang w:val="fr-FR"/>
              </w:rPr>
            </w:pPr>
            <w:r w:rsidRPr="003006D2">
              <w:rPr>
                <w:rFonts w:ascii="Times New Roman" w:hAnsi="Times New Roman" w:cs="Times New Roman"/>
                <w:sz w:val="20"/>
                <w:szCs w:val="20"/>
                <w:lang w:val="fr-FR"/>
              </w:rPr>
              <w:t xml:space="preserve">CMS </w:t>
            </w:r>
            <w:proofErr w:type="spellStart"/>
            <w:r w:rsidRPr="003006D2">
              <w:rPr>
                <w:rFonts w:ascii="Times New Roman" w:hAnsi="Times New Roman" w:cs="Times New Roman"/>
                <w:sz w:val="20"/>
                <w:szCs w:val="20"/>
                <w:lang w:val="fr-FR"/>
              </w:rPr>
              <w:t>Rés</w:t>
            </w:r>
            <w:proofErr w:type="spellEnd"/>
            <w:r w:rsidRPr="003006D2">
              <w:rPr>
                <w:rFonts w:ascii="Times New Roman" w:hAnsi="Times New Roman" w:cs="Times New Roman"/>
                <w:sz w:val="20"/>
                <w:szCs w:val="20"/>
                <w:lang w:val="fr-FR"/>
              </w:rPr>
              <w:t>. 10.26</w:t>
            </w:r>
            <w:r w:rsidR="00EA7A29">
              <w:rPr>
                <w:rFonts w:ascii="Times New Roman" w:hAnsi="Times New Roman" w:cs="Times New Roman"/>
                <w:sz w:val="20"/>
                <w:szCs w:val="20"/>
                <w:lang w:val="fr-FR"/>
              </w:rPr>
              <w:t>.</w:t>
            </w:r>
            <w:r w:rsidRPr="003006D2">
              <w:rPr>
                <w:rFonts w:ascii="Times New Roman" w:hAnsi="Times New Roman" w:cs="Times New Roman"/>
                <w:sz w:val="20"/>
                <w:szCs w:val="20"/>
                <w:lang w:val="fr-FR"/>
              </w:rPr>
              <w:t xml:space="preserve"> Réduire le risque d’empoisonnement des oiseaux migrateurs</w:t>
            </w:r>
          </w:p>
        </w:tc>
        <w:tc>
          <w:tcPr>
            <w:tcW w:w="1250" w:type="pct"/>
          </w:tcPr>
          <w:p w:rsidR="001E06EF" w:rsidRPr="003006D2" w:rsidRDefault="001E06EF">
            <w:pPr>
              <w:spacing w:after="120" w:line="280" w:lineRule="auto"/>
              <w:ind w:left="284" w:hanging="284"/>
              <w:rPr>
                <w:rFonts w:ascii="Times New Roman" w:hAnsi="Times New Roman" w:cs="Times New Roman"/>
                <w:sz w:val="20"/>
                <w:szCs w:val="20"/>
                <w:lang w:val="fr-FR"/>
              </w:rPr>
            </w:pPr>
            <w:r w:rsidRPr="003006D2">
              <w:rPr>
                <w:rFonts w:ascii="Times New Roman" w:hAnsi="Times New Roman" w:cs="Times New Roman"/>
                <w:sz w:val="20"/>
                <w:szCs w:val="20"/>
                <w:lang w:val="fr-FR"/>
              </w:rPr>
              <w:t>Plan d’action pour prendre en main le piégeage des oiseaux le long des côtes méditerranéennes de l’Egypte et de la Libye</w:t>
            </w:r>
          </w:p>
          <w:p w:rsidR="001E06EF" w:rsidRPr="003006D2" w:rsidRDefault="001E06EF">
            <w:pPr>
              <w:spacing w:after="120" w:line="280" w:lineRule="auto"/>
              <w:ind w:left="284" w:hanging="284"/>
              <w:rPr>
                <w:rFonts w:ascii="Times New Roman" w:hAnsi="Times New Roman" w:cs="Times New Roman"/>
                <w:sz w:val="20"/>
                <w:szCs w:val="20"/>
                <w:lang w:val="fr-FR"/>
              </w:rPr>
            </w:pPr>
            <w:r w:rsidRPr="003006D2">
              <w:rPr>
                <w:rFonts w:ascii="Times New Roman" w:hAnsi="Times New Roman" w:cs="Times New Roman"/>
                <w:sz w:val="20"/>
                <w:szCs w:val="20"/>
                <w:lang w:val="fr-FR"/>
              </w:rPr>
              <w:t>Lignes directrices de conservation AEWA (n° 6) sur la réglementation du commerce des oiseaux d’eau migrateurs</w:t>
            </w:r>
          </w:p>
          <w:p w:rsidR="001E06EF" w:rsidRPr="003006D2" w:rsidRDefault="001E06EF" w:rsidP="000D1E10">
            <w:pPr>
              <w:spacing w:after="120" w:line="280" w:lineRule="auto"/>
              <w:ind w:left="284" w:hanging="284"/>
              <w:rPr>
                <w:lang w:val="fr-FR"/>
              </w:rPr>
            </w:pPr>
            <w:r w:rsidRPr="003006D2">
              <w:rPr>
                <w:rFonts w:ascii="Times New Roman" w:hAnsi="Times New Roman" w:cs="Times New Roman"/>
                <w:sz w:val="20"/>
                <w:szCs w:val="20"/>
                <w:lang w:val="fr-FR"/>
              </w:rPr>
              <w:t>Lignes directrices de conservation AEWA (n° 5) sur le prélèvement durable des oiseaux d'eau migrateurs (document AEWA/MOP 6.</w:t>
            </w:r>
            <w:r w:rsidR="000D1E10">
              <w:rPr>
                <w:rFonts w:ascii="Times New Roman" w:hAnsi="Times New Roman" w:cs="Times New Roman"/>
                <w:sz w:val="20"/>
                <w:szCs w:val="20"/>
                <w:lang w:val="fr-FR"/>
              </w:rPr>
              <w:t>36</w:t>
            </w:r>
            <w:r w:rsidRPr="003006D2">
              <w:rPr>
                <w:rFonts w:ascii="Times New Roman" w:hAnsi="Times New Roman" w:cs="Times New Roman"/>
                <w:sz w:val="20"/>
                <w:szCs w:val="20"/>
                <w:lang w:val="fr-FR"/>
              </w:rPr>
              <w:t xml:space="preserve">) </w:t>
            </w:r>
          </w:p>
        </w:tc>
      </w:tr>
      <w:tr w:rsidR="001E06EF" w:rsidRPr="00EA2D7E">
        <w:tc>
          <w:tcPr>
            <w:tcW w:w="1250" w:type="pct"/>
          </w:tcPr>
          <w:p w:rsidR="001E06EF" w:rsidRPr="003006D2" w:rsidRDefault="001E06EF">
            <w:pPr>
              <w:spacing w:after="120" w:line="280" w:lineRule="auto"/>
              <w:rPr>
                <w:lang w:val="fr-FR"/>
              </w:rPr>
            </w:pPr>
            <w:r w:rsidRPr="003006D2">
              <w:rPr>
                <w:rFonts w:ascii="Times New Roman" w:hAnsi="Times New Roman" w:cs="Times New Roman"/>
                <w:sz w:val="20"/>
                <w:szCs w:val="20"/>
                <w:lang w:val="fr-FR"/>
              </w:rPr>
              <w:lastRenderedPageBreak/>
              <w:t>Mise à mort accidentelle, notamment les prises accessoires dans les équipements de pêche, y compris la pêche au filet maillant, à la palangre et au chalut</w:t>
            </w:r>
          </w:p>
        </w:tc>
        <w:tc>
          <w:tcPr>
            <w:tcW w:w="1250" w:type="pct"/>
          </w:tcPr>
          <w:p w:rsidR="001E06EF" w:rsidRPr="003006D2" w:rsidRDefault="001E06EF">
            <w:pPr>
              <w:spacing w:after="120" w:line="280" w:lineRule="auto"/>
              <w:ind w:left="284" w:hanging="284"/>
              <w:rPr>
                <w:rFonts w:ascii="Times New Roman" w:hAnsi="Times New Roman" w:cs="Times New Roman"/>
                <w:sz w:val="20"/>
                <w:szCs w:val="20"/>
                <w:lang w:val="fr-FR"/>
              </w:rPr>
            </w:pPr>
            <w:r w:rsidRPr="003006D2">
              <w:rPr>
                <w:rFonts w:ascii="Times New Roman" w:hAnsi="Times New Roman" w:cs="Times New Roman"/>
                <w:sz w:val="20"/>
                <w:szCs w:val="20"/>
                <w:lang w:val="fr-FR"/>
              </w:rPr>
              <w:t>Plan d’action de l’AEWA,  paras 4.3.7 &amp; 4.3.8</w:t>
            </w:r>
          </w:p>
          <w:p w:rsidR="001E06EF" w:rsidRPr="003006D2" w:rsidRDefault="001E06EF">
            <w:pPr>
              <w:spacing w:after="120"/>
              <w:rPr>
                <w:rFonts w:ascii="Times New Roman" w:hAnsi="Times New Roman" w:cs="Times New Roman"/>
                <w:sz w:val="20"/>
                <w:szCs w:val="20"/>
                <w:lang w:val="fr-FR"/>
              </w:rPr>
            </w:pPr>
          </w:p>
        </w:tc>
        <w:tc>
          <w:tcPr>
            <w:tcW w:w="1250" w:type="pct"/>
          </w:tcPr>
          <w:p w:rsidR="001E06EF" w:rsidRPr="003006D2" w:rsidRDefault="001E06EF">
            <w:pPr>
              <w:spacing w:after="120"/>
              <w:rPr>
                <w:rFonts w:ascii="Times New Roman" w:hAnsi="Times New Roman" w:cs="Times New Roman"/>
                <w:sz w:val="20"/>
                <w:szCs w:val="20"/>
                <w:lang w:val="fr-FR"/>
              </w:rPr>
            </w:pPr>
          </w:p>
        </w:tc>
        <w:tc>
          <w:tcPr>
            <w:tcW w:w="1250" w:type="pct"/>
          </w:tcPr>
          <w:p w:rsidR="001E06EF" w:rsidRPr="003006D2" w:rsidRDefault="001E06EF">
            <w:pPr>
              <w:spacing w:after="120" w:line="280" w:lineRule="auto"/>
              <w:ind w:left="284" w:hanging="284"/>
              <w:rPr>
                <w:lang w:val="fr-FR"/>
              </w:rPr>
            </w:pPr>
            <w:r w:rsidRPr="003006D2">
              <w:rPr>
                <w:rFonts w:ascii="Times New Roman" w:hAnsi="Times New Roman" w:cs="Times New Roman"/>
                <w:sz w:val="20"/>
                <w:szCs w:val="20"/>
                <w:lang w:val="fr-FR"/>
              </w:rPr>
              <w:t>De nombreuses directives pertinentes de l’Accord sur la Conservation des Albatros et des Pétrels de la CMS</w:t>
            </w:r>
          </w:p>
        </w:tc>
      </w:tr>
      <w:tr w:rsidR="001E06EF" w:rsidRPr="00EA2D7E">
        <w:tc>
          <w:tcPr>
            <w:tcW w:w="1250" w:type="pct"/>
          </w:tcPr>
          <w:p w:rsidR="001E06EF" w:rsidRPr="003006D2" w:rsidRDefault="001E06EF">
            <w:pPr>
              <w:spacing w:after="120" w:line="280" w:lineRule="auto"/>
              <w:rPr>
                <w:lang w:val="fr-FR"/>
              </w:rPr>
            </w:pPr>
            <w:r w:rsidRPr="003006D2">
              <w:rPr>
                <w:rFonts w:ascii="Times New Roman" w:hAnsi="Times New Roman" w:cs="Times New Roman"/>
                <w:sz w:val="20"/>
                <w:szCs w:val="20"/>
                <w:lang w:val="fr-FR"/>
              </w:rPr>
              <w:t>Mortalité causée par les hydrocarbures ou d’autres types de pollution</w:t>
            </w:r>
          </w:p>
        </w:tc>
        <w:tc>
          <w:tcPr>
            <w:tcW w:w="1250" w:type="pct"/>
          </w:tcPr>
          <w:p w:rsidR="001E06EF" w:rsidRPr="003006D2" w:rsidRDefault="001E06EF">
            <w:pPr>
              <w:spacing w:after="120" w:line="280" w:lineRule="auto"/>
              <w:ind w:left="284" w:hanging="284"/>
              <w:rPr>
                <w:lang w:val="fr-FR"/>
              </w:rPr>
            </w:pPr>
            <w:r w:rsidRPr="003006D2">
              <w:rPr>
                <w:rFonts w:ascii="Times New Roman" w:hAnsi="Times New Roman" w:cs="Times New Roman"/>
                <w:sz w:val="20"/>
                <w:szCs w:val="20"/>
                <w:lang w:val="fr-FR"/>
              </w:rPr>
              <w:t>Plan d’action de l’AEWA,  para. 4.3.9</w:t>
            </w:r>
          </w:p>
        </w:tc>
        <w:tc>
          <w:tcPr>
            <w:tcW w:w="1250" w:type="pct"/>
          </w:tcPr>
          <w:p w:rsidR="001E06EF" w:rsidRPr="003006D2" w:rsidRDefault="001E06EF">
            <w:pPr>
              <w:spacing w:after="120" w:line="280" w:lineRule="auto"/>
              <w:rPr>
                <w:rFonts w:ascii="Times New Roman" w:hAnsi="Times New Roman" w:cs="Times New Roman"/>
                <w:lang w:val="fr-FR"/>
              </w:rPr>
            </w:pPr>
            <w:r w:rsidRPr="003006D2">
              <w:rPr>
                <w:rFonts w:ascii="Times New Roman" w:hAnsi="Times New Roman" w:cs="Times New Roman"/>
                <w:sz w:val="20"/>
                <w:szCs w:val="20"/>
                <w:lang w:val="fr-FR"/>
              </w:rPr>
              <w:t xml:space="preserve">CMS </w:t>
            </w:r>
            <w:proofErr w:type="spellStart"/>
            <w:r w:rsidRPr="003006D2">
              <w:rPr>
                <w:rFonts w:ascii="Times New Roman" w:hAnsi="Times New Roman" w:cs="Times New Roman"/>
                <w:sz w:val="20"/>
                <w:szCs w:val="20"/>
                <w:lang w:val="fr-FR"/>
              </w:rPr>
              <w:t>Rés</w:t>
            </w:r>
            <w:proofErr w:type="spellEnd"/>
            <w:r w:rsidRPr="003006D2">
              <w:rPr>
                <w:rFonts w:ascii="Times New Roman" w:hAnsi="Times New Roman" w:cs="Times New Roman"/>
                <w:sz w:val="20"/>
                <w:szCs w:val="20"/>
                <w:lang w:val="fr-FR"/>
              </w:rPr>
              <w:t>.</w:t>
            </w:r>
            <w:r w:rsidR="004D459C">
              <w:rPr>
                <w:rFonts w:ascii="Times New Roman" w:hAnsi="Times New Roman" w:cs="Times New Roman"/>
                <w:sz w:val="20"/>
                <w:szCs w:val="20"/>
                <w:lang w:val="fr-FR"/>
              </w:rPr>
              <w:t xml:space="preserve"> 7.3</w:t>
            </w:r>
            <w:r w:rsidR="00EA7A29">
              <w:rPr>
                <w:rFonts w:ascii="Times New Roman" w:hAnsi="Times New Roman" w:cs="Times New Roman"/>
                <w:sz w:val="20"/>
                <w:szCs w:val="20"/>
                <w:lang w:val="fr-FR"/>
              </w:rPr>
              <w:t>.</w:t>
            </w:r>
            <w:r w:rsidR="004D459C">
              <w:rPr>
                <w:rFonts w:ascii="Times New Roman" w:hAnsi="Times New Roman" w:cs="Times New Roman"/>
                <w:sz w:val="20"/>
                <w:szCs w:val="20"/>
                <w:lang w:val="fr-FR"/>
              </w:rPr>
              <w:t xml:space="preserve"> </w:t>
            </w:r>
            <w:r w:rsidRPr="003006D2">
              <w:rPr>
                <w:rFonts w:ascii="Times New Roman" w:hAnsi="Times New Roman" w:cs="Times New Roman"/>
                <w:sz w:val="20"/>
                <w:szCs w:val="20"/>
                <w:lang w:val="fr-FR"/>
              </w:rPr>
              <w:t>Marées noires et espèces migratrices</w:t>
            </w:r>
          </w:p>
          <w:p w:rsidR="001E06EF" w:rsidRPr="003006D2" w:rsidRDefault="001E06EF" w:rsidP="00EA7A29">
            <w:pPr>
              <w:spacing w:after="120" w:line="280" w:lineRule="auto"/>
              <w:rPr>
                <w:lang w:val="fr-FR"/>
              </w:rPr>
            </w:pPr>
            <w:r w:rsidRPr="003006D2">
              <w:rPr>
                <w:rFonts w:ascii="Times New Roman" w:hAnsi="Times New Roman" w:cs="Times New Roman"/>
                <w:sz w:val="20"/>
                <w:szCs w:val="20"/>
                <w:lang w:val="fr-FR"/>
              </w:rPr>
              <w:t xml:space="preserve">CMS </w:t>
            </w:r>
            <w:proofErr w:type="spellStart"/>
            <w:r w:rsidRPr="003006D2">
              <w:rPr>
                <w:rFonts w:ascii="Times New Roman" w:hAnsi="Times New Roman" w:cs="Times New Roman"/>
                <w:sz w:val="20"/>
                <w:szCs w:val="20"/>
                <w:lang w:val="fr-FR"/>
              </w:rPr>
              <w:t>Rés</w:t>
            </w:r>
            <w:proofErr w:type="spellEnd"/>
            <w:r w:rsidRPr="003006D2">
              <w:rPr>
                <w:rFonts w:ascii="Times New Roman" w:hAnsi="Times New Roman" w:cs="Times New Roman"/>
                <w:sz w:val="20"/>
                <w:szCs w:val="20"/>
                <w:lang w:val="fr-FR"/>
              </w:rPr>
              <w:t>. 11.30</w:t>
            </w:r>
            <w:r w:rsidR="00EA7A29">
              <w:rPr>
                <w:rFonts w:ascii="Times New Roman" w:hAnsi="Times New Roman" w:cs="Times New Roman"/>
                <w:sz w:val="20"/>
                <w:szCs w:val="20"/>
                <w:lang w:val="fr-FR"/>
              </w:rPr>
              <w:t>.</w:t>
            </w:r>
            <w:bookmarkStart w:id="0" w:name="_GoBack"/>
            <w:bookmarkEnd w:id="0"/>
            <w:r w:rsidRPr="003006D2">
              <w:rPr>
                <w:rFonts w:ascii="Times New Roman" w:hAnsi="Times New Roman" w:cs="Times New Roman"/>
                <w:sz w:val="20"/>
                <w:szCs w:val="20"/>
                <w:lang w:val="fr-FR"/>
              </w:rPr>
              <w:t xml:space="preserve"> Gestion des débris marins</w:t>
            </w:r>
          </w:p>
        </w:tc>
        <w:tc>
          <w:tcPr>
            <w:tcW w:w="1250" w:type="pct"/>
          </w:tcPr>
          <w:p w:rsidR="001E06EF" w:rsidRPr="003006D2" w:rsidRDefault="001E06EF">
            <w:pPr>
              <w:spacing w:after="120" w:line="280" w:lineRule="auto"/>
              <w:ind w:left="284" w:hanging="284"/>
              <w:rPr>
                <w:lang w:val="fr-FR"/>
              </w:rPr>
            </w:pPr>
            <w:r w:rsidRPr="003006D2">
              <w:rPr>
                <w:rFonts w:ascii="Times New Roman" w:hAnsi="Times New Roman" w:cs="Times New Roman"/>
                <w:sz w:val="20"/>
                <w:szCs w:val="20"/>
                <w:lang w:val="fr-FR"/>
              </w:rPr>
              <w:t>Lignes directrices de conservation AEWA (n° 2) sur l’identification et la prise en main des situations d’urgence concernant les oiseaux d’eau migrateurs</w:t>
            </w:r>
          </w:p>
        </w:tc>
      </w:tr>
    </w:tbl>
    <w:p w:rsidR="001E06EF" w:rsidRPr="003006D2" w:rsidRDefault="001E06EF">
      <w:pPr>
        <w:rPr>
          <w:rFonts w:ascii="Times New Roman" w:hAnsi="Times New Roman" w:cs="Times New Roman"/>
          <w:lang w:val="fr-FR"/>
        </w:rPr>
      </w:pPr>
    </w:p>
    <w:p w:rsidR="001E06EF" w:rsidRPr="003006D2" w:rsidRDefault="001E06EF">
      <w:pPr>
        <w:rPr>
          <w:rFonts w:ascii="Times New Roman" w:hAnsi="Times New Roman" w:cs="Times New Roman"/>
          <w:lang w:val="fr-FR"/>
        </w:rPr>
      </w:pPr>
    </w:p>
    <w:sectPr w:rsidR="001E06EF" w:rsidRPr="003006D2" w:rsidSect="00E5241C">
      <w:headerReference w:type="default" r:id="rId11"/>
      <w:footerReference w:type="default" r:id="rId12"/>
      <w:pgSz w:w="16834" w:h="11909" w:orient="landscape" w:code="9"/>
      <w:pgMar w:top="1021" w:right="1134" w:bottom="851" w:left="1134" w:header="709"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809" w:rsidRDefault="003E6809">
      <w:pPr>
        <w:spacing w:after="0" w:line="240" w:lineRule="auto"/>
      </w:pPr>
      <w:r>
        <w:separator/>
      </w:r>
    </w:p>
  </w:endnote>
  <w:endnote w:type="continuationSeparator" w:id="0">
    <w:p w:rsidR="003E6809" w:rsidRDefault="003E6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6EF" w:rsidRDefault="001E06EF">
    <w:pPr>
      <w:pStyle w:val="Footer"/>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EA7A29">
      <w:rPr>
        <w:rFonts w:ascii="Times New Roman" w:hAnsi="Times New Roman" w:cs="Times New Roman"/>
        <w:noProof/>
        <w:sz w:val="20"/>
        <w:szCs w:val="20"/>
      </w:rPr>
      <w:t>2</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6EF" w:rsidRDefault="001E06EF">
    <w:pPr>
      <w:pStyle w:val="Footer"/>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EA7A29">
      <w:rPr>
        <w:rFonts w:ascii="Times New Roman" w:hAnsi="Times New Roman" w:cs="Times New Roman"/>
        <w:noProof/>
        <w:sz w:val="20"/>
        <w:szCs w:val="20"/>
      </w:rPr>
      <w:t>6</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809" w:rsidRDefault="003E6809">
      <w:pPr>
        <w:spacing w:after="0" w:line="240" w:lineRule="auto"/>
      </w:pPr>
      <w:r>
        <w:separator/>
      </w:r>
    </w:p>
  </w:footnote>
  <w:footnote w:type="continuationSeparator" w:id="0">
    <w:p w:rsidR="003E6809" w:rsidRDefault="003E6809">
      <w:pPr>
        <w:spacing w:after="0" w:line="240" w:lineRule="auto"/>
      </w:pPr>
      <w:r>
        <w:continuationSeparator/>
      </w:r>
    </w:p>
  </w:footnote>
  <w:footnote w:id="1">
    <w:p w:rsidR="001E06EF" w:rsidRPr="009454E5" w:rsidRDefault="001E06EF">
      <w:pPr>
        <w:pStyle w:val="FootnoteText"/>
        <w:rPr>
          <w:rFonts w:ascii="Times New Roman" w:hAnsi="Times New Roman" w:cs="Times New Roman"/>
          <w:sz w:val="18"/>
          <w:szCs w:val="18"/>
          <w:lang w:val="fr-FR"/>
        </w:rPr>
      </w:pPr>
      <w:r w:rsidRPr="00E5241C">
        <w:rPr>
          <w:rStyle w:val="FootnoteReference"/>
          <w:rFonts w:ascii="Times New Roman" w:hAnsi="Times New Roman" w:cs="Times New Roman"/>
        </w:rPr>
        <w:footnoteRef/>
      </w:r>
      <w:r w:rsidRPr="009454E5">
        <w:rPr>
          <w:rFonts w:ascii="Times New Roman" w:hAnsi="Times New Roman" w:cs="Times New Roman"/>
          <w:lang w:val="fr-FR"/>
        </w:rPr>
        <w:t xml:space="preserve"> </w:t>
      </w:r>
      <w:hyperlink r:id="rId1" w:history="1">
        <w:r w:rsidRPr="00E5241C">
          <w:rPr>
            <w:rStyle w:val="Hyperlink"/>
            <w:rFonts w:ascii="Times New Roman" w:hAnsi="Times New Roman" w:cs="Times New Roman"/>
            <w:sz w:val="18"/>
            <w:szCs w:val="18"/>
            <w:lang w:val="fr-FR"/>
          </w:rPr>
          <w:t>http://www.coe.int/t/dg4/cultureheritage/nature/Bern/Institutions/Documents/2013/Misc_2013_33rdSC_E%20final.pdf</w:t>
        </w:r>
      </w:hyperlink>
      <w:r w:rsidRPr="009454E5">
        <w:rPr>
          <w:rFonts w:ascii="Times New Roman" w:hAnsi="Times New Roman" w:cs="Times New Roman"/>
          <w:sz w:val="18"/>
          <w:szCs w:val="18"/>
          <w:lang w:val="fr-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108" w:type="dxa"/>
      <w:tblLayout w:type="fixed"/>
      <w:tblCellMar>
        <w:left w:w="10" w:type="dxa"/>
        <w:right w:w="10" w:type="dxa"/>
      </w:tblCellMar>
      <w:tblLook w:val="04A0" w:firstRow="1" w:lastRow="0" w:firstColumn="1" w:lastColumn="0" w:noHBand="0" w:noVBand="1"/>
    </w:tblPr>
    <w:tblGrid>
      <w:gridCol w:w="2268"/>
      <w:gridCol w:w="4678"/>
      <w:gridCol w:w="2552"/>
    </w:tblGrid>
    <w:tr w:rsidR="00EA7A29" w:rsidRPr="00EA7A29" w:rsidTr="009F45C5">
      <w:trPr>
        <w:trHeight w:val="1256"/>
      </w:trPr>
      <w:tc>
        <w:tcPr>
          <w:tcW w:w="2268" w:type="dxa"/>
          <w:shd w:val="clear" w:color="auto" w:fill="auto"/>
          <w:tcMar>
            <w:top w:w="0" w:type="dxa"/>
            <w:left w:w="108" w:type="dxa"/>
            <w:bottom w:w="0" w:type="dxa"/>
            <w:right w:w="108" w:type="dxa"/>
          </w:tcMar>
        </w:tcPr>
        <w:p w:rsidR="00EA7A29" w:rsidRPr="00EA7A29" w:rsidRDefault="00EA7A29" w:rsidP="00EA7A29">
          <w:pPr>
            <w:suppressAutoHyphens/>
            <w:autoSpaceDN w:val="0"/>
            <w:spacing w:after="0" w:line="240" w:lineRule="auto"/>
            <w:textAlignment w:val="baseline"/>
            <w:rPr>
              <w:rFonts w:ascii="Times New Roman" w:hAnsi="Times New Roman" w:cs="Times New Roman"/>
              <w:snapToGrid/>
              <w:sz w:val="24"/>
              <w:szCs w:val="24"/>
              <w:lang w:val="fr-FR" w:eastAsia="en-US"/>
            </w:rPr>
          </w:pPr>
          <w:r w:rsidRPr="00EA7A29">
            <w:rPr>
              <w:rFonts w:ascii="Times New Roman" w:hAnsi="Times New Roman" w:cs="Times New Roman"/>
              <w:noProof/>
              <w:snapToGrid/>
              <w:sz w:val="24"/>
              <w:szCs w:val="24"/>
              <w:lang w:eastAsia="en-US"/>
            </w:rPr>
            <w:drawing>
              <wp:anchor distT="0" distB="0" distL="114300" distR="114300" simplePos="0" relativeHeight="251660288" behindDoc="1" locked="0" layoutInCell="1" allowOverlap="1" wp14:anchorId="4E5ACD55" wp14:editId="0C840874">
                <wp:simplePos x="0" y="0"/>
                <wp:positionH relativeFrom="column">
                  <wp:posOffset>0</wp:posOffset>
                </wp:positionH>
                <wp:positionV relativeFrom="paragraph">
                  <wp:posOffset>0</wp:posOffset>
                </wp:positionV>
                <wp:extent cx="760730" cy="611505"/>
                <wp:effectExtent l="0" t="0" r="1270" b="0"/>
                <wp:wrapTight wrapText="bothSides">
                  <wp:wrapPolygon edited="0">
                    <wp:start x="0" y="0"/>
                    <wp:lineTo x="0" y="20860"/>
                    <wp:lineTo x="21095" y="20860"/>
                    <wp:lineTo x="21095" y="0"/>
                    <wp:lineTo x="0" y="0"/>
                  </wp:wrapPolygon>
                </wp:wrapTight>
                <wp:docPr id="3" name="Picture 3"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60730" cy="61150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c>
        <w:tcPr>
          <w:tcW w:w="4678" w:type="dxa"/>
          <w:shd w:val="clear" w:color="auto" w:fill="auto"/>
          <w:tcMar>
            <w:top w:w="0" w:type="dxa"/>
            <w:left w:w="108" w:type="dxa"/>
            <w:bottom w:w="0" w:type="dxa"/>
            <w:right w:w="108" w:type="dxa"/>
          </w:tcMar>
        </w:tcPr>
        <w:p w:rsidR="00EA7A29" w:rsidRPr="00EA7A29" w:rsidRDefault="00EA7A29" w:rsidP="00EA7A29">
          <w:pPr>
            <w:tabs>
              <w:tab w:val="left" w:pos="2871"/>
            </w:tabs>
            <w:suppressAutoHyphens/>
            <w:autoSpaceDN w:val="0"/>
            <w:spacing w:after="0" w:line="240" w:lineRule="auto"/>
            <w:jc w:val="center"/>
            <w:textAlignment w:val="baseline"/>
            <w:rPr>
              <w:rFonts w:ascii="Times New Roman" w:hAnsi="Times New Roman" w:cs="Times New Roman"/>
              <w:snapToGrid/>
              <w:sz w:val="24"/>
              <w:szCs w:val="24"/>
              <w:lang w:val="fr-FR" w:eastAsia="en-US"/>
            </w:rPr>
          </w:pPr>
          <w:r w:rsidRPr="00EA7A29">
            <w:rPr>
              <w:rFonts w:ascii="Times New Roman" w:hAnsi="Times New Roman" w:cs="Times New Roman"/>
              <w:i/>
              <w:caps/>
              <w:snapToGrid/>
              <w:sz w:val="20"/>
              <w:szCs w:val="20"/>
              <w:lang w:val="fr-FR" w:eastAsia="en-US"/>
            </w:rPr>
            <w:t>ACCORD SUR LA CONSERVATION DES OISEAUX D’eau migrateurs D’afrique-eurasie</w:t>
          </w:r>
        </w:p>
      </w:tc>
      <w:tc>
        <w:tcPr>
          <w:tcW w:w="2552" w:type="dxa"/>
          <w:shd w:val="clear" w:color="auto" w:fill="auto"/>
          <w:tcMar>
            <w:top w:w="0" w:type="dxa"/>
            <w:left w:w="108" w:type="dxa"/>
            <w:bottom w:w="0" w:type="dxa"/>
            <w:right w:w="108" w:type="dxa"/>
          </w:tcMar>
        </w:tcPr>
        <w:p w:rsidR="00EA7A29" w:rsidRPr="00EA7A29" w:rsidRDefault="00EA7A29" w:rsidP="00EA7A29">
          <w:pPr>
            <w:suppressAutoHyphens/>
            <w:autoSpaceDN w:val="0"/>
            <w:spacing w:after="0" w:line="240" w:lineRule="auto"/>
            <w:jc w:val="right"/>
            <w:textAlignment w:val="baseline"/>
            <w:rPr>
              <w:rFonts w:ascii="Times New Roman" w:hAnsi="Times New Roman" w:cs="Times New Roman"/>
              <w:i/>
              <w:iCs/>
              <w:snapToGrid/>
              <w:sz w:val="20"/>
              <w:szCs w:val="20"/>
              <w:lang w:val="fr-FR" w:eastAsia="en-US"/>
            </w:rPr>
          </w:pPr>
          <w:r w:rsidRPr="00EA7A29">
            <w:rPr>
              <w:rFonts w:ascii="Times New Roman" w:hAnsi="Times New Roman" w:cs="Times New Roman"/>
              <w:noProof/>
              <w:snapToGrid/>
              <w:sz w:val="18"/>
              <w:szCs w:val="18"/>
              <w:lang w:eastAsia="en-US"/>
            </w:rPr>
            <w:drawing>
              <wp:anchor distT="0" distB="0" distL="114300" distR="114300" simplePos="0" relativeHeight="251659264" behindDoc="1" locked="0" layoutInCell="1" allowOverlap="1" wp14:anchorId="4045040F" wp14:editId="32B99CF3">
                <wp:simplePos x="0" y="0"/>
                <wp:positionH relativeFrom="column">
                  <wp:posOffset>779145</wp:posOffset>
                </wp:positionH>
                <wp:positionV relativeFrom="paragraph">
                  <wp:posOffset>0</wp:posOffset>
                </wp:positionV>
                <wp:extent cx="745200" cy="597600"/>
                <wp:effectExtent l="0" t="0" r="0" b="0"/>
                <wp:wrapTight wrapText="bothSides">
                  <wp:wrapPolygon edited="0">
                    <wp:start x="0" y="0"/>
                    <wp:lineTo x="0" y="20659"/>
                    <wp:lineTo x="20992" y="20659"/>
                    <wp:lineTo x="20992" y="0"/>
                    <wp:lineTo x="0" y="0"/>
                  </wp:wrapPolygon>
                </wp:wrapTight>
                <wp:docPr id="4" name="Picture 4" descr="C:\Users\jolanta.kremer\Pictures\MOP6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anta.kremer\Pictures\MOP6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45200" cy="59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7A29" w:rsidRPr="00EA7A29" w:rsidRDefault="00EA7A29" w:rsidP="00EA7A29">
          <w:pPr>
            <w:suppressAutoHyphens/>
            <w:autoSpaceDN w:val="0"/>
            <w:spacing w:after="0" w:line="240" w:lineRule="auto"/>
            <w:jc w:val="right"/>
            <w:textAlignment w:val="baseline"/>
            <w:rPr>
              <w:rFonts w:ascii="Times New Roman" w:hAnsi="Times New Roman" w:cs="Times New Roman"/>
              <w:snapToGrid/>
              <w:sz w:val="18"/>
              <w:szCs w:val="18"/>
              <w:lang w:val="fr-FR" w:eastAsia="en-US"/>
            </w:rPr>
          </w:pPr>
        </w:p>
      </w:tc>
    </w:tr>
    <w:tr w:rsidR="00EA7A29" w:rsidRPr="00EA7A29" w:rsidTr="009F45C5">
      <w:tc>
        <w:tcPr>
          <w:tcW w:w="9498" w:type="dxa"/>
          <w:gridSpan w:val="3"/>
          <w:shd w:val="clear" w:color="auto" w:fill="auto"/>
          <w:tcMar>
            <w:top w:w="0" w:type="dxa"/>
            <w:left w:w="108" w:type="dxa"/>
            <w:bottom w:w="0" w:type="dxa"/>
            <w:right w:w="108" w:type="dxa"/>
          </w:tcMar>
        </w:tcPr>
        <w:p w:rsidR="00EA7A29" w:rsidRPr="00EA7A29" w:rsidRDefault="00EA7A29" w:rsidP="00EA7A29">
          <w:pPr>
            <w:autoSpaceDN w:val="0"/>
            <w:spacing w:after="0" w:line="240" w:lineRule="auto"/>
            <w:jc w:val="center"/>
            <w:rPr>
              <w:rFonts w:ascii="Times New Roman" w:hAnsi="Times New Roman" w:cs="Times New Roman"/>
              <w:snapToGrid/>
              <w:szCs w:val="24"/>
              <w:lang w:val="fr-FR" w:eastAsia="en-US"/>
            </w:rPr>
          </w:pPr>
          <w:r w:rsidRPr="00EA7A29">
            <w:rPr>
              <w:rFonts w:ascii="Times New Roman" w:hAnsi="Times New Roman" w:cs="Times New Roman"/>
              <w:b/>
              <w:bCs/>
              <w:snapToGrid/>
              <w:sz w:val="26"/>
              <w:szCs w:val="26"/>
              <w:lang w:val="fr-FR" w:eastAsia="en-US"/>
            </w:rPr>
            <w:t>6</w:t>
          </w:r>
          <w:r w:rsidRPr="00EA7A29">
            <w:rPr>
              <w:rFonts w:ascii="Times New Roman" w:hAnsi="Times New Roman" w:cs="Times New Roman"/>
              <w:b/>
              <w:bCs/>
              <w:snapToGrid/>
              <w:sz w:val="26"/>
              <w:szCs w:val="26"/>
              <w:vertAlign w:val="superscript"/>
              <w:lang w:val="fr-FR" w:eastAsia="en-US"/>
            </w:rPr>
            <w:t>ème</w:t>
          </w:r>
          <w:r w:rsidRPr="00EA7A29">
            <w:rPr>
              <w:rFonts w:ascii="Times New Roman" w:hAnsi="Times New Roman" w:cs="Times New Roman"/>
              <w:b/>
              <w:bCs/>
              <w:snapToGrid/>
              <w:sz w:val="26"/>
              <w:szCs w:val="26"/>
              <w:lang w:val="fr-FR" w:eastAsia="en-US"/>
            </w:rPr>
            <w:t xml:space="preserve"> </w:t>
          </w:r>
          <w:r w:rsidRPr="00EA7A29">
            <w:rPr>
              <w:rFonts w:ascii="Times New Roman" w:hAnsi="Times New Roman" w:cs="Times New Roman"/>
              <w:b/>
              <w:bCs/>
              <w:caps/>
              <w:snapToGrid/>
              <w:sz w:val="26"/>
              <w:szCs w:val="26"/>
              <w:lang w:val="fr-FR" w:eastAsia="en-US"/>
            </w:rPr>
            <w:t>Session de la rÉunion des parties contractantes</w:t>
          </w:r>
        </w:p>
        <w:p w:rsidR="00EA7A29" w:rsidRPr="00EA7A29" w:rsidRDefault="00EA7A29" w:rsidP="00EA7A29">
          <w:pPr>
            <w:suppressAutoHyphens/>
            <w:autoSpaceDN w:val="0"/>
            <w:spacing w:after="0" w:line="240" w:lineRule="auto"/>
            <w:jc w:val="center"/>
            <w:textAlignment w:val="baseline"/>
            <w:rPr>
              <w:rFonts w:ascii="Times New Roman" w:hAnsi="Times New Roman" w:cs="Times New Roman"/>
              <w:snapToGrid/>
              <w:sz w:val="24"/>
              <w:szCs w:val="24"/>
              <w:lang w:val="fr-FR" w:eastAsia="en-US"/>
            </w:rPr>
          </w:pPr>
          <w:r w:rsidRPr="00EA7A29">
            <w:rPr>
              <w:rFonts w:ascii="Times New Roman" w:hAnsi="Times New Roman" w:cs="Times New Roman"/>
              <w:i/>
              <w:iCs/>
              <w:snapToGrid/>
              <w:sz w:val="24"/>
              <w:szCs w:val="24"/>
              <w:lang w:val="fr-FR" w:eastAsia="en-US"/>
            </w:rPr>
            <w:t xml:space="preserve">9-14 </w:t>
          </w:r>
          <w:proofErr w:type="gramStart"/>
          <w:r w:rsidRPr="00EA7A29">
            <w:rPr>
              <w:rFonts w:ascii="Times New Roman" w:hAnsi="Times New Roman" w:cs="Times New Roman"/>
              <w:i/>
              <w:iCs/>
              <w:snapToGrid/>
              <w:sz w:val="24"/>
              <w:szCs w:val="24"/>
              <w:lang w:val="fr-FR" w:eastAsia="en-US"/>
            </w:rPr>
            <w:t>novembre</w:t>
          </w:r>
          <w:proofErr w:type="gramEnd"/>
          <w:r w:rsidRPr="00EA7A29">
            <w:rPr>
              <w:rFonts w:ascii="Times New Roman" w:hAnsi="Times New Roman" w:cs="Times New Roman"/>
              <w:i/>
              <w:iCs/>
              <w:snapToGrid/>
              <w:sz w:val="24"/>
              <w:szCs w:val="24"/>
              <w:lang w:val="fr-FR" w:eastAsia="en-US"/>
            </w:rPr>
            <w:t xml:space="preserve"> 2015, Bonn, Allemagne</w:t>
          </w:r>
        </w:p>
      </w:tc>
    </w:tr>
    <w:tr w:rsidR="00EA7A29" w:rsidRPr="00EA7A29" w:rsidTr="009F45C5">
      <w:trPr>
        <w:trHeight w:val="702"/>
      </w:trPr>
      <w:tc>
        <w:tcPr>
          <w:tcW w:w="9498" w:type="dxa"/>
          <w:gridSpan w:val="3"/>
          <w:tcBorders>
            <w:bottom w:val="single" w:sz="8" w:space="0" w:color="000000"/>
          </w:tcBorders>
          <w:shd w:val="clear" w:color="auto" w:fill="auto"/>
          <w:tcMar>
            <w:top w:w="0" w:type="dxa"/>
            <w:left w:w="108" w:type="dxa"/>
            <w:bottom w:w="0" w:type="dxa"/>
            <w:right w:w="108" w:type="dxa"/>
          </w:tcMar>
          <w:vAlign w:val="center"/>
        </w:tcPr>
        <w:p w:rsidR="00EA7A29" w:rsidRPr="00EA7A29" w:rsidRDefault="00EA7A29" w:rsidP="00EA7A29">
          <w:pPr>
            <w:autoSpaceDN w:val="0"/>
            <w:spacing w:after="0" w:line="240" w:lineRule="auto"/>
            <w:jc w:val="center"/>
            <w:rPr>
              <w:rFonts w:ascii="Times New Roman" w:hAnsi="Times New Roman" w:cs="Times New Roman"/>
              <w:bCs/>
              <w:i/>
              <w:snapToGrid/>
              <w:sz w:val="24"/>
              <w:szCs w:val="24"/>
              <w:lang w:val="fr-FR" w:eastAsia="en-US"/>
            </w:rPr>
          </w:pPr>
          <w:r w:rsidRPr="00EA7A29">
            <w:rPr>
              <w:rFonts w:ascii="Times New Roman" w:hAnsi="Times New Roman" w:cs="Times New Roman"/>
              <w:bCs/>
              <w:i/>
              <w:snapToGrid/>
              <w:sz w:val="24"/>
              <w:szCs w:val="24"/>
              <w:lang w:val="fr-FR" w:eastAsia="en-US"/>
            </w:rPr>
            <w:t>« Concrétiser la conservation au niveau de la voie de migration »</w:t>
          </w:r>
        </w:p>
      </w:tc>
    </w:tr>
  </w:tbl>
  <w:p w:rsidR="0057575F" w:rsidRPr="00EA2D7E" w:rsidRDefault="0057575F">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6EF" w:rsidRDefault="001E06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6EF" w:rsidRDefault="001E06EF">
    <w:pPr>
      <w:pStyle w:val="Header"/>
    </w:pPr>
    <w:r>
      <w:tab/>
    </w:r>
  </w:p>
  <w:p w:rsidR="001E06EF" w:rsidRDefault="001E06EF">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9300A"/>
    <w:multiLevelType w:val="hybridMultilevel"/>
    <w:tmpl w:val="B38224B2"/>
    <w:lvl w:ilvl="0" w:tplc="3D9CF2FE">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C1C345B"/>
    <w:multiLevelType w:val="hybridMultilevel"/>
    <w:tmpl w:val="738C1B5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DDA26F8"/>
    <w:multiLevelType w:val="hybridMultilevel"/>
    <w:tmpl w:val="773CAA0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4FB24C2"/>
    <w:multiLevelType w:val="hybridMultilevel"/>
    <w:tmpl w:val="B93A75D4"/>
    <w:lvl w:ilvl="0" w:tplc="3D9CF2FE">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225F52A6"/>
    <w:multiLevelType w:val="hybridMultilevel"/>
    <w:tmpl w:val="F81AB79E"/>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DBE00AF"/>
    <w:multiLevelType w:val="hybridMultilevel"/>
    <w:tmpl w:val="3BC0856E"/>
    <w:lvl w:ilvl="0" w:tplc="460491DC">
      <w:start w:val="1"/>
      <w:numFmt w:val="decimal"/>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BC626F"/>
    <w:multiLevelType w:val="hybridMultilevel"/>
    <w:tmpl w:val="05E0A37C"/>
    <w:lvl w:ilvl="0" w:tplc="83EA23FC">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4A1F4F27"/>
    <w:multiLevelType w:val="hybridMultilevel"/>
    <w:tmpl w:val="A3B257C0"/>
    <w:lvl w:ilvl="0" w:tplc="B49C52BA">
      <w:start w:val="1"/>
      <w:numFmt w:val="decimal"/>
      <w:lvlText w:val="%1."/>
      <w:lvlJc w:val="left"/>
      <w:pPr>
        <w:ind w:left="4320" w:hanging="720"/>
      </w:pPr>
      <w:rPr>
        <w:rFonts w:hint="default"/>
        <w:b w:val="0"/>
        <w:sz w:val="22"/>
        <w:szCs w:val="22"/>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56316D0E"/>
    <w:multiLevelType w:val="multilevel"/>
    <w:tmpl w:val="32566F1E"/>
    <w:lvl w:ilvl="0">
      <w:start w:val="1"/>
      <w:numFmt w:val="decimal"/>
      <w:pStyle w:val="Heading1"/>
      <w:lvlText w:val="%1"/>
      <w:lvlJc w:val="left"/>
      <w:pPr>
        <w:tabs>
          <w:tab w:val="num" w:pos="360"/>
        </w:tabs>
      </w:pPr>
      <w:rPr>
        <w:rFonts w:ascii="Garamond" w:hAnsi="Garamond" w:cs="Garamond" w:hint="default"/>
        <w:b/>
        <w:bCs/>
        <w:i w:val="0"/>
        <w:iCs w:val="0"/>
        <w:sz w:val="24"/>
        <w:szCs w:val="24"/>
      </w:rPr>
    </w:lvl>
    <w:lvl w:ilvl="1">
      <w:start w:val="1"/>
      <w:numFmt w:val="decimal"/>
      <w:pStyle w:val="Heading2"/>
      <w:lvlText w:val="%1.%2"/>
      <w:lvlJc w:val="left"/>
      <w:pPr>
        <w:tabs>
          <w:tab w:val="num" w:pos="720"/>
        </w:tabs>
        <w:ind w:left="360" w:hanging="360"/>
      </w:pPr>
      <w:rPr>
        <w:rFonts w:ascii="Garamond" w:hAnsi="Garamond" w:cs="Garamond" w:hint="default"/>
        <w:b/>
        <w:bCs/>
        <w:i w:val="0"/>
        <w:iCs w:val="0"/>
        <w:sz w:val="24"/>
        <w:szCs w:val="24"/>
      </w:rPr>
    </w:lvl>
    <w:lvl w:ilvl="2">
      <w:start w:val="1"/>
      <w:numFmt w:val="decimal"/>
      <w:lvlText w:val="%1.%2.%3"/>
      <w:lvlJc w:val="left"/>
      <w:pPr>
        <w:tabs>
          <w:tab w:val="num" w:pos="1080"/>
        </w:tabs>
        <w:ind w:left="720" w:hanging="360"/>
      </w:pPr>
      <w:rPr>
        <w:rFonts w:ascii="Garamond" w:hAnsi="Garamond" w:cs="Garamond" w:hint="default"/>
        <w:b w:val="0"/>
        <w:bCs w:val="0"/>
        <w:i w:val="0"/>
        <w:iCs w:val="0"/>
        <w:sz w:val="24"/>
        <w:szCs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9" w15:restartNumberingAfterBreak="0">
    <w:nsid w:val="6E4802A7"/>
    <w:multiLevelType w:val="hybridMultilevel"/>
    <w:tmpl w:val="49FA69B4"/>
    <w:lvl w:ilvl="0" w:tplc="4882FF4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42D2161"/>
    <w:multiLevelType w:val="hybridMultilevel"/>
    <w:tmpl w:val="8954E83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8"/>
  </w:num>
  <w:num w:numId="3">
    <w:abstractNumId w:val="7"/>
  </w:num>
  <w:num w:numId="4">
    <w:abstractNumId w:val="6"/>
  </w:num>
  <w:num w:numId="5">
    <w:abstractNumId w:val="0"/>
  </w:num>
  <w:num w:numId="6">
    <w:abstractNumId w:val="3"/>
  </w:num>
  <w:num w:numId="7">
    <w:abstractNumId w:val="5"/>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C2"/>
    <w:rsid w:val="00013DFE"/>
    <w:rsid w:val="000170C6"/>
    <w:rsid w:val="00026509"/>
    <w:rsid w:val="000368F8"/>
    <w:rsid w:val="0004224E"/>
    <w:rsid w:val="00043993"/>
    <w:rsid w:val="00043B0E"/>
    <w:rsid w:val="00050C5B"/>
    <w:rsid w:val="0005210B"/>
    <w:rsid w:val="000528ED"/>
    <w:rsid w:val="000668A3"/>
    <w:rsid w:val="00072B27"/>
    <w:rsid w:val="000779C5"/>
    <w:rsid w:val="00086DC0"/>
    <w:rsid w:val="00091FC3"/>
    <w:rsid w:val="00093E08"/>
    <w:rsid w:val="00096846"/>
    <w:rsid w:val="000B0AA3"/>
    <w:rsid w:val="000B242B"/>
    <w:rsid w:val="000B6265"/>
    <w:rsid w:val="000B6CEE"/>
    <w:rsid w:val="000C5D09"/>
    <w:rsid w:val="000C7969"/>
    <w:rsid w:val="000D1E10"/>
    <w:rsid w:val="000D2FBB"/>
    <w:rsid w:val="000D35D9"/>
    <w:rsid w:val="000D441E"/>
    <w:rsid w:val="000E519A"/>
    <w:rsid w:val="000F27E4"/>
    <w:rsid w:val="000F2A4F"/>
    <w:rsid w:val="00100827"/>
    <w:rsid w:val="00110A08"/>
    <w:rsid w:val="001134CB"/>
    <w:rsid w:val="00131DF2"/>
    <w:rsid w:val="001357D5"/>
    <w:rsid w:val="001359A4"/>
    <w:rsid w:val="00152BE8"/>
    <w:rsid w:val="0016066F"/>
    <w:rsid w:val="00167385"/>
    <w:rsid w:val="00177920"/>
    <w:rsid w:val="00184C9B"/>
    <w:rsid w:val="00190DBF"/>
    <w:rsid w:val="001927C3"/>
    <w:rsid w:val="001A4E2B"/>
    <w:rsid w:val="001B20E5"/>
    <w:rsid w:val="001C08F0"/>
    <w:rsid w:val="001C6EF1"/>
    <w:rsid w:val="001D3AAC"/>
    <w:rsid w:val="001E06EF"/>
    <w:rsid w:val="0020611A"/>
    <w:rsid w:val="00206875"/>
    <w:rsid w:val="00230176"/>
    <w:rsid w:val="00256E57"/>
    <w:rsid w:val="00277700"/>
    <w:rsid w:val="00292EED"/>
    <w:rsid w:val="002956B4"/>
    <w:rsid w:val="002B6D2B"/>
    <w:rsid w:val="002E11DF"/>
    <w:rsid w:val="002E3627"/>
    <w:rsid w:val="002E3BBC"/>
    <w:rsid w:val="002E3FCE"/>
    <w:rsid w:val="002E5D3C"/>
    <w:rsid w:val="002F2CA5"/>
    <w:rsid w:val="003006D2"/>
    <w:rsid w:val="0030209D"/>
    <w:rsid w:val="0030696A"/>
    <w:rsid w:val="0031279E"/>
    <w:rsid w:val="00320FBF"/>
    <w:rsid w:val="00325CD6"/>
    <w:rsid w:val="00334BA8"/>
    <w:rsid w:val="00335B44"/>
    <w:rsid w:val="00342448"/>
    <w:rsid w:val="003647B8"/>
    <w:rsid w:val="00373DE0"/>
    <w:rsid w:val="0037577F"/>
    <w:rsid w:val="00380583"/>
    <w:rsid w:val="0038322B"/>
    <w:rsid w:val="003954AC"/>
    <w:rsid w:val="003A100B"/>
    <w:rsid w:val="003B7299"/>
    <w:rsid w:val="003C237A"/>
    <w:rsid w:val="003C288E"/>
    <w:rsid w:val="003C4B52"/>
    <w:rsid w:val="003D6826"/>
    <w:rsid w:val="003E1D08"/>
    <w:rsid w:val="003E6809"/>
    <w:rsid w:val="00400823"/>
    <w:rsid w:val="00404883"/>
    <w:rsid w:val="00404E12"/>
    <w:rsid w:val="0041020C"/>
    <w:rsid w:val="0041502E"/>
    <w:rsid w:val="00422464"/>
    <w:rsid w:val="00423271"/>
    <w:rsid w:val="00425F10"/>
    <w:rsid w:val="0043166B"/>
    <w:rsid w:val="00431ECE"/>
    <w:rsid w:val="00441AE4"/>
    <w:rsid w:val="00443115"/>
    <w:rsid w:val="004436CF"/>
    <w:rsid w:val="0045246B"/>
    <w:rsid w:val="00481534"/>
    <w:rsid w:val="00484138"/>
    <w:rsid w:val="00484C7E"/>
    <w:rsid w:val="0048570D"/>
    <w:rsid w:val="00490719"/>
    <w:rsid w:val="004A3185"/>
    <w:rsid w:val="004A4B9C"/>
    <w:rsid w:val="004D459C"/>
    <w:rsid w:val="004D4760"/>
    <w:rsid w:val="004D530F"/>
    <w:rsid w:val="004D56EB"/>
    <w:rsid w:val="004E0F21"/>
    <w:rsid w:val="004E1DD3"/>
    <w:rsid w:val="004F1A50"/>
    <w:rsid w:val="004F29B3"/>
    <w:rsid w:val="005026C4"/>
    <w:rsid w:val="00511F83"/>
    <w:rsid w:val="005120E2"/>
    <w:rsid w:val="005152A8"/>
    <w:rsid w:val="00543C14"/>
    <w:rsid w:val="0057575F"/>
    <w:rsid w:val="0058394E"/>
    <w:rsid w:val="00584080"/>
    <w:rsid w:val="00592008"/>
    <w:rsid w:val="00597C0B"/>
    <w:rsid w:val="005A02E9"/>
    <w:rsid w:val="005A375E"/>
    <w:rsid w:val="005B7362"/>
    <w:rsid w:val="005C7229"/>
    <w:rsid w:val="005D63EA"/>
    <w:rsid w:val="005F2CD5"/>
    <w:rsid w:val="005F2E61"/>
    <w:rsid w:val="005F2FAB"/>
    <w:rsid w:val="005F55C3"/>
    <w:rsid w:val="005F5E83"/>
    <w:rsid w:val="005F6F5E"/>
    <w:rsid w:val="005F7307"/>
    <w:rsid w:val="005F7A91"/>
    <w:rsid w:val="0061035F"/>
    <w:rsid w:val="00633A4E"/>
    <w:rsid w:val="006356F9"/>
    <w:rsid w:val="00636F56"/>
    <w:rsid w:val="00642767"/>
    <w:rsid w:val="006445C0"/>
    <w:rsid w:val="006462C1"/>
    <w:rsid w:val="006608BF"/>
    <w:rsid w:val="00663A4C"/>
    <w:rsid w:val="00664876"/>
    <w:rsid w:val="00670E99"/>
    <w:rsid w:val="00671D6D"/>
    <w:rsid w:val="00675239"/>
    <w:rsid w:val="00680948"/>
    <w:rsid w:val="006905EA"/>
    <w:rsid w:val="006972DA"/>
    <w:rsid w:val="006A5285"/>
    <w:rsid w:val="006B199F"/>
    <w:rsid w:val="006B413F"/>
    <w:rsid w:val="006C0947"/>
    <w:rsid w:val="006D1806"/>
    <w:rsid w:val="006D3424"/>
    <w:rsid w:val="006D40F5"/>
    <w:rsid w:val="006E1C76"/>
    <w:rsid w:val="00705C1A"/>
    <w:rsid w:val="00705E6B"/>
    <w:rsid w:val="00711E31"/>
    <w:rsid w:val="00713571"/>
    <w:rsid w:val="00716F17"/>
    <w:rsid w:val="007248EB"/>
    <w:rsid w:val="00731DA8"/>
    <w:rsid w:val="007340A1"/>
    <w:rsid w:val="00740ABD"/>
    <w:rsid w:val="007516FB"/>
    <w:rsid w:val="00753FA8"/>
    <w:rsid w:val="00754FB4"/>
    <w:rsid w:val="00762ACA"/>
    <w:rsid w:val="00763E28"/>
    <w:rsid w:val="0078135D"/>
    <w:rsid w:val="007875C2"/>
    <w:rsid w:val="00793399"/>
    <w:rsid w:val="007A5A4B"/>
    <w:rsid w:val="007A5EB8"/>
    <w:rsid w:val="007B11BD"/>
    <w:rsid w:val="007C1F93"/>
    <w:rsid w:val="007E2284"/>
    <w:rsid w:val="007F1467"/>
    <w:rsid w:val="00800F17"/>
    <w:rsid w:val="00817B1D"/>
    <w:rsid w:val="00825BAE"/>
    <w:rsid w:val="00830852"/>
    <w:rsid w:val="00833159"/>
    <w:rsid w:val="008412B3"/>
    <w:rsid w:val="0085089C"/>
    <w:rsid w:val="0085386D"/>
    <w:rsid w:val="00855E61"/>
    <w:rsid w:val="00863761"/>
    <w:rsid w:val="00863DDF"/>
    <w:rsid w:val="008728F9"/>
    <w:rsid w:val="00873CDF"/>
    <w:rsid w:val="00884E0A"/>
    <w:rsid w:val="008864A5"/>
    <w:rsid w:val="00890249"/>
    <w:rsid w:val="008949A9"/>
    <w:rsid w:val="00897EE2"/>
    <w:rsid w:val="008A3115"/>
    <w:rsid w:val="008A4657"/>
    <w:rsid w:val="008A53AD"/>
    <w:rsid w:val="008B08D6"/>
    <w:rsid w:val="008C5F0E"/>
    <w:rsid w:val="008D0C1F"/>
    <w:rsid w:val="008D5B40"/>
    <w:rsid w:val="008E768F"/>
    <w:rsid w:val="00912278"/>
    <w:rsid w:val="009142E6"/>
    <w:rsid w:val="00914DBD"/>
    <w:rsid w:val="00917F4D"/>
    <w:rsid w:val="0093071B"/>
    <w:rsid w:val="00934F89"/>
    <w:rsid w:val="009379E2"/>
    <w:rsid w:val="009454C1"/>
    <w:rsid w:val="009454E5"/>
    <w:rsid w:val="00961B6D"/>
    <w:rsid w:val="00971023"/>
    <w:rsid w:val="00975EE6"/>
    <w:rsid w:val="00976ECA"/>
    <w:rsid w:val="0098538E"/>
    <w:rsid w:val="009964FD"/>
    <w:rsid w:val="0099727A"/>
    <w:rsid w:val="00997527"/>
    <w:rsid w:val="009A3BF7"/>
    <w:rsid w:val="009B3F76"/>
    <w:rsid w:val="009B711C"/>
    <w:rsid w:val="009C6088"/>
    <w:rsid w:val="009D03D0"/>
    <w:rsid w:val="009D10CE"/>
    <w:rsid w:val="00A0049E"/>
    <w:rsid w:val="00A0073E"/>
    <w:rsid w:val="00A04005"/>
    <w:rsid w:val="00A353DE"/>
    <w:rsid w:val="00A37DD0"/>
    <w:rsid w:val="00A51440"/>
    <w:rsid w:val="00A518C6"/>
    <w:rsid w:val="00A606CF"/>
    <w:rsid w:val="00A6119E"/>
    <w:rsid w:val="00A62668"/>
    <w:rsid w:val="00A9179D"/>
    <w:rsid w:val="00AA693C"/>
    <w:rsid w:val="00AB3E96"/>
    <w:rsid w:val="00AE2ADA"/>
    <w:rsid w:val="00AE3FCA"/>
    <w:rsid w:val="00AF041E"/>
    <w:rsid w:val="00AF772D"/>
    <w:rsid w:val="00B022F4"/>
    <w:rsid w:val="00B0577F"/>
    <w:rsid w:val="00B07954"/>
    <w:rsid w:val="00B11EC5"/>
    <w:rsid w:val="00B30D88"/>
    <w:rsid w:val="00B32C21"/>
    <w:rsid w:val="00B7013C"/>
    <w:rsid w:val="00B739A0"/>
    <w:rsid w:val="00B73A56"/>
    <w:rsid w:val="00B8472B"/>
    <w:rsid w:val="00BA10DE"/>
    <w:rsid w:val="00BA1CEF"/>
    <w:rsid w:val="00BB3308"/>
    <w:rsid w:val="00BD1359"/>
    <w:rsid w:val="00BD6602"/>
    <w:rsid w:val="00BD78E7"/>
    <w:rsid w:val="00BE5DEC"/>
    <w:rsid w:val="00BF0042"/>
    <w:rsid w:val="00BF0E39"/>
    <w:rsid w:val="00BF3FE0"/>
    <w:rsid w:val="00BF4C78"/>
    <w:rsid w:val="00BF4E3E"/>
    <w:rsid w:val="00BF6CBC"/>
    <w:rsid w:val="00C06BDB"/>
    <w:rsid w:val="00C115CC"/>
    <w:rsid w:val="00C24133"/>
    <w:rsid w:val="00C263AD"/>
    <w:rsid w:val="00C34CF1"/>
    <w:rsid w:val="00C443D2"/>
    <w:rsid w:val="00C57169"/>
    <w:rsid w:val="00C61B76"/>
    <w:rsid w:val="00C63435"/>
    <w:rsid w:val="00C775C4"/>
    <w:rsid w:val="00C915A3"/>
    <w:rsid w:val="00CD4122"/>
    <w:rsid w:val="00CE2678"/>
    <w:rsid w:val="00CE345C"/>
    <w:rsid w:val="00CE4363"/>
    <w:rsid w:val="00CF6554"/>
    <w:rsid w:val="00D0506A"/>
    <w:rsid w:val="00D068DB"/>
    <w:rsid w:val="00D0719D"/>
    <w:rsid w:val="00D07785"/>
    <w:rsid w:val="00D10713"/>
    <w:rsid w:val="00D126E8"/>
    <w:rsid w:val="00D14C1D"/>
    <w:rsid w:val="00D16AB8"/>
    <w:rsid w:val="00D40943"/>
    <w:rsid w:val="00D50D54"/>
    <w:rsid w:val="00D60ED5"/>
    <w:rsid w:val="00D668B7"/>
    <w:rsid w:val="00D73BE5"/>
    <w:rsid w:val="00D758C2"/>
    <w:rsid w:val="00D75EED"/>
    <w:rsid w:val="00D7674D"/>
    <w:rsid w:val="00D77867"/>
    <w:rsid w:val="00D83CF7"/>
    <w:rsid w:val="00D90E20"/>
    <w:rsid w:val="00D95A51"/>
    <w:rsid w:val="00D97C88"/>
    <w:rsid w:val="00DB5B31"/>
    <w:rsid w:val="00DC6988"/>
    <w:rsid w:val="00DD506A"/>
    <w:rsid w:val="00DE1689"/>
    <w:rsid w:val="00DE2A42"/>
    <w:rsid w:val="00DF1279"/>
    <w:rsid w:val="00DF6EA5"/>
    <w:rsid w:val="00DF7EE4"/>
    <w:rsid w:val="00E02EFC"/>
    <w:rsid w:val="00E1307A"/>
    <w:rsid w:val="00E261DA"/>
    <w:rsid w:val="00E51B11"/>
    <w:rsid w:val="00E5241C"/>
    <w:rsid w:val="00E60378"/>
    <w:rsid w:val="00E676C2"/>
    <w:rsid w:val="00E70527"/>
    <w:rsid w:val="00E75F0A"/>
    <w:rsid w:val="00E76BFF"/>
    <w:rsid w:val="00E80CDE"/>
    <w:rsid w:val="00E82D75"/>
    <w:rsid w:val="00E94ED9"/>
    <w:rsid w:val="00E968B1"/>
    <w:rsid w:val="00EA2D7E"/>
    <w:rsid w:val="00EA7A29"/>
    <w:rsid w:val="00EA7B8C"/>
    <w:rsid w:val="00EB36FA"/>
    <w:rsid w:val="00EC65B2"/>
    <w:rsid w:val="00ED7CFD"/>
    <w:rsid w:val="00EE0F62"/>
    <w:rsid w:val="00EF2055"/>
    <w:rsid w:val="00F06093"/>
    <w:rsid w:val="00F150A0"/>
    <w:rsid w:val="00F16D2A"/>
    <w:rsid w:val="00F31131"/>
    <w:rsid w:val="00F3282E"/>
    <w:rsid w:val="00F353BF"/>
    <w:rsid w:val="00F616FC"/>
    <w:rsid w:val="00F6174A"/>
    <w:rsid w:val="00F63CDB"/>
    <w:rsid w:val="00F658D8"/>
    <w:rsid w:val="00F726FE"/>
    <w:rsid w:val="00F757CA"/>
    <w:rsid w:val="00F851BF"/>
    <w:rsid w:val="00F90058"/>
    <w:rsid w:val="00F9248F"/>
    <w:rsid w:val="00FC190D"/>
    <w:rsid w:val="00FC754C"/>
    <w:rsid w:val="00FD69A7"/>
    <w:rsid w:val="00FE4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C83BA11-75E2-4774-A9C4-C9B0E63B7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cs="Calibri"/>
      <w:snapToGrid w:val="0"/>
      <w:sz w:val="22"/>
      <w:szCs w:val="22"/>
      <w:lang w:eastAsia="fr-FR"/>
    </w:rPr>
  </w:style>
  <w:style w:type="paragraph" w:styleId="Heading1">
    <w:name w:val="heading 1"/>
    <w:basedOn w:val="Normal"/>
    <w:next w:val="Normal"/>
    <w:link w:val="CommentReference"/>
    <w:qFormat/>
    <w:pPr>
      <w:keepNext/>
      <w:numPr>
        <w:numId w:val="2"/>
      </w:numPr>
      <w:spacing w:after="0" w:line="240" w:lineRule="auto"/>
      <w:outlineLvl w:val="0"/>
    </w:pPr>
    <w:rPr>
      <w:rFonts w:ascii="Times New Roman" w:hAnsi="Times New Roman" w:cs="Times New Roman"/>
      <w:b/>
      <w:bCs/>
      <w:sz w:val="24"/>
      <w:szCs w:val="24"/>
      <w:lang w:val="en-GB"/>
    </w:rPr>
  </w:style>
  <w:style w:type="paragraph" w:styleId="Heading2">
    <w:name w:val="heading 2"/>
    <w:basedOn w:val="Normal"/>
    <w:next w:val="Normal"/>
    <w:link w:val="Strong"/>
    <w:qFormat/>
    <w:pPr>
      <w:keepNext/>
      <w:numPr>
        <w:ilvl w:val="1"/>
        <w:numId w:val="2"/>
      </w:numPr>
      <w:spacing w:before="240" w:after="60" w:line="240" w:lineRule="auto"/>
      <w:outlineLvl w:val="1"/>
    </w:pPr>
    <w:rPr>
      <w:rFonts w:ascii="Arial" w:hAnsi="Arial" w:cs="Arial"/>
      <w:b/>
      <w:bCs/>
      <w:i/>
      <w:iCs/>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Times New Roman" w:hAnsi="Times New Roman" w:cs="Times New Roman"/>
      <w:b/>
      <w:bCs/>
      <w:sz w:val="24"/>
      <w:szCs w:val="24"/>
      <w:lang w:val="en-GB"/>
    </w:rPr>
  </w:style>
  <w:style w:type="character" w:customStyle="1" w:styleId="Heading2Char">
    <w:name w:val="Heading 2 Char"/>
    <w:rPr>
      <w:rFonts w:ascii="Arial" w:hAnsi="Arial" w:cs="Arial"/>
      <w:b/>
      <w:bCs/>
      <w:i/>
      <w:iCs/>
      <w:sz w:val="28"/>
      <w:szCs w:val="28"/>
    </w:rPr>
  </w:style>
  <w:style w:type="paragraph" w:styleId="ListParagraph">
    <w:name w:val="List Paragraph"/>
    <w:basedOn w:val="Normal"/>
    <w:qFormat/>
    <w:pPr>
      <w:ind w:left="720"/>
      <w:contextualSpacing/>
    </w:pPr>
  </w:style>
  <w:style w:type="paragraph" w:styleId="BodyText3">
    <w:name w:val="Body Text 3"/>
    <w:basedOn w:val="Normal"/>
    <w:pPr>
      <w:spacing w:after="0" w:line="240" w:lineRule="auto"/>
      <w:jc w:val="center"/>
    </w:pPr>
    <w:rPr>
      <w:rFonts w:ascii="Times New Roman" w:hAnsi="Times New Roman" w:cs="Times New Roman"/>
      <w:b/>
      <w:bCs/>
      <w:sz w:val="28"/>
      <w:szCs w:val="28"/>
      <w:lang w:val="en-GB"/>
    </w:rPr>
  </w:style>
  <w:style w:type="character" w:customStyle="1" w:styleId="BodyText3Char">
    <w:name w:val="Body Text 3 Char"/>
    <w:rPr>
      <w:rFonts w:ascii="Times New Roman" w:hAnsi="Times New Roman" w:cs="Times New Roman"/>
      <w:b/>
      <w:bCs/>
      <w:sz w:val="24"/>
      <w:szCs w:val="24"/>
      <w:lang w:val="en-GB"/>
    </w:rPr>
  </w:style>
  <w:style w:type="paragraph" w:customStyle="1" w:styleId="Default">
    <w:name w:val="Default"/>
    <w:basedOn w:val="Normal"/>
    <w:pPr>
      <w:autoSpaceDE w:val="0"/>
      <w:autoSpaceDN w:val="0"/>
      <w:spacing w:after="0" w:line="240" w:lineRule="auto"/>
    </w:pPr>
    <w:rPr>
      <w:color w:val="000000"/>
      <w:sz w:val="24"/>
      <w:szCs w:val="24"/>
    </w:rPr>
  </w:style>
  <w:style w:type="character" w:styleId="CommentReference">
    <w:name w:val="annotation reference"/>
    <w:aliases w:val="Heading 1 Char1"/>
    <w:link w:val="Heading1"/>
    <w:semiHidden/>
    <w:rPr>
      <w:sz w:val="16"/>
      <w:szCs w:val="16"/>
    </w:rPr>
  </w:style>
  <w:style w:type="paragraph" w:styleId="CommentText">
    <w:name w:val="annotation text"/>
    <w:basedOn w:val="Normal"/>
    <w:semiHidden/>
    <w:pPr>
      <w:spacing w:line="240" w:lineRule="auto"/>
    </w:pPr>
    <w:rPr>
      <w:sz w:val="20"/>
      <w:szCs w:val="20"/>
      <w:lang w:val="fr-FR"/>
    </w:rPr>
  </w:style>
  <w:style w:type="character" w:customStyle="1" w:styleId="CommentTextChar">
    <w:name w:val="Comment Text Char"/>
    <w:semiHidden/>
    <w:rPr>
      <w:sz w:val="20"/>
      <w:szCs w:val="20"/>
    </w:rPr>
  </w:style>
  <w:style w:type="paragraph" w:styleId="BalloonText">
    <w:name w:val="Balloon Text"/>
    <w:basedOn w:val="Normal"/>
    <w:semiHidden/>
    <w:pPr>
      <w:spacing w:after="0" w:line="240" w:lineRule="auto"/>
    </w:pPr>
    <w:rPr>
      <w:rFonts w:ascii="Times New Roman" w:hAnsi="Times New Roman" w:cs="Times New Roman"/>
      <w:sz w:val="16"/>
      <w:szCs w:val="16"/>
      <w:lang w:val="fr-FR"/>
    </w:rPr>
  </w:style>
  <w:style w:type="character" w:customStyle="1" w:styleId="BalloonTextChar">
    <w:name w:val="Balloon Text Char"/>
    <w:semiHidden/>
    <w:rPr>
      <w:rFonts w:ascii="Times New Roman" w:hAnsi="Times New Roman" w:cs="Times New Roman"/>
      <w:sz w:val="16"/>
      <w:szCs w:val="16"/>
    </w:rPr>
  </w:style>
  <w:style w:type="paragraph" w:styleId="CommentSubject">
    <w:name w:val="annotation subject"/>
    <w:basedOn w:val="CommentText"/>
    <w:next w:val="CommentText"/>
    <w:semiHidden/>
    <w:rPr>
      <w:b/>
      <w:bCs/>
    </w:rPr>
  </w:style>
  <w:style w:type="character" w:customStyle="1" w:styleId="CommentSubjectChar">
    <w:name w:val="Comment Subject Char"/>
    <w:semiHidden/>
    <w:rPr>
      <w:b/>
      <w:bCs/>
      <w:sz w:val="20"/>
      <w:szCs w:val="20"/>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 w:type="character" w:styleId="Hyperlink">
    <w:name w:val="Hyperlink"/>
    <w:rPr>
      <w:color w:val="0000FF"/>
      <w:u w:val="single"/>
    </w:rPr>
  </w:style>
  <w:style w:type="character" w:styleId="FollowedHyperlink">
    <w:name w:val="FollowedHyperlink"/>
    <w:semiHidden/>
    <w:rPr>
      <w:color w:val="800080"/>
      <w:u w:val="single"/>
    </w:rPr>
  </w:style>
  <w:style w:type="table" w:styleId="TableGrid">
    <w:name w:val="Table Grid"/>
    <w:basedOn w:val="TableNormal"/>
    <w:rPr>
      <w:rFonts w:ascii="Calibri" w:hAnsi="Calibri" w:cs="Calibri"/>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imes New Roman" w:hAnsi="Times New Roman" w:cs="Times New Roman"/>
      <w:sz w:val="20"/>
      <w:szCs w:val="20"/>
    </w:rPr>
  </w:style>
  <w:style w:type="character" w:customStyle="1" w:styleId="DocumentMapChar">
    <w:name w:val="Document Map Char"/>
    <w:semiHidden/>
    <w:rPr>
      <w:rFonts w:ascii="Times New Roman" w:hAnsi="Times New Roman" w:cs="Times New Roman"/>
      <w:sz w:val="2"/>
      <w:szCs w:val="2"/>
      <w:lang w:val="en-US"/>
    </w:rPr>
  </w:style>
  <w:style w:type="paragraph" w:styleId="BodyTextIndent">
    <w:name w:val="Body Text Indent"/>
    <w:basedOn w:val="Normal"/>
    <w:semiHidden/>
    <w:pPr>
      <w:spacing w:after="120" w:line="480" w:lineRule="auto"/>
    </w:pPr>
  </w:style>
  <w:style w:type="character" w:customStyle="1" w:styleId="BodyText2Char">
    <w:name w:val="Body Text 2 Char"/>
    <w:semiHidden/>
    <w:rPr>
      <w:sz w:val="22"/>
      <w:szCs w:val="22"/>
      <w:lang w:val="en-US"/>
    </w:rPr>
  </w:style>
  <w:style w:type="character" w:customStyle="1" w:styleId="NoSpacingChar">
    <w:name w:val="No Spacing Char"/>
    <w:basedOn w:val="DefaultParagraphFont"/>
  </w:style>
  <w:style w:type="paragraph" w:styleId="NoSpacing">
    <w:name w:val="No Spacing"/>
    <w:basedOn w:val="Normal"/>
    <w:qFormat/>
    <w:pPr>
      <w:spacing w:after="0" w:line="240" w:lineRule="auto"/>
    </w:pPr>
    <w:rPr>
      <w:sz w:val="20"/>
      <w:szCs w:val="20"/>
      <w:lang w:val="en-GB"/>
    </w:rPr>
  </w:style>
  <w:style w:type="paragraph" w:styleId="FootnoteText">
    <w:name w:val="footnote text"/>
    <w:basedOn w:val="Normal"/>
    <w:uiPriority w:val="99"/>
    <w:semiHidden/>
    <w:pPr>
      <w:spacing w:after="0" w:line="240" w:lineRule="auto"/>
    </w:pPr>
    <w:rPr>
      <w:rFonts w:ascii="Arial" w:hAnsi="Arial" w:cs="Arial"/>
      <w:sz w:val="20"/>
      <w:szCs w:val="20"/>
      <w:lang w:val="en-GB"/>
    </w:rPr>
  </w:style>
  <w:style w:type="character" w:customStyle="1" w:styleId="FootnoteTextChar">
    <w:name w:val="Footnote Text Char"/>
    <w:uiPriority w:val="99"/>
    <w:semiHidden/>
    <w:rPr>
      <w:rFonts w:ascii="Arial" w:hAnsi="Arial" w:cs="Arial"/>
      <w:lang w:val="x-none"/>
    </w:rPr>
  </w:style>
  <w:style w:type="character" w:styleId="FootnoteReference">
    <w:name w:val="footnote reference"/>
    <w:uiPriority w:val="99"/>
    <w:semiHidden/>
    <w:rPr>
      <w:vertAlign w:val="superscript"/>
    </w:rPr>
  </w:style>
  <w:style w:type="character" w:styleId="Strong">
    <w:name w:val="Strong"/>
    <w:aliases w:val="Heading 2 Char1"/>
    <w:link w:val="Heading2"/>
    <w:qFormat/>
    <w:rPr>
      <w:b/>
      <w:bCs/>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BodyText2">
    <w:name w:val="Body Text 2"/>
    <w:basedOn w:val="Normal"/>
    <w:link w:val="BodyText2Char1"/>
    <w:uiPriority w:val="99"/>
    <w:semiHidden/>
    <w:unhideWhenUsed/>
    <w:rsid w:val="000D1E10"/>
    <w:pPr>
      <w:spacing w:after="120" w:line="480" w:lineRule="auto"/>
    </w:pPr>
  </w:style>
  <w:style w:type="character" w:customStyle="1" w:styleId="BodyText2Char1">
    <w:name w:val="Body Text 2 Char1"/>
    <w:basedOn w:val="DefaultParagraphFont"/>
    <w:link w:val="BodyText2"/>
    <w:uiPriority w:val="99"/>
    <w:semiHidden/>
    <w:rsid w:val="000D1E10"/>
    <w:rPr>
      <w:rFonts w:ascii="Calibri" w:hAnsi="Calibri" w:cs="Calibri"/>
      <w:snapToGrid w:val="0"/>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e.int/t/dg4/cultureheritage/nature/Bern/Institutions/Documents/2013/Misc_2013_33rdSC_E%20final.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FD4F8-4A01-4B15-B945-8D2CEE45E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2140</Words>
  <Characters>12321</Characters>
  <Application>Microsoft Office Word</Application>
  <DocSecurity>0</DocSecurity>
  <Lines>102</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RESOLUTION</vt:lpstr>
      <vt:lpstr>RESOLUTION</vt:lpstr>
    </vt:vector>
  </TitlesOfParts>
  <Company>Joint Nature Conservation Committee</Company>
  <LinksUpToDate>false</LinksUpToDate>
  <CharactersWithSpaces>14433</CharactersWithSpaces>
  <SharedDoc>false</SharedDoc>
  <HLinks>
    <vt:vector size="6" baseType="variant">
      <vt:variant>
        <vt:i4>720994</vt:i4>
      </vt:variant>
      <vt:variant>
        <vt:i4>0</vt:i4>
      </vt:variant>
      <vt:variant>
        <vt:i4>0</vt:i4>
      </vt:variant>
      <vt:variant>
        <vt:i4>5</vt:i4>
      </vt:variant>
      <vt:variant>
        <vt:lpwstr>http://www.coe.int/t/dg4/cultureheritage/nature/Bern/Institutions/Documents/2013/Misc_2013_33rdSC_E final.pdf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subject/>
  <dc:creator>Nina Mikander (UNEP/AEWA Secretariat)</dc:creator>
  <cp:keywords/>
  <dc:description/>
  <cp:lastModifiedBy>Melanie Jakuttek (UNEP/AEWA Secretariat)</cp:lastModifiedBy>
  <cp:revision>2</cp:revision>
  <cp:lastPrinted>2015-11-13T18:01:00Z</cp:lastPrinted>
  <dcterms:created xsi:type="dcterms:W3CDTF">2015-11-27T09:52:00Z</dcterms:created>
  <dcterms:modified xsi:type="dcterms:W3CDTF">2015-11-27T09:52:00Z</dcterms:modified>
</cp:coreProperties>
</file>