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93B6C" w14:textId="50E2B395" w:rsidR="000404F3" w:rsidRDefault="00935CF7" w:rsidP="00935CF7">
      <w:pPr>
        <w:jc w:val="center"/>
      </w:pPr>
      <w:r>
        <w:t>RESOLUTION 6.</w:t>
      </w:r>
      <w:r w:rsidR="008D2B4D">
        <w:t>10</w:t>
      </w:r>
      <w:r>
        <w:t xml:space="preserve"> </w:t>
      </w:r>
    </w:p>
    <w:p w14:paraId="49599705" w14:textId="77777777" w:rsidR="00935CF7" w:rsidRPr="008D2B4D" w:rsidRDefault="00935CF7" w:rsidP="00935CF7">
      <w:pPr>
        <w:jc w:val="center"/>
        <w:rPr>
          <w:sz w:val="22"/>
          <w:szCs w:val="22"/>
        </w:rPr>
      </w:pPr>
    </w:p>
    <w:p w14:paraId="577FAFA2" w14:textId="77777777" w:rsidR="000404F3" w:rsidRPr="005833A2" w:rsidRDefault="005833A2" w:rsidP="005833A2">
      <w:pPr>
        <w:jc w:val="center"/>
        <w:rPr>
          <w:b/>
        </w:rPr>
      </w:pPr>
      <w:r w:rsidRPr="005833A2">
        <w:rPr>
          <w:b/>
        </w:rPr>
        <w:t>COMMUNICATION STRATEGY</w:t>
      </w:r>
      <w:r w:rsidR="00E516FF">
        <w:rPr>
          <w:b/>
        </w:rPr>
        <w:t xml:space="preserve"> </w:t>
      </w:r>
    </w:p>
    <w:p w14:paraId="5881CFB6" w14:textId="77777777" w:rsidR="005833A2" w:rsidRPr="008D2B4D" w:rsidRDefault="005833A2" w:rsidP="005833A2">
      <w:pPr>
        <w:jc w:val="center"/>
        <w:rPr>
          <w:sz w:val="22"/>
          <w:szCs w:val="22"/>
        </w:rPr>
      </w:pPr>
    </w:p>
    <w:p w14:paraId="070A6E9C" w14:textId="77777777" w:rsidR="005833A2" w:rsidRPr="008D2B4D" w:rsidRDefault="005833A2" w:rsidP="005833A2">
      <w:pPr>
        <w:jc w:val="center"/>
        <w:rPr>
          <w:sz w:val="22"/>
          <w:szCs w:val="22"/>
        </w:rPr>
      </w:pPr>
    </w:p>
    <w:p w14:paraId="364202F5" w14:textId="537ECDF2" w:rsidR="000404F3" w:rsidRDefault="005833A2" w:rsidP="00627249">
      <w:pPr>
        <w:ind w:firstLine="720"/>
        <w:jc w:val="both"/>
        <w:rPr>
          <w:sz w:val="22"/>
          <w:szCs w:val="22"/>
        </w:rPr>
      </w:pPr>
      <w:r w:rsidRPr="008B61ED">
        <w:rPr>
          <w:i/>
          <w:sz w:val="22"/>
          <w:szCs w:val="22"/>
        </w:rPr>
        <w:t>Aware</w:t>
      </w:r>
      <w:r w:rsidRPr="008B61ED">
        <w:rPr>
          <w:sz w:val="22"/>
          <w:szCs w:val="22"/>
        </w:rPr>
        <w:t xml:space="preserve"> of the importance of communication as a central and cross-cutting element for the implementation of the Agreement</w:t>
      </w:r>
      <w:r w:rsidR="008B61ED" w:rsidRPr="008B61ED">
        <w:rPr>
          <w:sz w:val="22"/>
          <w:szCs w:val="22"/>
        </w:rPr>
        <w:t xml:space="preserve"> and</w:t>
      </w:r>
      <w:r w:rsidR="004A3376" w:rsidRPr="008B61ED">
        <w:rPr>
          <w:sz w:val="22"/>
          <w:szCs w:val="22"/>
        </w:rPr>
        <w:t xml:space="preserve"> </w:t>
      </w:r>
      <w:r w:rsidR="004A3376" w:rsidRPr="0003090E">
        <w:rPr>
          <w:i/>
          <w:sz w:val="22"/>
          <w:szCs w:val="22"/>
        </w:rPr>
        <w:t>further</w:t>
      </w:r>
      <w:r w:rsidR="004A3376" w:rsidRPr="008B61ED">
        <w:rPr>
          <w:sz w:val="22"/>
          <w:szCs w:val="22"/>
        </w:rPr>
        <w:t xml:space="preserve"> </w:t>
      </w:r>
      <w:r w:rsidR="004A3376" w:rsidRPr="008B61ED">
        <w:rPr>
          <w:i/>
          <w:sz w:val="22"/>
          <w:szCs w:val="22"/>
        </w:rPr>
        <w:t>aware</w:t>
      </w:r>
      <w:r w:rsidR="00754CCD" w:rsidRPr="008B61ED">
        <w:rPr>
          <w:sz w:val="22"/>
          <w:szCs w:val="22"/>
        </w:rPr>
        <w:t xml:space="preserve"> that most </w:t>
      </w:r>
      <w:proofErr w:type="spellStart"/>
      <w:r w:rsidR="00754CCD" w:rsidRPr="008B61ED">
        <w:rPr>
          <w:sz w:val="22"/>
          <w:szCs w:val="22"/>
        </w:rPr>
        <w:t>waterbird</w:t>
      </w:r>
      <w:proofErr w:type="spellEnd"/>
      <w:r w:rsidR="00754CCD" w:rsidRPr="008B61ED">
        <w:rPr>
          <w:sz w:val="22"/>
          <w:szCs w:val="22"/>
        </w:rPr>
        <w:t xml:space="preserve"> conservation issues essentially revo</w:t>
      </w:r>
      <w:r w:rsidR="004A3376" w:rsidRPr="008B61ED">
        <w:rPr>
          <w:sz w:val="22"/>
          <w:szCs w:val="22"/>
        </w:rPr>
        <w:t>lve around human</w:t>
      </w:r>
      <w:r w:rsidR="00754CCD" w:rsidRPr="008B61ED">
        <w:rPr>
          <w:sz w:val="22"/>
          <w:szCs w:val="22"/>
        </w:rPr>
        <w:t xml:space="preserve"> involvement, and that communication plays a critical </w:t>
      </w:r>
      <w:r w:rsidR="004A3376" w:rsidRPr="008B61ED">
        <w:rPr>
          <w:sz w:val="22"/>
          <w:szCs w:val="22"/>
        </w:rPr>
        <w:t>role in</w:t>
      </w:r>
      <w:r w:rsidR="00754CCD" w:rsidRPr="008B61ED">
        <w:rPr>
          <w:sz w:val="22"/>
          <w:szCs w:val="22"/>
        </w:rPr>
        <w:t xml:space="preserve"> human beha</w:t>
      </w:r>
      <w:r w:rsidR="008B61ED">
        <w:rPr>
          <w:sz w:val="22"/>
          <w:szCs w:val="22"/>
        </w:rPr>
        <w:t>viour and management strategies,</w:t>
      </w:r>
    </w:p>
    <w:p w14:paraId="6D127A90" w14:textId="77777777" w:rsidR="00052976" w:rsidRDefault="00052976" w:rsidP="00627249">
      <w:pPr>
        <w:ind w:firstLine="720"/>
        <w:jc w:val="both"/>
        <w:rPr>
          <w:sz w:val="22"/>
          <w:szCs w:val="22"/>
        </w:rPr>
      </w:pPr>
    </w:p>
    <w:p w14:paraId="3EE2BF22" w14:textId="3FED2CF4" w:rsidR="00052976" w:rsidRDefault="00052976" w:rsidP="00052976">
      <w:pPr>
        <w:ind w:firstLine="720"/>
        <w:jc w:val="both"/>
        <w:rPr>
          <w:sz w:val="22"/>
          <w:szCs w:val="22"/>
        </w:rPr>
      </w:pPr>
      <w:r w:rsidRPr="009033ED">
        <w:rPr>
          <w:i/>
          <w:sz w:val="22"/>
          <w:szCs w:val="22"/>
        </w:rPr>
        <w:t>Conscious</w:t>
      </w:r>
      <w:r w:rsidRPr="009033ED">
        <w:rPr>
          <w:sz w:val="22"/>
          <w:szCs w:val="22"/>
        </w:rPr>
        <w:t xml:space="preserve"> that communication needs to be targeted, planned and delivered according to the particular change sought, and that </w:t>
      </w:r>
      <w:r>
        <w:rPr>
          <w:sz w:val="22"/>
          <w:szCs w:val="22"/>
        </w:rPr>
        <w:t>therefore</w:t>
      </w:r>
      <w:r w:rsidRPr="009033ED">
        <w:rPr>
          <w:sz w:val="22"/>
          <w:szCs w:val="22"/>
        </w:rPr>
        <w:t xml:space="preserve"> the modes, styles and content of communications need to be flexible both </w:t>
      </w:r>
      <w:r>
        <w:rPr>
          <w:sz w:val="22"/>
          <w:szCs w:val="22"/>
        </w:rPr>
        <w:t>with regard to</w:t>
      </w:r>
      <w:r w:rsidRPr="009033ED">
        <w:rPr>
          <w:sz w:val="22"/>
          <w:szCs w:val="22"/>
        </w:rPr>
        <w:t xml:space="preserve"> different audiences and </w:t>
      </w:r>
      <w:r>
        <w:rPr>
          <w:sz w:val="22"/>
          <w:szCs w:val="22"/>
        </w:rPr>
        <w:t>purpose,</w:t>
      </w:r>
    </w:p>
    <w:p w14:paraId="046F7A41" w14:textId="77777777" w:rsidR="008B61ED" w:rsidRDefault="008B61ED" w:rsidP="008B61ED">
      <w:pPr>
        <w:ind w:firstLine="720"/>
        <w:jc w:val="both"/>
        <w:rPr>
          <w:i/>
          <w:sz w:val="22"/>
          <w:szCs w:val="22"/>
        </w:rPr>
      </w:pPr>
    </w:p>
    <w:p w14:paraId="7DEAF502" w14:textId="43B1BC1F" w:rsidR="008B61ED" w:rsidRPr="007350D9" w:rsidRDefault="008B61ED" w:rsidP="00627249">
      <w:pPr>
        <w:ind w:firstLine="720"/>
        <w:jc w:val="both"/>
        <w:rPr>
          <w:sz w:val="22"/>
          <w:szCs w:val="22"/>
        </w:rPr>
      </w:pPr>
      <w:r w:rsidRPr="007350D9">
        <w:rPr>
          <w:i/>
          <w:sz w:val="22"/>
          <w:szCs w:val="22"/>
        </w:rPr>
        <w:t xml:space="preserve">Mindful </w:t>
      </w:r>
      <w:r w:rsidRPr="007350D9">
        <w:rPr>
          <w:sz w:val="22"/>
          <w:szCs w:val="22"/>
        </w:rPr>
        <w:t>that Article III, paragraph 2 of the Agreement notes that AEWA Parties shall “</w:t>
      </w:r>
      <w:r w:rsidRPr="00627249">
        <w:rPr>
          <w:i/>
          <w:sz w:val="22"/>
          <w:szCs w:val="22"/>
        </w:rPr>
        <w:t>develop and</w:t>
      </w:r>
      <w:r w:rsidRPr="007350D9">
        <w:rPr>
          <w:sz w:val="22"/>
          <w:szCs w:val="22"/>
        </w:rPr>
        <w:t xml:space="preserve"> </w:t>
      </w:r>
      <w:r w:rsidRPr="00627249">
        <w:rPr>
          <w:i/>
          <w:sz w:val="22"/>
          <w:szCs w:val="22"/>
        </w:rPr>
        <w:t xml:space="preserve">maintain programmes to raise awareness and understanding of migratory </w:t>
      </w:r>
      <w:proofErr w:type="spellStart"/>
      <w:r w:rsidRPr="00627249">
        <w:rPr>
          <w:i/>
          <w:sz w:val="22"/>
          <w:szCs w:val="22"/>
        </w:rPr>
        <w:t>waterbird</w:t>
      </w:r>
      <w:proofErr w:type="spellEnd"/>
      <w:r w:rsidRPr="00627249">
        <w:rPr>
          <w:i/>
          <w:sz w:val="22"/>
          <w:szCs w:val="22"/>
        </w:rPr>
        <w:t xml:space="preserve"> conservation issues in</w:t>
      </w:r>
      <w:r w:rsidRPr="007350D9">
        <w:rPr>
          <w:sz w:val="22"/>
          <w:szCs w:val="22"/>
        </w:rPr>
        <w:t xml:space="preserve"> </w:t>
      </w:r>
      <w:r w:rsidRPr="00627249">
        <w:rPr>
          <w:i/>
          <w:sz w:val="22"/>
          <w:szCs w:val="22"/>
        </w:rPr>
        <w:t>general and of the particular objectives and provisions of this Agreement</w:t>
      </w:r>
      <w:r w:rsidRPr="007350D9">
        <w:rPr>
          <w:sz w:val="22"/>
          <w:szCs w:val="22"/>
        </w:rPr>
        <w:t>”,</w:t>
      </w:r>
    </w:p>
    <w:p w14:paraId="1D7831E5" w14:textId="77777777" w:rsidR="00B8508E" w:rsidRPr="007350D9" w:rsidRDefault="00B8508E" w:rsidP="00627249">
      <w:pPr>
        <w:jc w:val="both"/>
        <w:rPr>
          <w:sz w:val="22"/>
          <w:szCs w:val="22"/>
        </w:rPr>
      </w:pPr>
    </w:p>
    <w:p w14:paraId="08E7029F" w14:textId="6F689B07" w:rsidR="00E32977" w:rsidRDefault="00E32977" w:rsidP="00E32977">
      <w:pPr>
        <w:ind w:firstLine="720"/>
        <w:jc w:val="both"/>
        <w:rPr>
          <w:sz w:val="22"/>
          <w:szCs w:val="22"/>
        </w:rPr>
      </w:pPr>
      <w:r w:rsidRPr="008B61ED">
        <w:rPr>
          <w:i/>
          <w:sz w:val="22"/>
          <w:szCs w:val="22"/>
        </w:rPr>
        <w:t>Underlining</w:t>
      </w:r>
      <w:r w:rsidRPr="008B61ED">
        <w:rPr>
          <w:sz w:val="22"/>
          <w:szCs w:val="22"/>
        </w:rPr>
        <w:t xml:space="preserve"> the need to raise greater public awareness of migratory </w:t>
      </w:r>
      <w:proofErr w:type="spellStart"/>
      <w:r w:rsidRPr="008B61ED">
        <w:rPr>
          <w:sz w:val="22"/>
          <w:szCs w:val="22"/>
        </w:rPr>
        <w:t>waterbirds</w:t>
      </w:r>
      <w:proofErr w:type="spellEnd"/>
      <w:r w:rsidRPr="008B61ED">
        <w:rPr>
          <w:sz w:val="22"/>
          <w:szCs w:val="22"/>
        </w:rPr>
        <w:t>, the multiple threats they face and t</w:t>
      </w:r>
      <w:r w:rsidR="008B61ED" w:rsidRPr="008B61ED">
        <w:rPr>
          <w:sz w:val="22"/>
          <w:szCs w:val="22"/>
        </w:rPr>
        <w:t>he obstacles to their migration,</w:t>
      </w:r>
      <w:r w:rsidRPr="008B61ED">
        <w:rPr>
          <w:sz w:val="22"/>
          <w:szCs w:val="22"/>
        </w:rPr>
        <w:t xml:space="preserve"> yet </w:t>
      </w:r>
      <w:r w:rsidRPr="008B61ED">
        <w:rPr>
          <w:i/>
          <w:sz w:val="22"/>
          <w:szCs w:val="22"/>
        </w:rPr>
        <w:t>recogni</w:t>
      </w:r>
      <w:r w:rsidR="0003090E">
        <w:rPr>
          <w:i/>
          <w:sz w:val="22"/>
          <w:szCs w:val="22"/>
        </w:rPr>
        <w:t>s</w:t>
      </w:r>
      <w:r w:rsidRPr="008B61ED">
        <w:rPr>
          <w:i/>
          <w:sz w:val="22"/>
          <w:szCs w:val="22"/>
        </w:rPr>
        <w:t>ing</w:t>
      </w:r>
      <w:r w:rsidRPr="008B61ED">
        <w:rPr>
          <w:sz w:val="22"/>
          <w:szCs w:val="22"/>
        </w:rPr>
        <w:t xml:space="preserve"> that ‘raising awareness’ on its own is generally insufficient, </w:t>
      </w:r>
      <w:r w:rsidR="00497A8E" w:rsidRPr="008B61ED">
        <w:rPr>
          <w:sz w:val="22"/>
          <w:szCs w:val="22"/>
        </w:rPr>
        <w:t>and is</w:t>
      </w:r>
      <w:r w:rsidRPr="008B61ED">
        <w:rPr>
          <w:sz w:val="22"/>
          <w:szCs w:val="22"/>
        </w:rPr>
        <w:t xml:space="preserve"> a first step of a suite of actions to change or influence human behaviour, which requires </w:t>
      </w:r>
      <w:r w:rsidR="00052976">
        <w:rPr>
          <w:sz w:val="22"/>
          <w:szCs w:val="22"/>
        </w:rPr>
        <w:t xml:space="preserve">a strategic approach to communications, </w:t>
      </w:r>
      <w:r w:rsidRPr="008B61ED">
        <w:rPr>
          <w:sz w:val="22"/>
          <w:szCs w:val="22"/>
        </w:rPr>
        <w:t>long-term interventions and the cooperation of multiple stakeholders</w:t>
      </w:r>
      <w:r w:rsidR="008B61ED">
        <w:rPr>
          <w:sz w:val="22"/>
          <w:szCs w:val="22"/>
        </w:rPr>
        <w:t>,</w:t>
      </w:r>
    </w:p>
    <w:p w14:paraId="4DFD2572" w14:textId="77777777" w:rsidR="00E32977" w:rsidRDefault="00E32977" w:rsidP="00754CCD">
      <w:pPr>
        <w:ind w:firstLine="720"/>
        <w:jc w:val="both"/>
        <w:rPr>
          <w:i/>
          <w:sz w:val="22"/>
          <w:szCs w:val="22"/>
          <w:highlight w:val="yellow"/>
        </w:rPr>
      </w:pPr>
    </w:p>
    <w:p w14:paraId="40263714" w14:textId="5AD3A034" w:rsidR="00754CCD" w:rsidRDefault="00754CCD" w:rsidP="00E32977">
      <w:pPr>
        <w:ind w:firstLine="720"/>
        <w:jc w:val="both"/>
        <w:rPr>
          <w:sz w:val="22"/>
          <w:szCs w:val="22"/>
        </w:rPr>
      </w:pPr>
      <w:r w:rsidRPr="008B61ED">
        <w:rPr>
          <w:i/>
          <w:sz w:val="22"/>
          <w:szCs w:val="22"/>
        </w:rPr>
        <w:t>Recogni</w:t>
      </w:r>
      <w:r w:rsidR="0003090E">
        <w:rPr>
          <w:i/>
          <w:sz w:val="22"/>
          <w:szCs w:val="22"/>
        </w:rPr>
        <w:t>s</w:t>
      </w:r>
      <w:r w:rsidRPr="008B61ED">
        <w:rPr>
          <w:i/>
          <w:sz w:val="22"/>
          <w:szCs w:val="22"/>
        </w:rPr>
        <w:t>ing</w:t>
      </w:r>
      <w:r w:rsidRPr="008B61ED">
        <w:rPr>
          <w:sz w:val="22"/>
          <w:szCs w:val="22"/>
        </w:rPr>
        <w:t xml:space="preserve"> the</w:t>
      </w:r>
      <w:r w:rsidR="00EE2309" w:rsidRPr="008B61ED">
        <w:rPr>
          <w:sz w:val="22"/>
          <w:szCs w:val="22"/>
        </w:rPr>
        <w:t xml:space="preserve"> goals set out in the</w:t>
      </w:r>
      <w:r w:rsidRPr="008B61ED">
        <w:rPr>
          <w:sz w:val="22"/>
          <w:szCs w:val="22"/>
        </w:rPr>
        <w:t xml:space="preserve"> </w:t>
      </w:r>
      <w:r w:rsidR="00EE2309" w:rsidRPr="008B61ED">
        <w:rPr>
          <w:sz w:val="22"/>
          <w:szCs w:val="22"/>
        </w:rPr>
        <w:t xml:space="preserve">AEWA Strategic Plan, the CMS Strategic Plan for Migratory Species, and the </w:t>
      </w:r>
      <w:r w:rsidRPr="008B61ED">
        <w:rPr>
          <w:sz w:val="22"/>
          <w:szCs w:val="22"/>
        </w:rPr>
        <w:t>Aichi Biodiversity Targets, all of which set the target of improving public awareness</w:t>
      </w:r>
      <w:r w:rsidR="00052976">
        <w:rPr>
          <w:sz w:val="22"/>
          <w:szCs w:val="22"/>
        </w:rPr>
        <w:t xml:space="preserve"> and</w:t>
      </w:r>
      <w:r w:rsidRPr="008B61ED">
        <w:rPr>
          <w:sz w:val="22"/>
          <w:szCs w:val="22"/>
        </w:rPr>
        <w:t xml:space="preserve"> support and engagement at</w:t>
      </w:r>
      <w:r w:rsidR="008B61ED">
        <w:rPr>
          <w:sz w:val="22"/>
          <w:szCs w:val="22"/>
        </w:rPr>
        <w:t xml:space="preserve"> the public and political level,</w:t>
      </w:r>
    </w:p>
    <w:p w14:paraId="66190AE0" w14:textId="77777777" w:rsidR="00A16B32" w:rsidRPr="007350D9" w:rsidRDefault="00A16B32" w:rsidP="00627249">
      <w:pPr>
        <w:jc w:val="both"/>
        <w:rPr>
          <w:i/>
          <w:sz w:val="22"/>
          <w:szCs w:val="22"/>
        </w:rPr>
      </w:pPr>
    </w:p>
    <w:p w14:paraId="6501C109" w14:textId="3839E634" w:rsidR="004631D6" w:rsidRDefault="005C5188" w:rsidP="00627249">
      <w:pPr>
        <w:ind w:firstLine="720"/>
        <w:jc w:val="both"/>
        <w:rPr>
          <w:sz w:val="22"/>
          <w:szCs w:val="22"/>
        </w:rPr>
      </w:pPr>
      <w:r w:rsidRPr="007350D9">
        <w:rPr>
          <w:i/>
          <w:sz w:val="22"/>
          <w:szCs w:val="22"/>
        </w:rPr>
        <w:t>Recalling</w:t>
      </w:r>
      <w:r w:rsidRPr="007350D9">
        <w:rPr>
          <w:sz w:val="22"/>
          <w:szCs w:val="22"/>
        </w:rPr>
        <w:t xml:space="preserve"> Article VIII, paragraphs</w:t>
      </w:r>
      <w:r w:rsidR="0003090E">
        <w:rPr>
          <w:sz w:val="22"/>
          <w:szCs w:val="22"/>
        </w:rPr>
        <w:t xml:space="preserve"> (e)</w:t>
      </w:r>
      <w:r w:rsidRPr="007350D9">
        <w:rPr>
          <w:sz w:val="22"/>
          <w:szCs w:val="22"/>
        </w:rPr>
        <w:t xml:space="preserve"> and </w:t>
      </w:r>
      <w:r w:rsidR="0003090E">
        <w:rPr>
          <w:sz w:val="22"/>
          <w:szCs w:val="22"/>
        </w:rPr>
        <w:t>(</w:t>
      </w:r>
      <w:r w:rsidR="00952392" w:rsidRPr="007350D9">
        <w:rPr>
          <w:sz w:val="22"/>
          <w:szCs w:val="22"/>
        </w:rPr>
        <w:t>j</w:t>
      </w:r>
      <w:r w:rsidR="0003090E">
        <w:rPr>
          <w:sz w:val="22"/>
          <w:szCs w:val="22"/>
        </w:rPr>
        <w:t>)</w:t>
      </w:r>
      <w:r w:rsidRPr="007350D9">
        <w:rPr>
          <w:sz w:val="22"/>
          <w:szCs w:val="22"/>
        </w:rPr>
        <w:t xml:space="preserve"> of the Agreement, which state that the Agreement </w:t>
      </w:r>
      <w:r w:rsidR="00052976">
        <w:rPr>
          <w:sz w:val="22"/>
          <w:szCs w:val="22"/>
        </w:rPr>
        <w:t>S</w:t>
      </w:r>
      <w:r w:rsidRPr="007350D9">
        <w:rPr>
          <w:sz w:val="22"/>
          <w:szCs w:val="22"/>
        </w:rPr>
        <w:t>ecretariat shall “</w:t>
      </w:r>
      <w:r w:rsidRPr="00627249">
        <w:rPr>
          <w:i/>
          <w:sz w:val="22"/>
          <w:szCs w:val="22"/>
        </w:rPr>
        <w:t>provide information for the general public concerning the Agreement and its objectives</w:t>
      </w:r>
      <w:r w:rsidRPr="007350D9">
        <w:rPr>
          <w:sz w:val="22"/>
          <w:szCs w:val="22"/>
        </w:rPr>
        <w:t>” and “</w:t>
      </w:r>
      <w:r w:rsidRPr="00627249">
        <w:rPr>
          <w:i/>
          <w:sz w:val="22"/>
          <w:szCs w:val="22"/>
        </w:rPr>
        <w:t>gather and evaluate information which will further the objectives and implementation of the Agreement</w:t>
      </w:r>
      <w:r w:rsidRPr="007350D9">
        <w:rPr>
          <w:sz w:val="22"/>
          <w:szCs w:val="22"/>
        </w:rPr>
        <w:t xml:space="preserve"> </w:t>
      </w:r>
      <w:r w:rsidRPr="00627249">
        <w:rPr>
          <w:i/>
          <w:sz w:val="22"/>
          <w:szCs w:val="22"/>
        </w:rPr>
        <w:t>and to arrange for appropriate dissemination of such information</w:t>
      </w:r>
      <w:r w:rsidRPr="007350D9">
        <w:rPr>
          <w:sz w:val="22"/>
          <w:szCs w:val="22"/>
        </w:rPr>
        <w:t>”</w:t>
      </w:r>
      <w:r w:rsidR="00BB146B">
        <w:rPr>
          <w:sz w:val="22"/>
          <w:szCs w:val="22"/>
        </w:rPr>
        <w:t xml:space="preserve"> and</w:t>
      </w:r>
      <w:r w:rsidR="00BB146B" w:rsidRPr="00F70C80">
        <w:rPr>
          <w:i/>
          <w:sz w:val="22"/>
          <w:szCs w:val="22"/>
        </w:rPr>
        <w:t xml:space="preserve"> noting</w:t>
      </w:r>
      <w:r w:rsidR="00BB146B">
        <w:rPr>
          <w:sz w:val="22"/>
          <w:szCs w:val="22"/>
        </w:rPr>
        <w:t xml:space="preserve"> that </w:t>
      </w:r>
      <w:r w:rsidR="005E71D6">
        <w:rPr>
          <w:sz w:val="22"/>
          <w:szCs w:val="22"/>
        </w:rPr>
        <w:t>other</w:t>
      </w:r>
      <w:r w:rsidR="00BB146B">
        <w:rPr>
          <w:sz w:val="22"/>
          <w:szCs w:val="22"/>
        </w:rPr>
        <w:t xml:space="preserve"> functions of the Secretariat </w:t>
      </w:r>
      <w:r w:rsidR="005E71D6">
        <w:rPr>
          <w:sz w:val="22"/>
          <w:szCs w:val="22"/>
        </w:rPr>
        <w:t xml:space="preserve">such as those outlined in Article VIII, paragraphs </w:t>
      </w:r>
      <w:r w:rsidR="0003090E">
        <w:rPr>
          <w:sz w:val="22"/>
          <w:szCs w:val="22"/>
        </w:rPr>
        <w:t>(</w:t>
      </w:r>
      <w:r w:rsidR="005E71D6">
        <w:rPr>
          <w:sz w:val="22"/>
          <w:szCs w:val="22"/>
        </w:rPr>
        <w:t>c</w:t>
      </w:r>
      <w:r w:rsidR="0003090E">
        <w:rPr>
          <w:sz w:val="22"/>
          <w:szCs w:val="22"/>
        </w:rPr>
        <w:t>)</w:t>
      </w:r>
      <w:r w:rsidR="005E71D6">
        <w:rPr>
          <w:sz w:val="22"/>
          <w:szCs w:val="22"/>
        </w:rPr>
        <w:t xml:space="preserve"> and </w:t>
      </w:r>
      <w:r w:rsidR="0003090E">
        <w:rPr>
          <w:sz w:val="22"/>
          <w:szCs w:val="22"/>
        </w:rPr>
        <w:t>(</w:t>
      </w:r>
      <w:r w:rsidR="005E71D6">
        <w:rPr>
          <w:sz w:val="22"/>
          <w:szCs w:val="22"/>
        </w:rPr>
        <w:t>d</w:t>
      </w:r>
      <w:r w:rsidR="0003090E">
        <w:rPr>
          <w:sz w:val="22"/>
          <w:szCs w:val="22"/>
        </w:rPr>
        <w:t>)</w:t>
      </w:r>
      <w:r w:rsidR="005E71D6">
        <w:rPr>
          <w:sz w:val="22"/>
          <w:szCs w:val="22"/>
        </w:rPr>
        <w:t xml:space="preserve"> of the Agreement, </w:t>
      </w:r>
      <w:r w:rsidR="00BB146B">
        <w:rPr>
          <w:sz w:val="22"/>
          <w:szCs w:val="22"/>
        </w:rPr>
        <w:t>are</w:t>
      </w:r>
      <w:r w:rsidR="005E71D6">
        <w:rPr>
          <w:sz w:val="22"/>
          <w:szCs w:val="22"/>
        </w:rPr>
        <w:t xml:space="preserve"> also</w:t>
      </w:r>
      <w:r w:rsidR="00BB146B">
        <w:rPr>
          <w:sz w:val="22"/>
          <w:szCs w:val="22"/>
        </w:rPr>
        <w:t xml:space="preserve"> supported by communication</w:t>
      </w:r>
      <w:r w:rsidRPr="007350D9">
        <w:rPr>
          <w:sz w:val="22"/>
          <w:szCs w:val="22"/>
        </w:rPr>
        <w:t xml:space="preserve">, </w:t>
      </w:r>
    </w:p>
    <w:p w14:paraId="319BE3FB" w14:textId="77777777" w:rsidR="00AB1574" w:rsidRPr="007350D9" w:rsidRDefault="00AB1574" w:rsidP="00627249">
      <w:pPr>
        <w:jc w:val="both"/>
        <w:rPr>
          <w:sz w:val="22"/>
          <w:szCs w:val="22"/>
        </w:rPr>
      </w:pPr>
    </w:p>
    <w:p w14:paraId="4485E99A" w14:textId="7AB58BD0" w:rsidR="00AB1574" w:rsidRPr="007350D9" w:rsidRDefault="00B26103" w:rsidP="00476313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AB1574" w:rsidRPr="007350D9">
        <w:rPr>
          <w:i/>
          <w:sz w:val="22"/>
          <w:szCs w:val="22"/>
        </w:rPr>
        <w:t>Aware</w:t>
      </w:r>
      <w:r w:rsidR="00AB1574" w:rsidRPr="007350D9">
        <w:rPr>
          <w:sz w:val="22"/>
          <w:szCs w:val="22"/>
        </w:rPr>
        <w:t xml:space="preserve"> of CMS COP10 Resolution 10.9 on Future Structure and Strategies of CMS and </w:t>
      </w:r>
      <w:r w:rsidR="008D2B4D">
        <w:rPr>
          <w:sz w:val="22"/>
          <w:szCs w:val="22"/>
        </w:rPr>
        <w:t xml:space="preserve">the </w:t>
      </w:r>
      <w:r w:rsidR="00AB1574" w:rsidRPr="007350D9">
        <w:rPr>
          <w:sz w:val="22"/>
          <w:szCs w:val="22"/>
        </w:rPr>
        <w:t xml:space="preserve">CMS Family which endorses enhanced communication and </w:t>
      </w:r>
      <w:r w:rsidR="00E420BE" w:rsidRPr="007350D9">
        <w:rPr>
          <w:sz w:val="22"/>
          <w:szCs w:val="22"/>
        </w:rPr>
        <w:t xml:space="preserve">seeks </w:t>
      </w:r>
      <w:r w:rsidR="00AB1574" w:rsidRPr="007350D9">
        <w:rPr>
          <w:sz w:val="22"/>
          <w:szCs w:val="22"/>
        </w:rPr>
        <w:t>opportunities to develop awareness of CMS and the CMS Family, and coordinated strategic plans for the CMS Family</w:t>
      </w:r>
      <w:r w:rsidR="0078738F">
        <w:rPr>
          <w:sz w:val="22"/>
          <w:szCs w:val="22"/>
        </w:rPr>
        <w:t xml:space="preserve"> and </w:t>
      </w:r>
      <w:r w:rsidR="0078738F">
        <w:rPr>
          <w:i/>
          <w:sz w:val="22"/>
          <w:szCs w:val="22"/>
        </w:rPr>
        <w:t>n</w:t>
      </w:r>
      <w:r w:rsidR="0078738F" w:rsidRPr="007350D9">
        <w:rPr>
          <w:i/>
          <w:sz w:val="22"/>
          <w:szCs w:val="22"/>
        </w:rPr>
        <w:t>oting with satisfaction</w:t>
      </w:r>
      <w:r w:rsidR="0078738F" w:rsidRPr="007350D9">
        <w:rPr>
          <w:sz w:val="22"/>
          <w:szCs w:val="22"/>
        </w:rPr>
        <w:t xml:space="preserve"> the initiative of the CMS </w:t>
      </w:r>
      <w:r w:rsidR="005F4EC9">
        <w:rPr>
          <w:sz w:val="22"/>
          <w:szCs w:val="22"/>
        </w:rPr>
        <w:t xml:space="preserve">and AEWA </w:t>
      </w:r>
      <w:r w:rsidR="0078738F" w:rsidRPr="007350D9">
        <w:rPr>
          <w:sz w:val="22"/>
          <w:szCs w:val="22"/>
        </w:rPr>
        <w:t xml:space="preserve">Executive </w:t>
      </w:r>
      <w:r w:rsidR="00476313" w:rsidRPr="007350D9">
        <w:rPr>
          <w:sz w:val="22"/>
          <w:szCs w:val="22"/>
        </w:rPr>
        <w:t>Secretar</w:t>
      </w:r>
      <w:r w:rsidR="00476313">
        <w:rPr>
          <w:sz w:val="22"/>
          <w:szCs w:val="22"/>
        </w:rPr>
        <w:t xml:space="preserve">ies </w:t>
      </w:r>
      <w:r w:rsidR="00476313" w:rsidRPr="007350D9">
        <w:rPr>
          <w:sz w:val="22"/>
          <w:szCs w:val="22"/>
        </w:rPr>
        <w:t>to</w:t>
      </w:r>
      <w:r w:rsidR="0078738F" w:rsidRPr="007350D9">
        <w:rPr>
          <w:sz w:val="22"/>
          <w:szCs w:val="22"/>
        </w:rPr>
        <w:t xml:space="preserve"> develop a global communication strategy for CMS in parallel to the revision of AEWA’s Communication Strategy</w:t>
      </w:r>
      <w:r w:rsidR="00AB1574" w:rsidRPr="007350D9">
        <w:rPr>
          <w:sz w:val="22"/>
          <w:szCs w:val="22"/>
        </w:rPr>
        <w:t>,</w:t>
      </w:r>
    </w:p>
    <w:p w14:paraId="605F957B" w14:textId="77777777" w:rsidR="00D83792" w:rsidRPr="007350D9" w:rsidRDefault="00D83792" w:rsidP="00627249">
      <w:pPr>
        <w:jc w:val="both"/>
        <w:rPr>
          <w:sz w:val="22"/>
          <w:szCs w:val="22"/>
        </w:rPr>
      </w:pPr>
    </w:p>
    <w:p w14:paraId="5348E0C0" w14:textId="77777777" w:rsidR="005F4EC9" w:rsidRDefault="006630D9" w:rsidP="00627249">
      <w:pPr>
        <w:ind w:firstLine="720"/>
        <w:jc w:val="both"/>
        <w:rPr>
          <w:sz w:val="22"/>
          <w:szCs w:val="22"/>
        </w:rPr>
      </w:pPr>
      <w:r w:rsidRPr="007350D9">
        <w:rPr>
          <w:i/>
          <w:sz w:val="22"/>
          <w:szCs w:val="22"/>
        </w:rPr>
        <w:t xml:space="preserve">Also </w:t>
      </w:r>
      <w:r w:rsidR="00D83792" w:rsidRPr="007350D9">
        <w:rPr>
          <w:i/>
          <w:sz w:val="22"/>
          <w:szCs w:val="22"/>
        </w:rPr>
        <w:t>aware</w:t>
      </w:r>
      <w:r w:rsidR="00D83792" w:rsidRPr="007350D9">
        <w:rPr>
          <w:sz w:val="22"/>
          <w:szCs w:val="22"/>
        </w:rPr>
        <w:t xml:space="preserve"> of CMS COP11 Resolution 11.8 which request</w:t>
      </w:r>
      <w:r w:rsidR="00627249">
        <w:rPr>
          <w:sz w:val="22"/>
          <w:szCs w:val="22"/>
        </w:rPr>
        <w:t>s</w:t>
      </w:r>
      <w:r w:rsidR="00D83792" w:rsidRPr="007350D9">
        <w:rPr>
          <w:sz w:val="22"/>
          <w:szCs w:val="22"/>
        </w:rPr>
        <w:t xml:space="preserve"> the CMS Executive Secretary to present the new CMS communication strategy to the 44</w:t>
      </w:r>
      <w:r w:rsidR="00D83792" w:rsidRPr="007350D9">
        <w:rPr>
          <w:sz w:val="22"/>
          <w:szCs w:val="22"/>
          <w:vertAlign w:val="superscript"/>
        </w:rPr>
        <w:t>th</w:t>
      </w:r>
      <w:r w:rsidR="00D83792" w:rsidRPr="007350D9">
        <w:rPr>
          <w:sz w:val="22"/>
          <w:szCs w:val="22"/>
        </w:rPr>
        <w:t xml:space="preserve"> Meeting of the CMS Standing Committee for adoption and invites AEWA Parties to adopt a new </w:t>
      </w:r>
      <w:r w:rsidR="00D83792" w:rsidRPr="00541332">
        <w:rPr>
          <w:sz w:val="22"/>
          <w:szCs w:val="22"/>
        </w:rPr>
        <w:t>strategically aligned AEWA communication strategy</w:t>
      </w:r>
      <w:r w:rsidR="00D83792" w:rsidRPr="007350D9">
        <w:rPr>
          <w:sz w:val="22"/>
          <w:szCs w:val="22"/>
        </w:rPr>
        <w:t xml:space="preserve"> at AEWA MOP6</w:t>
      </w:r>
      <w:r w:rsidR="00111E7B" w:rsidRPr="007350D9">
        <w:rPr>
          <w:sz w:val="22"/>
          <w:szCs w:val="22"/>
        </w:rPr>
        <w:t>,</w:t>
      </w:r>
    </w:p>
    <w:p w14:paraId="5F75A64B" w14:textId="77777777" w:rsidR="005F4EC9" w:rsidRDefault="005F4EC9" w:rsidP="00627249">
      <w:pPr>
        <w:ind w:firstLine="720"/>
        <w:jc w:val="both"/>
        <w:rPr>
          <w:sz w:val="22"/>
          <w:szCs w:val="22"/>
        </w:rPr>
        <w:sectPr w:rsidR="005F4EC9" w:rsidSect="008D2B4D">
          <w:headerReference w:type="default" r:id="rId8"/>
          <w:footerReference w:type="default" r:id="rId9"/>
          <w:pgSz w:w="11906" w:h="16838" w:code="9"/>
          <w:pgMar w:top="1021" w:right="1134" w:bottom="851" w:left="1134" w:header="851" w:footer="510" w:gutter="0"/>
          <w:cols w:space="720"/>
        </w:sectPr>
      </w:pPr>
    </w:p>
    <w:p w14:paraId="6C9ABCF3" w14:textId="4E795121" w:rsidR="0078738F" w:rsidRDefault="00D7125B" w:rsidP="00D7125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D30BB2" w:rsidRPr="007350D9">
        <w:rPr>
          <w:i/>
          <w:sz w:val="22"/>
          <w:szCs w:val="22"/>
        </w:rPr>
        <w:t>Recalling</w:t>
      </w:r>
      <w:r w:rsidR="00D30BB2" w:rsidRPr="007350D9">
        <w:rPr>
          <w:sz w:val="22"/>
          <w:szCs w:val="22"/>
        </w:rPr>
        <w:t xml:space="preserve"> Resolution 3.10 through which the Meeting of the Parties </w:t>
      </w:r>
      <w:r w:rsidR="00627249">
        <w:rPr>
          <w:sz w:val="22"/>
          <w:szCs w:val="22"/>
        </w:rPr>
        <w:t xml:space="preserve">to AEWA </w:t>
      </w:r>
      <w:r w:rsidR="00D30BB2" w:rsidRPr="007350D9">
        <w:rPr>
          <w:sz w:val="22"/>
          <w:szCs w:val="22"/>
        </w:rPr>
        <w:t>adopted the first Communication Strategy for AEWA</w:t>
      </w:r>
      <w:r w:rsidR="00F93A96" w:rsidRPr="007350D9">
        <w:rPr>
          <w:sz w:val="22"/>
          <w:szCs w:val="22"/>
        </w:rPr>
        <w:t>,</w:t>
      </w:r>
      <w:r w:rsidR="00D029CC" w:rsidRPr="007350D9">
        <w:rPr>
          <w:sz w:val="22"/>
          <w:szCs w:val="22"/>
        </w:rPr>
        <w:t xml:space="preserve"> </w:t>
      </w:r>
      <w:r w:rsidR="00052976" w:rsidRPr="00476313">
        <w:rPr>
          <w:sz w:val="22"/>
          <w:szCs w:val="22"/>
        </w:rPr>
        <w:t>and</w:t>
      </w:r>
      <w:r w:rsidR="00052976">
        <w:rPr>
          <w:i/>
          <w:sz w:val="22"/>
          <w:szCs w:val="22"/>
        </w:rPr>
        <w:t xml:space="preserve"> further</w:t>
      </w:r>
      <w:r w:rsidR="00E60B7F" w:rsidRPr="007350D9">
        <w:rPr>
          <w:i/>
          <w:sz w:val="22"/>
          <w:szCs w:val="22"/>
        </w:rPr>
        <w:t xml:space="preserve"> r</w:t>
      </w:r>
      <w:r w:rsidR="00DE0FAF" w:rsidRPr="007350D9">
        <w:rPr>
          <w:i/>
          <w:sz w:val="22"/>
          <w:szCs w:val="22"/>
        </w:rPr>
        <w:t>ecalling</w:t>
      </w:r>
      <w:r w:rsidR="00DE0FAF" w:rsidRPr="007350D9">
        <w:rPr>
          <w:sz w:val="22"/>
          <w:szCs w:val="22"/>
        </w:rPr>
        <w:t xml:space="preserve"> Resolution </w:t>
      </w:r>
      <w:r w:rsidR="00F93A96" w:rsidRPr="007350D9">
        <w:rPr>
          <w:sz w:val="22"/>
          <w:szCs w:val="22"/>
        </w:rPr>
        <w:t xml:space="preserve">5.5 which instructs the Secretariat, taking into account CMS Resolution 10.9, to prepare a full revision of the Communication Strategy for adoption by the </w:t>
      </w:r>
      <w:r w:rsidR="00860BAC">
        <w:rPr>
          <w:sz w:val="22"/>
          <w:szCs w:val="22"/>
        </w:rPr>
        <w:t>6</w:t>
      </w:r>
      <w:r w:rsidR="00860BAC" w:rsidRPr="00860BAC">
        <w:rPr>
          <w:sz w:val="22"/>
          <w:szCs w:val="22"/>
          <w:vertAlign w:val="superscript"/>
        </w:rPr>
        <w:t>th</w:t>
      </w:r>
      <w:r w:rsidR="00860BAC">
        <w:rPr>
          <w:sz w:val="22"/>
          <w:szCs w:val="22"/>
          <w:vertAlign w:val="superscript"/>
        </w:rPr>
        <w:t xml:space="preserve"> </w:t>
      </w:r>
      <w:r w:rsidR="00F93A96" w:rsidRPr="007350D9">
        <w:rPr>
          <w:sz w:val="22"/>
          <w:szCs w:val="22"/>
        </w:rPr>
        <w:t>Session of the Meeting of the Parties</w:t>
      </w:r>
      <w:r w:rsidR="00627249">
        <w:rPr>
          <w:sz w:val="22"/>
          <w:szCs w:val="22"/>
        </w:rPr>
        <w:t xml:space="preserve"> to AEWA</w:t>
      </w:r>
      <w:r w:rsidR="00F93A96" w:rsidRPr="007350D9">
        <w:rPr>
          <w:sz w:val="22"/>
          <w:szCs w:val="22"/>
        </w:rPr>
        <w:t>,</w:t>
      </w:r>
    </w:p>
    <w:p w14:paraId="7358C4DE" w14:textId="77777777" w:rsidR="00D7125B" w:rsidRDefault="00D7125B" w:rsidP="00D7125B">
      <w:pPr>
        <w:jc w:val="both"/>
        <w:rPr>
          <w:i/>
          <w:sz w:val="22"/>
          <w:szCs w:val="22"/>
        </w:rPr>
      </w:pPr>
    </w:p>
    <w:p w14:paraId="2C4C6665" w14:textId="67B7EF99" w:rsidR="00D83792" w:rsidRDefault="008B61ED" w:rsidP="00476313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We</w:t>
      </w:r>
      <w:r w:rsidR="00D83792" w:rsidRPr="007350D9">
        <w:rPr>
          <w:i/>
          <w:sz w:val="22"/>
          <w:szCs w:val="22"/>
        </w:rPr>
        <w:t>lcoming</w:t>
      </w:r>
      <w:r w:rsidR="00D83792" w:rsidRPr="007350D9">
        <w:rPr>
          <w:sz w:val="22"/>
          <w:szCs w:val="22"/>
        </w:rPr>
        <w:t xml:space="preserve"> the initiative of the CMS Executive Secretary and the Acting Executive Secretary of AEWA to establish a joint Communication, Information Management and Awareness-raising Unit </w:t>
      </w:r>
      <w:r w:rsidR="00860BAC">
        <w:rPr>
          <w:sz w:val="22"/>
          <w:szCs w:val="22"/>
        </w:rPr>
        <w:t xml:space="preserve">in January 2014, </w:t>
      </w:r>
      <w:r w:rsidR="00D83792" w:rsidRPr="007350D9">
        <w:rPr>
          <w:sz w:val="22"/>
          <w:szCs w:val="22"/>
        </w:rPr>
        <w:t xml:space="preserve">serving the </w:t>
      </w:r>
      <w:r w:rsidR="00627249">
        <w:rPr>
          <w:sz w:val="22"/>
          <w:szCs w:val="22"/>
        </w:rPr>
        <w:t>UNEP/</w:t>
      </w:r>
      <w:r w:rsidR="00D83792" w:rsidRPr="007350D9">
        <w:rPr>
          <w:sz w:val="22"/>
          <w:szCs w:val="22"/>
        </w:rPr>
        <w:t xml:space="preserve">CMS and </w:t>
      </w:r>
      <w:r w:rsidR="00627249">
        <w:rPr>
          <w:sz w:val="22"/>
          <w:szCs w:val="22"/>
        </w:rPr>
        <w:t>UNEP/</w:t>
      </w:r>
      <w:r w:rsidR="00D83792" w:rsidRPr="007350D9">
        <w:rPr>
          <w:sz w:val="22"/>
          <w:szCs w:val="22"/>
        </w:rPr>
        <w:t>AEWA Secretariats as a pilot demonstrating enhanced synergies within the CMS Family through joint services in the area of communications</w:t>
      </w:r>
      <w:r w:rsidR="002E4C93">
        <w:rPr>
          <w:sz w:val="22"/>
          <w:szCs w:val="22"/>
        </w:rPr>
        <w:t>, outreach</w:t>
      </w:r>
      <w:r w:rsidR="00D83792" w:rsidRPr="007350D9">
        <w:rPr>
          <w:sz w:val="22"/>
          <w:szCs w:val="22"/>
        </w:rPr>
        <w:t xml:space="preserve"> and information management,</w:t>
      </w:r>
    </w:p>
    <w:p w14:paraId="265EEA83" w14:textId="77777777" w:rsidR="0053792E" w:rsidRPr="007350D9" w:rsidRDefault="0053792E" w:rsidP="00476313">
      <w:pPr>
        <w:ind w:firstLine="720"/>
        <w:jc w:val="both"/>
        <w:rPr>
          <w:sz w:val="22"/>
          <w:szCs w:val="22"/>
        </w:rPr>
      </w:pPr>
    </w:p>
    <w:p w14:paraId="3C985B80" w14:textId="02CAB440" w:rsidR="00B8508E" w:rsidRDefault="004B0DA1" w:rsidP="00627249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53792E" w:rsidRPr="00FF727C">
        <w:rPr>
          <w:i/>
          <w:sz w:val="22"/>
          <w:szCs w:val="22"/>
        </w:rPr>
        <w:t>Tak</w:t>
      </w:r>
      <w:r w:rsidR="00050F2B">
        <w:rPr>
          <w:i/>
          <w:sz w:val="22"/>
          <w:szCs w:val="22"/>
        </w:rPr>
        <w:t>ing</w:t>
      </w:r>
      <w:r w:rsidR="0053792E" w:rsidRPr="00FF727C">
        <w:rPr>
          <w:i/>
          <w:sz w:val="22"/>
          <w:szCs w:val="22"/>
        </w:rPr>
        <w:t xml:space="preserve"> note </w:t>
      </w:r>
      <w:r w:rsidR="0053792E" w:rsidRPr="00B26103">
        <w:rPr>
          <w:sz w:val="22"/>
          <w:szCs w:val="22"/>
        </w:rPr>
        <w:t>of the process underway to develop a global Communication Strategy for CMS</w:t>
      </w:r>
      <w:r w:rsidR="0053792E">
        <w:rPr>
          <w:sz w:val="22"/>
          <w:szCs w:val="22"/>
        </w:rPr>
        <w:t>;</w:t>
      </w:r>
    </w:p>
    <w:p w14:paraId="22575EC9" w14:textId="77777777" w:rsidR="0053792E" w:rsidRPr="007350D9" w:rsidRDefault="0053792E" w:rsidP="00627249">
      <w:pPr>
        <w:jc w:val="both"/>
        <w:rPr>
          <w:sz w:val="22"/>
          <w:szCs w:val="22"/>
        </w:rPr>
      </w:pPr>
    </w:p>
    <w:p w14:paraId="3BFB0EF3" w14:textId="7CB1EABA" w:rsidR="00D30BB2" w:rsidRPr="007350D9" w:rsidRDefault="00E60B7F" w:rsidP="00627249">
      <w:pPr>
        <w:ind w:firstLine="720"/>
        <w:jc w:val="both"/>
        <w:rPr>
          <w:sz w:val="22"/>
          <w:szCs w:val="22"/>
        </w:rPr>
      </w:pPr>
      <w:r w:rsidRPr="007350D9">
        <w:rPr>
          <w:i/>
          <w:sz w:val="22"/>
          <w:szCs w:val="22"/>
        </w:rPr>
        <w:t>Thanking</w:t>
      </w:r>
      <w:r w:rsidRPr="007350D9">
        <w:rPr>
          <w:sz w:val="22"/>
          <w:szCs w:val="22"/>
        </w:rPr>
        <w:t xml:space="preserve"> the Government of Germany, for having generously contributed </w:t>
      </w:r>
      <w:r w:rsidR="000E6EDB">
        <w:rPr>
          <w:sz w:val="22"/>
          <w:szCs w:val="22"/>
        </w:rPr>
        <w:t xml:space="preserve">funds </w:t>
      </w:r>
      <w:r w:rsidRPr="007350D9">
        <w:rPr>
          <w:sz w:val="22"/>
          <w:szCs w:val="22"/>
        </w:rPr>
        <w:t>to</w:t>
      </w:r>
      <w:r w:rsidR="00B8508E" w:rsidRPr="007350D9">
        <w:rPr>
          <w:sz w:val="22"/>
          <w:szCs w:val="22"/>
        </w:rPr>
        <w:t>wards</w:t>
      </w:r>
      <w:r w:rsidRPr="007350D9">
        <w:rPr>
          <w:sz w:val="22"/>
          <w:szCs w:val="22"/>
        </w:rPr>
        <w:t xml:space="preserve"> the development of a global communication strategy for CMS and</w:t>
      </w:r>
      <w:r w:rsidR="00B8508E" w:rsidRPr="007350D9">
        <w:rPr>
          <w:sz w:val="22"/>
          <w:szCs w:val="22"/>
        </w:rPr>
        <w:t xml:space="preserve"> a new </w:t>
      </w:r>
      <w:r w:rsidR="00B8508E" w:rsidRPr="00541332">
        <w:rPr>
          <w:sz w:val="22"/>
          <w:szCs w:val="22"/>
        </w:rPr>
        <w:t>strategically</w:t>
      </w:r>
      <w:r w:rsidR="0003090E">
        <w:rPr>
          <w:sz w:val="22"/>
          <w:szCs w:val="22"/>
        </w:rPr>
        <w:t>-</w:t>
      </w:r>
      <w:bookmarkStart w:id="0" w:name="_GoBack"/>
      <w:bookmarkEnd w:id="0"/>
      <w:r w:rsidR="00B8508E" w:rsidRPr="00541332">
        <w:rPr>
          <w:sz w:val="22"/>
          <w:szCs w:val="22"/>
        </w:rPr>
        <w:t>aligned communication strategy</w:t>
      </w:r>
      <w:r w:rsidR="00B8508E" w:rsidRPr="007350D9">
        <w:rPr>
          <w:sz w:val="22"/>
          <w:szCs w:val="22"/>
        </w:rPr>
        <w:t xml:space="preserve"> for</w:t>
      </w:r>
      <w:r w:rsidRPr="007350D9">
        <w:rPr>
          <w:sz w:val="22"/>
          <w:szCs w:val="22"/>
        </w:rPr>
        <w:t xml:space="preserve"> AEWA</w:t>
      </w:r>
      <w:r w:rsidR="006D3AA6" w:rsidRPr="007350D9">
        <w:rPr>
          <w:sz w:val="22"/>
          <w:szCs w:val="22"/>
        </w:rPr>
        <w:t>.</w:t>
      </w:r>
    </w:p>
    <w:p w14:paraId="297944C3" w14:textId="77777777" w:rsidR="000404F3" w:rsidRPr="007350D9" w:rsidRDefault="000404F3" w:rsidP="00627249">
      <w:pPr>
        <w:jc w:val="both"/>
        <w:rPr>
          <w:sz w:val="22"/>
          <w:szCs w:val="22"/>
        </w:rPr>
      </w:pPr>
    </w:p>
    <w:p w14:paraId="2C4FC76E" w14:textId="77777777" w:rsidR="000404F3" w:rsidRPr="007350D9" w:rsidRDefault="000404F3" w:rsidP="00627249">
      <w:pPr>
        <w:jc w:val="both"/>
        <w:rPr>
          <w:sz w:val="22"/>
          <w:szCs w:val="22"/>
        </w:rPr>
      </w:pPr>
    </w:p>
    <w:p w14:paraId="0BA29198" w14:textId="77777777" w:rsidR="000404F3" w:rsidRPr="007350D9" w:rsidRDefault="00F93A96" w:rsidP="00627249">
      <w:pPr>
        <w:jc w:val="both"/>
        <w:rPr>
          <w:i/>
          <w:sz w:val="22"/>
          <w:szCs w:val="22"/>
        </w:rPr>
      </w:pPr>
      <w:r w:rsidRPr="007350D9">
        <w:rPr>
          <w:i/>
          <w:sz w:val="22"/>
          <w:szCs w:val="22"/>
        </w:rPr>
        <w:t>The Meeting of the Parties:</w:t>
      </w:r>
    </w:p>
    <w:p w14:paraId="76B82465" w14:textId="77777777" w:rsidR="00F93A96" w:rsidRPr="007350D9" w:rsidRDefault="00F93A96" w:rsidP="00627249">
      <w:pPr>
        <w:jc w:val="both"/>
        <w:rPr>
          <w:sz w:val="22"/>
          <w:szCs w:val="22"/>
        </w:rPr>
      </w:pPr>
    </w:p>
    <w:p w14:paraId="11592F08" w14:textId="260B3BC0" w:rsidR="00F93A96" w:rsidRPr="007350D9" w:rsidRDefault="00F93A96" w:rsidP="00627249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350D9">
        <w:rPr>
          <w:i/>
          <w:sz w:val="22"/>
          <w:szCs w:val="22"/>
        </w:rPr>
        <w:t>Adopts</w:t>
      </w:r>
      <w:r w:rsidRPr="007350D9">
        <w:rPr>
          <w:sz w:val="22"/>
          <w:szCs w:val="22"/>
        </w:rPr>
        <w:t xml:space="preserve"> the</w:t>
      </w:r>
      <w:r w:rsidR="00E516FF" w:rsidRPr="007350D9">
        <w:rPr>
          <w:sz w:val="22"/>
          <w:szCs w:val="22"/>
        </w:rPr>
        <w:t xml:space="preserve"> new</w:t>
      </w:r>
      <w:r w:rsidRPr="007350D9">
        <w:rPr>
          <w:sz w:val="22"/>
          <w:szCs w:val="22"/>
        </w:rPr>
        <w:t xml:space="preserve"> </w:t>
      </w:r>
      <w:r w:rsidR="002F5EEF" w:rsidRPr="00050F2B">
        <w:rPr>
          <w:sz w:val="22"/>
          <w:szCs w:val="22"/>
        </w:rPr>
        <w:t xml:space="preserve">AEWA </w:t>
      </w:r>
      <w:r w:rsidRPr="00050F2B">
        <w:rPr>
          <w:sz w:val="22"/>
          <w:szCs w:val="22"/>
        </w:rPr>
        <w:t>Communication Strategy</w:t>
      </w:r>
      <w:r w:rsidR="00EB0A60">
        <w:rPr>
          <w:b/>
          <w:sz w:val="22"/>
          <w:szCs w:val="22"/>
        </w:rPr>
        <w:t xml:space="preserve"> </w:t>
      </w:r>
      <w:r w:rsidR="00627249" w:rsidRPr="00476313">
        <w:rPr>
          <w:sz w:val="22"/>
          <w:szCs w:val="22"/>
        </w:rPr>
        <w:t>(</w:t>
      </w:r>
      <w:r w:rsidR="00476313">
        <w:rPr>
          <w:sz w:val="22"/>
          <w:szCs w:val="22"/>
        </w:rPr>
        <w:t xml:space="preserve">document </w:t>
      </w:r>
      <w:r w:rsidR="00EB0126" w:rsidRPr="00476313">
        <w:rPr>
          <w:sz w:val="22"/>
          <w:szCs w:val="22"/>
        </w:rPr>
        <w:t>AEWA/MOP6.</w:t>
      </w:r>
      <w:r w:rsidR="00476313">
        <w:rPr>
          <w:sz w:val="22"/>
          <w:szCs w:val="22"/>
        </w:rPr>
        <w:t>21</w:t>
      </w:r>
      <w:r w:rsidR="00EB0126" w:rsidRPr="00476313">
        <w:rPr>
          <w:sz w:val="22"/>
          <w:szCs w:val="22"/>
        </w:rPr>
        <w:t>)</w:t>
      </w:r>
      <w:r w:rsidR="00012EAB">
        <w:rPr>
          <w:sz w:val="22"/>
          <w:szCs w:val="22"/>
        </w:rPr>
        <w:t xml:space="preserve"> </w:t>
      </w:r>
      <w:r w:rsidRPr="007350D9">
        <w:rPr>
          <w:sz w:val="22"/>
          <w:szCs w:val="22"/>
        </w:rPr>
        <w:t xml:space="preserve">as an instrument to guide communication </w:t>
      </w:r>
      <w:r w:rsidR="00121CA8" w:rsidRPr="007350D9">
        <w:rPr>
          <w:sz w:val="22"/>
          <w:szCs w:val="22"/>
        </w:rPr>
        <w:t xml:space="preserve">efforts </w:t>
      </w:r>
      <w:r w:rsidRPr="007350D9">
        <w:rPr>
          <w:sz w:val="22"/>
          <w:szCs w:val="22"/>
        </w:rPr>
        <w:t xml:space="preserve">in support of </w:t>
      </w:r>
      <w:r w:rsidR="00E516FF" w:rsidRPr="007350D9">
        <w:rPr>
          <w:sz w:val="22"/>
          <w:szCs w:val="22"/>
        </w:rPr>
        <w:t>implementation of</w:t>
      </w:r>
      <w:r w:rsidRPr="007350D9">
        <w:rPr>
          <w:sz w:val="22"/>
          <w:szCs w:val="22"/>
        </w:rPr>
        <w:t xml:space="preserve"> the Agreement;</w:t>
      </w:r>
    </w:p>
    <w:p w14:paraId="256DEE98" w14:textId="77777777" w:rsidR="00B35387" w:rsidRPr="007350D9" w:rsidRDefault="00B35387" w:rsidP="00627249">
      <w:pPr>
        <w:jc w:val="both"/>
        <w:rPr>
          <w:i/>
          <w:sz w:val="22"/>
          <w:szCs w:val="22"/>
        </w:rPr>
      </w:pPr>
    </w:p>
    <w:p w14:paraId="45008D51" w14:textId="17FFED06" w:rsidR="006D3AA6" w:rsidRDefault="006D3AA6" w:rsidP="00221D18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350D9">
        <w:rPr>
          <w:i/>
          <w:sz w:val="22"/>
          <w:szCs w:val="22"/>
        </w:rPr>
        <w:t>Instructs</w:t>
      </w:r>
      <w:r w:rsidRPr="00627249">
        <w:rPr>
          <w:i/>
          <w:sz w:val="22"/>
          <w:szCs w:val="22"/>
        </w:rPr>
        <w:t xml:space="preserve"> </w:t>
      </w:r>
      <w:r w:rsidRPr="00627249">
        <w:rPr>
          <w:sz w:val="22"/>
          <w:szCs w:val="22"/>
        </w:rPr>
        <w:t xml:space="preserve">the </w:t>
      </w:r>
      <w:r w:rsidR="00012EAB">
        <w:rPr>
          <w:sz w:val="22"/>
          <w:szCs w:val="22"/>
        </w:rPr>
        <w:t>UNEP/</w:t>
      </w:r>
      <w:r w:rsidRPr="00627249">
        <w:rPr>
          <w:sz w:val="22"/>
          <w:szCs w:val="22"/>
        </w:rPr>
        <w:t>AEWA Secretariat to implement the Communication Strategy</w:t>
      </w:r>
      <w:r w:rsidR="00476313">
        <w:rPr>
          <w:sz w:val="22"/>
          <w:szCs w:val="22"/>
        </w:rPr>
        <w:t xml:space="preserve"> </w:t>
      </w:r>
      <w:r w:rsidRPr="00627249">
        <w:rPr>
          <w:sz w:val="22"/>
          <w:szCs w:val="22"/>
        </w:rPr>
        <w:t xml:space="preserve">to </w:t>
      </w:r>
      <w:r w:rsidR="00196149" w:rsidRPr="00627249">
        <w:rPr>
          <w:sz w:val="22"/>
          <w:szCs w:val="22"/>
        </w:rPr>
        <w:t xml:space="preserve">the </w:t>
      </w:r>
      <w:r w:rsidRPr="00627249">
        <w:rPr>
          <w:sz w:val="22"/>
          <w:szCs w:val="22"/>
        </w:rPr>
        <w:t>exten</w:t>
      </w:r>
      <w:r w:rsidR="00196149" w:rsidRPr="00627249">
        <w:rPr>
          <w:sz w:val="22"/>
          <w:szCs w:val="22"/>
        </w:rPr>
        <w:t>t</w:t>
      </w:r>
      <w:r w:rsidRPr="00627249">
        <w:rPr>
          <w:sz w:val="22"/>
          <w:szCs w:val="22"/>
        </w:rPr>
        <w:t xml:space="preserve"> possible</w:t>
      </w:r>
      <w:r w:rsidR="003421BA">
        <w:rPr>
          <w:sz w:val="22"/>
          <w:szCs w:val="22"/>
        </w:rPr>
        <w:t xml:space="preserve"> and </w:t>
      </w:r>
      <w:r w:rsidRPr="00627249">
        <w:rPr>
          <w:sz w:val="22"/>
          <w:szCs w:val="22"/>
        </w:rPr>
        <w:t xml:space="preserve">taking into account available </w:t>
      </w:r>
      <w:r w:rsidR="00001B7B">
        <w:rPr>
          <w:sz w:val="22"/>
          <w:szCs w:val="22"/>
        </w:rPr>
        <w:t>financial and human resources</w:t>
      </w:r>
      <w:r w:rsidRPr="00627249">
        <w:rPr>
          <w:sz w:val="22"/>
          <w:szCs w:val="22"/>
        </w:rPr>
        <w:t xml:space="preserve">, </w:t>
      </w:r>
      <w:r w:rsidRPr="00DA4361">
        <w:rPr>
          <w:color w:val="000000" w:themeColor="text1"/>
          <w:sz w:val="22"/>
          <w:szCs w:val="22"/>
        </w:rPr>
        <w:t xml:space="preserve">to </w:t>
      </w:r>
      <w:r w:rsidR="007A180A" w:rsidRPr="00DA4361">
        <w:rPr>
          <w:color w:val="000000" w:themeColor="text1"/>
          <w:sz w:val="22"/>
          <w:szCs w:val="22"/>
        </w:rPr>
        <w:t xml:space="preserve">monitor and </w:t>
      </w:r>
      <w:r w:rsidRPr="00DA4361">
        <w:rPr>
          <w:color w:val="000000" w:themeColor="text1"/>
          <w:sz w:val="22"/>
          <w:szCs w:val="22"/>
        </w:rPr>
        <w:t>review its effectiveness regular</w:t>
      </w:r>
      <w:r w:rsidR="00196149" w:rsidRPr="00DA4361">
        <w:rPr>
          <w:color w:val="000000" w:themeColor="text1"/>
          <w:sz w:val="22"/>
          <w:szCs w:val="22"/>
        </w:rPr>
        <w:t>ly</w:t>
      </w:r>
      <w:r w:rsidR="007A180A" w:rsidRPr="00221D18">
        <w:rPr>
          <w:color w:val="000000" w:themeColor="text1"/>
          <w:sz w:val="22"/>
          <w:szCs w:val="22"/>
        </w:rPr>
        <w:t>,</w:t>
      </w:r>
      <w:r w:rsidRPr="00221D18">
        <w:rPr>
          <w:color w:val="000000" w:themeColor="text1"/>
          <w:sz w:val="22"/>
          <w:szCs w:val="22"/>
        </w:rPr>
        <w:t xml:space="preserve"> a</w:t>
      </w:r>
      <w:r w:rsidRPr="00221D18">
        <w:rPr>
          <w:sz w:val="22"/>
          <w:szCs w:val="22"/>
        </w:rPr>
        <w:t>nd to report on its implementation at each Meeting of the Parties;</w:t>
      </w:r>
    </w:p>
    <w:p w14:paraId="2868E85A" w14:textId="77777777" w:rsidR="00001B7B" w:rsidRPr="00001B7B" w:rsidRDefault="00001B7B" w:rsidP="00001B7B">
      <w:pPr>
        <w:pStyle w:val="ListParagraph"/>
        <w:rPr>
          <w:sz w:val="22"/>
          <w:szCs w:val="22"/>
        </w:rPr>
      </w:pPr>
    </w:p>
    <w:p w14:paraId="6D95EA5B" w14:textId="43134AC0" w:rsidR="00001B7B" w:rsidRPr="00001B7B" w:rsidRDefault="00001B7B" w:rsidP="00001B7B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A4361">
        <w:rPr>
          <w:i/>
          <w:sz w:val="22"/>
          <w:szCs w:val="22"/>
        </w:rPr>
        <w:t xml:space="preserve">Urges </w:t>
      </w:r>
      <w:r w:rsidRPr="00DA4361">
        <w:rPr>
          <w:sz w:val="22"/>
          <w:szCs w:val="22"/>
        </w:rPr>
        <w:t xml:space="preserve">all Parties to </w:t>
      </w:r>
      <w:r w:rsidR="00943444">
        <w:rPr>
          <w:sz w:val="22"/>
          <w:szCs w:val="22"/>
        </w:rPr>
        <w:t xml:space="preserve">develop </w:t>
      </w:r>
      <w:r w:rsidRPr="00DA4361">
        <w:rPr>
          <w:sz w:val="22"/>
          <w:szCs w:val="22"/>
        </w:rPr>
        <w:t>“</w:t>
      </w:r>
      <w:r w:rsidRPr="00DA4361">
        <w:rPr>
          <w:i/>
          <w:sz w:val="22"/>
          <w:szCs w:val="22"/>
        </w:rPr>
        <w:t xml:space="preserve">programmes to raise awareness and understanding of migratory </w:t>
      </w:r>
      <w:proofErr w:type="spellStart"/>
      <w:r w:rsidRPr="00DA4361">
        <w:rPr>
          <w:i/>
          <w:sz w:val="22"/>
          <w:szCs w:val="22"/>
        </w:rPr>
        <w:t>waterbird</w:t>
      </w:r>
      <w:proofErr w:type="spellEnd"/>
      <w:r w:rsidRPr="00DA4361">
        <w:rPr>
          <w:i/>
          <w:sz w:val="22"/>
          <w:szCs w:val="22"/>
        </w:rPr>
        <w:t xml:space="preserve"> conservation issues</w:t>
      </w:r>
      <w:r w:rsidRPr="00DA4361">
        <w:rPr>
          <w:sz w:val="22"/>
          <w:szCs w:val="22"/>
        </w:rPr>
        <w:t xml:space="preserve">” </w:t>
      </w:r>
      <w:r w:rsidR="00ED5F86">
        <w:rPr>
          <w:sz w:val="22"/>
          <w:szCs w:val="22"/>
        </w:rPr>
        <w:t xml:space="preserve">that </w:t>
      </w:r>
      <w:r w:rsidRPr="00DA4361">
        <w:rPr>
          <w:sz w:val="22"/>
          <w:szCs w:val="22"/>
        </w:rPr>
        <w:t xml:space="preserve">they maintain as per Article III, paragraph 2 of the Agreement, and </w:t>
      </w:r>
      <w:r w:rsidR="00311062">
        <w:rPr>
          <w:sz w:val="22"/>
          <w:szCs w:val="22"/>
        </w:rPr>
        <w:t xml:space="preserve">to report </w:t>
      </w:r>
      <w:r w:rsidRPr="00DA4361">
        <w:rPr>
          <w:sz w:val="22"/>
          <w:szCs w:val="22"/>
        </w:rPr>
        <w:t>on their activities conducted in support of the implementation of the Communication</w:t>
      </w:r>
      <w:r w:rsidR="00311062">
        <w:rPr>
          <w:sz w:val="22"/>
          <w:szCs w:val="22"/>
        </w:rPr>
        <w:t xml:space="preserve"> Strategy</w:t>
      </w:r>
      <w:r w:rsidR="004312FD">
        <w:rPr>
          <w:sz w:val="22"/>
          <w:szCs w:val="22"/>
        </w:rPr>
        <w:t xml:space="preserve"> </w:t>
      </w:r>
      <w:r w:rsidRPr="00DA4361">
        <w:rPr>
          <w:sz w:val="22"/>
          <w:szCs w:val="22"/>
        </w:rPr>
        <w:t xml:space="preserve">as part of their </w:t>
      </w:r>
      <w:r w:rsidRPr="00001B7B">
        <w:rPr>
          <w:sz w:val="22"/>
          <w:szCs w:val="22"/>
        </w:rPr>
        <w:t>national report to each Meeting of the Parties (MOP);</w:t>
      </w:r>
    </w:p>
    <w:p w14:paraId="413A3092" w14:textId="77777777" w:rsidR="00441ACE" w:rsidRPr="00001B7B" w:rsidRDefault="00441ACE" w:rsidP="00221D18">
      <w:pPr>
        <w:pStyle w:val="ListParagraph"/>
        <w:rPr>
          <w:sz w:val="22"/>
          <w:szCs w:val="22"/>
        </w:rPr>
      </w:pPr>
    </w:p>
    <w:p w14:paraId="13CA29F8" w14:textId="4C319158" w:rsidR="00EB0A60" w:rsidRPr="003421BA" w:rsidRDefault="00441ACE" w:rsidP="00360B53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421BA">
        <w:rPr>
          <w:i/>
          <w:sz w:val="22"/>
          <w:szCs w:val="22"/>
        </w:rPr>
        <w:t>Requests</w:t>
      </w:r>
      <w:r w:rsidRPr="003421BA">
        <w:rPr>
          <w:sz w:val="22"/>
          <w:szCs w:val="22"/>
        </w:rPr>
        <w:t xml:space="preserve"> the </w:t>
      </w:r>
      <w:r w:rsidR="00AF1978" w:rsidRPr="003421BA">
        <w:rPr>
          <w:sz w:val="22"/>
          <w:szCs w:val="22"/>
        </w:rPr>
        <w:t xml:space="preserve">AEWA Communication, Education and Public Awareness (CEPA) Focal Points, </w:t>
      </w:r>
      <w:r w:rsidR="00DA4361" w:rsidRPr="003421BA">
        <w:rPr>
          <w:sz w:val="22"/>
          <w:szCs w:val="22"/>
        </w:rPr>
        <w:t xml:space="preserve">AEWA </w:t>
      </w:r>
      <w:r w:rsidRPr="003421BA">
        <w:rPr>
          <w:sz w:val="22"/>
          <w:szCs w:val="22"/>
        </w:rPr>
        <w:t>Technical Committee</w:t>
      </w:r>
      <w:r w:rsidR="00AF1978" w:rsidRPr="003421BA">
        <w:rPr>
          <w:sz w:val="22"/>
          <w:szCs w:val="22"/>
        </w:rPr>
        <w:t xml:space="preserve"> and its </w:t>
      </w:r>
      <w:r w:rsidR="00DA4361" w:rsidRPr="003421BA">
        <w:rPr>
          <w:sz w:val="22"/>
          <w:szCs w:val="22"/>
        </w:rPr>
        <w:t>CEPA Expert,</w:t>
      </w:r>
      <w:r w:rsidRPr="003421BA">
        <w:rPr>
          <w:sz w:val="22"/>
          <w:szCs w:val="22"/>
        </w:rPr>
        <w:t xml:space="preserve"> to provide active support to the communication work of the Agreement, especially with regards to </w:t>
      </w:r>
      <w:r w:rsidR="002E4C93" w:rsidRPr="003421BA">
        <w:rPr>
          <w:sz w:val="22"/>
          <w:szCs w:val="22"/>
        </w:rPr>
        <w:t xml:space="preserve">supporting the Secretariat in </w:t>
      </w:r>
      <w:r w:rsidRPr="003421BA">
        <w:rPr>
          <w:sz w:val="22"/>
          <w:szCs w:val="22"/>
        </w:rPr>
        <w:t>the identification of priority issues</w:t>
      </w:r>
      <w:r w:rsidR="00A937A8" w:rsidRPr="003421BA">
        <w:rPr>
          <w:sz w:val="22"/>
          <w:szCs w:val="22"/>
        </w:rPr>
        <w:t xml:space="preserve"> for communication</w:t>
      </w:r>
      <w:r w:rsidR="00FC5B0D" w:rsidRPr="003421BA">
        <w:rPr>
          <w:sz w:val="22"/>
          <w:szCs w:val="22"/>
        </w:rPr>
        <w:t>, development of key messages</w:t>
      </w:r>
      <w:r w:rsidR="00ED5F86">
        <w:rPr>
          <w:sz w:val="22"/>
          <w:szCs w:val="22"/>
        </w:rPr>
        <w:t xml:space="preserve">, </w:t>
      </w:r>
      <w:r w:rsidR="00FC5B0D" w:rsidRPr="003421BA">
        <w:rPr>
          <w:sz w:val="22"/>
          <w:szCs w:val="22"/>
        </w:rPr>
        <w:t xml:space="preserve">communication </w:t>
      </w:r>
      <w:r w:rsidR="00ED5F86">
        <w:rPr>
          <w:sz w:val="22"/>
          <w:szCs w:val="22"/>
        </w:rPr>
        <w:t>plans and products</w:t>
      </w:r>
      <w:r w:rsidR="00FC5B0D" w:rsidRPr="003421BA">
        <w:rPr>
          <w:sz w:val="22"/>
          <w:szCs w:val="22"/>
        </w:rPr>
        <w:t xml:space="preserve"> </w:t>
      </w:r>
      <w:r w:rsidR="00852489" w:rsidRPr="003421BA">
        <w:rPr>
          <w:sz w:val="22"/>
          <w:szCs w:val="22"/>
        </w:rPr>
        <w:t>as well as</w:t>
      </w:r>
      <w:r w:rsidR="00FC5B0D" w:rsidRPr="003421BA">
        <w:rPr>
          <w:sz w:val="22"/>
          <w:szCs w:val="22"/>
        </w:rPr>
        <w:t xml:space="preserve"> in the identification of </w:t>
      </w:r>
      <w:r w:rsidR="00852489" w:rsidRPr="003421BA">
        <w:rPr>
          <w:sz w:val="22"/>
          <w:szCs w:val="22"/>
        </w:rPr>
        <w:t xml:space="preserve">communication </w:t>
      </w:r>
      <w:r w:rsidR="00FC5B0D" w:rsidRPr="003421BA">
        <w:rPr>
          <w:sz w:val="22"/>
          <w:szCs w:val="22"/>
        </w:rPr>
        <w:t>partners and target audiences</w:t>
      </w:r>
      <w:r w:rsidR="00852489" w:rsidRPr="003421BA">
        <w:rPr>
          <w:sz w:val="22"/>
          <w:szCs w:val="22"/>
        </w:rPr>
        <w:t>;</w:t>
      </w:r>
      <w:r w:rsidR="00FC5B0D" w:rsidRPr="003421BA">
        <w:rPr>
          <w:sz w:val="22"/>
          <w:szCs w:val="22"/>
        </w:rPr>
        <w:t xml:space="preserve"> </w:t>
      </w:r>
    </w:p>
    <w:p w14:paraId="3110D95A" w14:textId="77777777" w:rsidR="00441ACE" w:rsidRPr="00627249" w:rsidRDefault="00441ACE" w:rsidP="00221D18">
      <w:pPr>
        <w:pStyle w:val="ListParagraph"/>
        <w:ind w:left="0"/>
        <w:jc w:val="both"/>
        <w:rPr>
          <w:sz w:val="22"/>
          <w:szCs w:val="22"/>
        </w:rPr>
      </w:pPr>
    </w:p>
    <w:p w14:paraId="11B23F1C" w14:textId="6E971A9E" w:rsidR="003421BA" w:rsidRDefault="002F5EEF" w:rsidP="003421BA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3421BA">
        <w:rPr>
          <w:i/>
          <w:sz w:val="22"/>
          <w:szCs w:val="22"/>
        </w:rPr>
        <w:t>U</w:t>
      </w:r>
      <w:r w:rsidR="00E516FF" w:rsidRPr="003421BA">
        <w:rPr>
          <w:i/>
          <w:sz w:val="22"/>
          <w:szCs w:val="22"/>
        </w:rPr>
        <w:t xml:space="preserve">rges </w:t>
      </w:r>
      <w:r w:rsidR="00E516FF" w:rsidRPr="003421BA">
        <w:rPr>
          <w:sz w:val="22"/>
          <w:szCs w:val="22"/>
        </w:rPr>
        <w:t xml:space="preserve">Parties and other stakeholders working for the conservation of migratory </w:t>
      </w:r>
      <w:proofErr w:type="spellStart"/>
      <w:r w:rsidR="00E516FF" w:rsidRPr="003421BA">
        <w:rPr>
          <w:sz w:val="22"/>
          <w:szCs w:val="22"/>
        </w:rPr>
        <w:t>waterbirds</w:t>
      </w:r>
      <w:proofErr w:type="spellEnd"/>
      <w:r w:rsidR="00E516FF" w:rsidRPr="003421BA">
        <w:rPr>
          <w:sz w:val="22"/>
          <w:szCs w:val="22"/>
        </w:rPr>
        <w:t xml:space="preserve">, to assist </w:t>
      </w:r>
      <w:r w:rsidR="00196149" w:rsidRPr="003421BA">
        <w:rPr>
          <w:sz w:val="22"/>
          <w:szCs w:val="22"/>
        </w:rPr>
        <w:t xml:space="preserve">actively </w:t>
      </w:r>
      <w:r w:rsidR="00E516FF" w:rsidRPr="003421BA">
        <w:rPr>
          <w:sz w:val="22"/>
          <w:szCs w:val="22"/>
        </w:rPr>
        <w:t xml:space="preserve">in the implementation of the </w:t>
      </w:r>
      <w:r w:rsidR="002E4C93" w:rsidRPr="003421BA">
        <w:rPr>
          <w:sz w:val="22"/>
          <w:szCs w:val="22"/>
        </w:rPr>
        <w:t>Communication Strategy</w:t>
      </w:r>
      <w:r w:rsidR="00DC3687" w:rsidRPr="003421BA">
        <w:rPr>
          <w:sz w:val="22"/>
          <w:szCs w:val="22"/>
        </w:rPr>
        <w:t xml:space="preserve">, </w:t>
      </w:r>
      <w:r w:rsidR="00DC3687" w:rsidRPr="00860BAC">
        <w:rPr>
          <w:i/>
          <w:sz w:val="22"/>
          <w:szCs w:val="22"/>
        </w:rPr>
        <w:t>inter alia</w:t>
      </w:r>
      <w:r w:rsidR="00DC3687" w:rsidRPr="003421BA">
        <w:rPr>
          <w:sz w:val="22"/>
          <w:szCs w:val="22"/>
        </w:rPr>
        <w:t>,</w:t>
      </w:r>
      <w:r w:rsidR="009D754E" w:rsidRPr="003421BA">
        <w:rPr>
          <w:sz w:val="22"/>
          <w:szCs w:val="22"/>
        </w:rPr>
        <w:t xml:space="preserve"> by</w:t>
      </w:r>
      <w:r w:rsidR="00EF1032" w:rsidRPr="003421BA">
        <w:rPr>
          <w:sz w:val="22"/>
          <w:szCs w:val="22"/>
        </w:rPr>
        <w:t xml:space="preserve"> establishing</w:t>
      </w:r>
      <w:r w:rsidR="00C654BD">
        <w:rPr>
          <w:sz w:val="22"/>
          <w:szCs w:val="22"/>
        </w:rPr>
        <w:t xml:space="preserve"> new or </w:t>
      </w:r>
      <w:r w:rsidR="00EF1032" w:rsidRPr="003421BA">
        <w:rPr>
          <w:sz w:val="22"/>
          <w:szCs w:val="22"/>
        </w:rPr>
        <w:t>reinforcing</w:t>
      </w:r>
      <w:r w:rsidR="00C654BD">
        <w:rPr>
          <w:sz w:val="22"/>
          <w:szCs w:val="22"/>
        </w:rPr>
        <w:t xml:space="preserve"> existing</w:t>
      </w:r>
      <w:r w:rsidR="00EF1032" w:rsidRPr="003421BA">
        <w:rPr>
          <w:sz w:val="22"/>
          <w:szCs w:val="22"/>
        </w:rPr>
        <w:t xml:space="preserve"> strategic partnerships,</w:t>
      </w:r>
      <w:r w:rsidR="009D754E" w:rsidRPr="003421BA">
        <w:rPr>
          <w:sz w:val="22"/>
          <w:szCs w:val="22"/>
        </w:rPr>
        <w:t xml:space="preserve"> acting as </w:t>
      </w:r>
      <w:r w:rsidR="00001B7B" w:rsidRPr="003421BA">
        <w:rPr>
          <w:sz w:val="22"/>
          <w:szCs w:val="22"/>
        </w:rPr>
        <w:t xml:space="preserve">public </w:t>
      </w:r>
      <w:r w:rsidR="009D754E" w:rsidRPr="003421BA">
        <w:rPr>
          <w:sz w:val="22"/>
          <w:szCs w:val="22"/>
        </w:rPr>
        <w:t>advocates</w:t>
      </w:r>
      <w:r w:rsidR="00001B7B" w:rsidRPr="003421BA">
        <w:rPr>
          <w:sz w:val="22"/>
          <w:szCs w:val="22"/>
        </w:rPr>
        <w:t xml:space="preserve"> and </w:t>
      </w:r>
      <w:r w:rsidR="00C654BD" w:rsidRPr="003421BA">
        <w:rPr>
          <w:sz w:val="22"/>
          <w:szCs w:val="22"/>
        </w:rPr>
        <w:t>spokesp</w:t>
      </w:r>
      <w:r w:rsidR="00C654BD">
        <w:rPr>
          <w:sz w:val="22"/>
          <w:szCs w:val="22"/>
        </w:rPr>
        <w:t>eople</w:t>
      </w:r>
      <w:r w:rsidR="009D754E" w:rsidRPr="003421BA">
        <w:rPr>
          <w:sz w:val="22"/>
          <w:szCs w:val="22"/>
        </w:rPr>
        <w:t>,</w:t>
      </w:r>
      <w:r w:rsidR="002E4C93" w:rsidRPr="003421BA">
        <w:rPr>
          <w:sz w:val="22"/>
          <w:szCs w:val="22"/>
        </w:rPr>
        <w:t xml:space="preserve"> </w:t>
      </w:r>
      <w:r w:rsidR="00881C24" w:rsidRPr="003421BA">
        <w:rPr>
          <w:sz w:val="22"/>
          <w:szCs w:val="22"/>
        </w:rPr>
        <w:t xml:space="preserve">and </w:t>
      </w:r>
      <w:r w:rsidR="008E37BF" w:rsidRPr="003421BA">
        <w:rPr>
          <w:sz w:val="22"/>
          <w:szCs w:val="22"/>
        </w:rPr>
        <w:t>through</w:t>
      </w:r>
      <w:r w:rsidR="00E516FF" w:rsidRPr="003421BA">
        <w:rPr>
          <w:sz w:val="22"/>
          <w:szCs w:val="22"/>
        </w:rPr>
        <w:t xml:space="preserve"> voluntary contributions and in-kind support;</w:t>
      </w:r>
    </w:p>
    <w:p w14:paraId="54BD194C" w14:textId="77777777" w:rsidR="00860BAC" w:rsidRPr="00860BAC" w:rsidRDefault="00860BAC" w:rsidP="00860BAC">
      <w:pPr>
        <w:pStyle w:val="ListParagraph"/>
        <w:rPr>
          <w:sz w:val="22"/>
          <w:szCs w:val="22"/>
        </w:rPr>
      </w:pPr>
    </w:p>
    <w:p w14:paraId="20F87612" w14:textId="495472CF" w:rsidR="00FC52D9" w:rsidRPr="004B0DA1" w:rsidRDefault="006630D9" w:rsidP="004B1249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B0DA1">
        <w:rPr>
          <w:i/>
          <w:sz w:val="22"/>
          <w:szCs w:val="22"/>
        </w:rPr>
        <w:t xml:space="preserve">Requests </w:t>
      </w:r>
      <w:r w:rsidR="00FC52D9" w:rsidRPr="004B0DA1">
        <w:rPr>
          <w:sz w:val="22"/>
          <w:szCs w:val="22"/>
        </w:rPr>
        <w:t>Parties</w:t>
      </w:r>
      <w:r w:rsidR="00AF1978" w:rsidRPr="004B0DA1">
        <w:rPr>
          <w:sz w:val="22"/>
          <w:szCs w:val="22"/>
        </w:rPr>
        <w:t xml:space="preserve"> </w:t>
      </w:r>
      <w:r w:rsidR="00FC52D9" w:rsidRPr="004B0DA1">
        <w:rPr>
          <w:sz w:val="22"/>
          <w:szCs w:val="22"/>
        </w:rPr>
        <w:t xml:space="preserve">and other donors to </w:t>
      </w:r>
      <w:r w:rsidR="00001B7B" w:rsidRPr="004B0DA1">
        <w:rPr>
          <w:sz w:val="22"/>
          <w:szCs w:val="22"/>
        </w:rPr>
        <w:t xml:space="preserve">consider </w:t>
      </w:r>
      <w:r w:rsidR="00FC52D9" w:rsidRPr="004B0DA1">
        <w:rPr>
          <w:sz w:val="22"/>
          <w:szCs w:val="22"/>
        </w:rPr>
        <w:t>provid</w:t>
      </w:r>
      <w:r w:rsidR="00001B7B" w:rsidRPr="004B0DA1">
        <w:rPr>
          <w:sz w:val="22"/>
          <w:szCs w:val="22"/>
        </w:rPr>
        <w:t>ing</w:t>
      </w:r>
      <w:r w:rsidR="00FC52D9" w:rsidRPr="004B0DA1">
        <w:rPr>
          <w:sz w:val="22"/>
          <w:szCs w:val="22"/>
        </w:rPr>
        <w:t xml:space="preserve"> voluntary contributions towards</w:t>
      </w:r>
      <w:r w:rsidR="002F3937" w:rsidRPr="004B0DA1">
        <w:rPr>
          <w:sz w:val="22"/>
          <w:szCs w:val="22"/>
        </w:rPr>
        <w:t xml:space="preserve"> implementation of the Communication </w:t>
      </w:r>
      <w:r w:rsidR="006E189A" w:rsidRPr="004B0DA1">
        <w:rPr>
          <w:sz w:val="22"/>
          <w:szCs w:val="22"/>
        </w:rPr>
        <w:t xml:space="preserve">Strategy </w:t>
      </w:r>
      <w:r w:rsidR="00AF1978" w:rsidRPr="004B0DA1">
        <w:rPr>
          <w:sz w:val="22"/>
          <w:szCs w:val="22"/>
        </w:rPr>
        <w:t xml:space="preserve">and invites all Parties, Range States and other stakeholders to support </w:t>
      </w:r>
      <w:r w:rsidR="00001B7B" w:rsidRPr="004B0DA1">
        <w:rPr>
          <w:sz w:val="22"/>
          <w:szCs w:val="22"/>
        </w:rPr>
        <w:t>its implementation</w:t>
      </w:r>
      <w:r w:rsidR="00AF1978" w:rsidRPr="004B0DA1">
        <w:rPr>
          <w:sz w:val="22"/>
          <w:szCs w:val="22"/>
        </w:rPr>
        <w:t xml:space="preserve"> with the expertise, networks, skills and resources they have at their disposal.</w:t>
      </w:r>
    </w:p>
    <w:sectPr w:rsidR="00FC52D9" w:rsidRPr="004B0DA1" w:rsidSect="008D2B4D">
      <w:headerReference w:type="default" r:id="rId10"/>
      <w:footerReference w:type="default" r:id="rId11"/>
      <w:pgSz w:w="11906" w:h="16838" w:code="9"/>
      <w:pgMar w:top="1021" w:right="1134" w:bottom="851" w:left="1134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F01BF" w14:textId="77777777" w:rsidR="00262AD3" w:rsidRDefault="00262AD3">
      <w:r>
        <w:separator/>
      </w:r>
    </w:p>
  </w:endnote>
  <w:endnote w:type="continuationSeparator" w:id="0">
    <w:p w14:paraId="6B97E46F" w14:textId="77777777" w:rsidR="00262AD3" w:rsidRDefault="0026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19070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372131F" w14:textId="6F92C156" w:rsidR="00627249" w:rsidRPr="00627249" w:rsidRDefault="0003090E">
        <w:pPr>
          <w:pStyle w:val="Footer"/>
          <w:jc w:val="center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9280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FE49772" w14:textId="77777777" w:rsidR="00345219" w:rsidRPr="00627249" w:rsidRDefault="00345219">
        <w:pPr>
          <w:pStyle w:val="Footer"/>
          <w:jc w:val="center"/>
          <w:rPr>
            <w:sz w:val="20"/>
            <w:szCs w:val="20"/>
          </w:rPr>
        </w:pPr>
        <w:r w:rsidRPr="00627249">
          <w:rPr>
            <w:sz w:val="20"/>
            <w:szCs w:val="20"/>
          </w:rPr>
          <w:fldChar w:fldCharType="begin"/>
        </w:r>
        <w:r w:rsidRPr="00627249">
          <w:rPr>
            <w:sz w:val="20"/>
            <w:szCs w:val="20"/>
          </w:rPr>
          <w:instrText xml:space="preserve"> PAGE   \* MERGEFORMAT </w:instrText>
        </w:r>
        <w:r w:rsidRPr="00627249">
          <w:rPr>
            <w:sz w:val="20"/>
            <w:szCs w:val="20"/>
          </w:rPr>
          <w:fldChar w:fldCharType="separate"/>
        </w:r>
        <w:r w:rsidR="0003090E">
          <w:rPr>
            <w:noProof/>
            <w:sz w:val="20"/>
            <w:szCs w:val="20"/>
          </w:rPr>
          <w:t>2</w:t>
        </w:r>
        <w:r w:rsidRPr="0062724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36F1" w14:textId="77777777" w:rsidR="00262AD3" w:rsidRDefault="00262AD3">
      <w:r>
        <w:rPr>
          <w:color w:val="000000"/>
        </w:rPr>
        <w:separator/>
      </w:r>
    </w:p>
  </w:footnote>
  <w:footnote w:type="continuationSeparator" w:id="0">
    <w:p w14:paraId="7D4F852F" w14:textId="77777777" w:rsidR="00262AD3" w:rsidRDefault="0026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3A6A3E" w14:paraId="1EC36838" w14:textId="77777777" w:rsidTr="001551BD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B4B343" w14:textId="77777777" w:rsidR="003A6A3E" w:rsidRDefault="003A6A3E" w:rsidP="003A6A3E"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51E572B5" wp14:editId="6A6E6A09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00100" cy="615315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1086" y="20731"/>
                    <wp:lineTo x="21086" y="0"/>
                    <wp:lineTo x="0" y="0"/>
                  </wp:wrapPolygon>
                </wp:wrapTight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4DCF61" w14:textId="77777777" w:rsidR="003A6A3E" w:rsidRDefault="003A6A3E" w:rsidP="003A6A3E">
          <w:pPr>
            <w:jc w:val="center"/>
            <w:rPr>
              <w:i/>
              <w:caps/>
            </w:rPr>
          </w:pPr>
          <w:r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7419A55C" w14:textId="77777777" w:rsidR="003A6A3E" w:rsidRDefault="003A6A3E" w:rsidP="003A6A3E">
          <w:pPr>
            <w:tabs>
              <w:tab w:val="left" w:pos="2415"/>
            </w:tabs>
            <w:jc w:val="center"/>
          </w:pPr>
          <w:r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E9B4A2" w14:textId="77777777" w:rsidR="003A6A3E" w:rsidRDefault="003A6A3E" w:rsidP="003A6A3E">
          <w:pPr>
            <w:jc w:val="right"/>
          </w:pPr>
          <w:r w:rsidRPr="000768ED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28E6C4C5" wp14:editId="381789D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766445" cy="615315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0938" y="20731"/>
                    <wp:lineTo x="20938" y="0"/>
                    <wp:lineTo x="0" y="0"/>
                  </wp:wrapPolygon>
                </wp:wrapTight>
                <wp:docPr id="2" name="Picture 2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6A3E" w14:paraId="74450E01" w14:textId="77777777" w:rsidTr="001551BD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81FD1E" w14:textId="77777777" w:rsidR="003A6A3E" w:rsidRDefault="003A6A3E" w:rsidP="003A6A3E">
          <w:pPr>
            <w:jc w:val="center"/>
          </w:pPr>
          <w:r>
            <w:rPr>
              <w:b/>
              <w:bCs/>
              <w:sz w:val="26"/>
              <w:szCs w:val="26"/>
            </w:rPr>
            <w:t>6</w:t>
          </w:r>
          <w:r>
            <w:rPr>
              <w:b/>
              <w:bCs/>
              <w:sz w:val="26"/>
              <w:szCs w:val="26"/>
              <w:vertAlign w:val="superscript"/>
            </w:rPr>
            <w:t>th</w:t>
          </w:r>
          <w:r>
            <w:rPr>
              <w:b/>
              <w:bCs/>
              <w:sz w:val="26"/>
              <w:szCs w:val="26"/>
            </w:rPr>
            <w:t xml:space="preserve"> </w:t>
          </w:r>
          <w:r>
            <w:rPr>
              <w:b/>
              <w:bCs/>
              <w:caps/>
              <w:sz w:val="26"/>
              <w:szCs w:val="26"/>
            </w:rPr>
            <w:t>Session of the Meeting of the Parties</w:t>
          </w:r>
        </w:p>
        <w:p w14:paraId="1AD83A66" w14:textId="77777777" w:rsidR="003A6A3E" w:rsidRDefault="003A6A3E" w:rsidP="003A6A3E">
          <w:pPr>
            <w:jc w:val="center"/>
          </w:pPr>
          <w:r>
            <w:rPr>
              <w:i/>
              <w:iCs/>
            </w:rPr>
            <w:t>9-14 November 2015, Bonn, Germany</w:t>
          </w:r>
        </w:p>
      </w:tc>
    </w:tr>
    <w:tr w:rsidR="003A6A3E" w14:paraId="17527880" w14:textId="77777777" w:rsidTr="001551BD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3729FC" w14:textId="77777777" w:rsidR="003A6A3E" w:rsidRDefault="003A6A3E" w:rsidP="003A6A3E">
          <w:pPr>
            <w:jc w:val="center"/>
          </w:pPr>
          <w:r>
            <w:rPr>
              <w:i/>
            </w:rPr>
            <w:t>“Making flyway conservation happen”</w:t>
          </w:r>
        </w:p>
      </w:tc>
    </w:tr>
  </w:tbl>
  <w:p w14:paraId="499D6110" w14:textId="77777777" w:rsidR="008D2B4D" w:rsidRDefault="008D2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18541" w14:textId="77777777" w:rsidR="005F4EC9" w:rsidRDefault="005F4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1215A"/>
    <w:multiLevelType w:val="hybridMultilevel"/>
    <w:tmpl w:val="FF9E183C"/>
    <w:lvl w:ilvl="0" w:tplc="06EE24B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3"/>
    <w:rsid w:val="00001B7B"/>
    <w:rsid w:val="00012EAB"/>
    <w:rsid w:val="00025CFD"/>
    <w:rsid w:val="00026781"/>
    <w:rsid w:val="0003090E"/>
    <w:rsid w:val="000404F3"/>
    <w:rsid w:val="00050F2B"/>
    <w:rsid w:val="00052976"/>
    <w:rsid w:val="00053754"/>
    <w:rsid w:val="00060F84"/>
    <w:rsid w:val="000655C5"/>
    <w:rsid w:val="00073A1F"/>
    <w:rsid w:val="000834ED"/>
    <w:rsid w:val="00087270"/>
    <w:rsid w:val="00092C67"/>
    <w:rsid w:val="00092E9B"/>
    <w:rsid w:val="0009713A"/>
    <w:rsid w:val="000A5DC1"/>
    <w:rsid w:val="000E6EDB"/>
    <w:rsid w:val="00111E7B"/>
    <w:rsid w:val="001162FC"/>
    <w:rsid w:val="00121CA8"/>
    <w:rsid w:val="001263D6"/>
    <w:rsid w:val="0013171A"/>
    <w:rsid w:val="0013594C"/>
    <w:rsid w:val="001454AA"/>
    <w:rsid w:val="00146C6C"/>
    <w:rsid w:val="00147551"/>
    <w:rsid w:val="00165E2B"/>
    <w:rsid w:val="00175F1C"/>
    <w:rsid w:val="00181B25"/>
    <w:rsid w:val="00196149"/>
    <w:rsid w:val="001C1286"/>
    <w:rsid w:val="001C7243"/>
    <w:rsid w:val="00221D18"/>
    <w:rsid w:val="00221DA4"/>
    <w:rsid w:val="00224165"/>
    <w:rsid w:val="00251125"/>
    <w:rsid w:val="00262AD3"/>
    <w:rsid w:val="00270ABE"/>
    <w:rsid w:val="002B7AA9"/>
    <w:rsid w:val="002C6D7B"/>
    <w:rsid w:val="002D4AD9"/>
    <w:rsid w:val="002E14CD"/>
    <w:rsid w:val="002E4C93"/>
    <w:rsid w:val="002F3937"/>
    <w:rsid w:val="002F5EEF"/>
    <w:rsid w:val="00300A86"/>
    <w:rsid w:val="00310BAD"/>
    <w:rsid w:val="00311062"/>
    <w:rsid w:val="003421BA"/>
    <w:rsid w:val="00345219"/>
    <w:rsid w:val="003517E9"/>
    <w:rsid w:val="00377B83"/>
    <w:rsid w:val="003A6A3E"/>
    <w:rsid w:val="003C5728"/>
    <w:rsid w:val="003D3824"/>
    <w:rsid w:val="00420796"/>
    <w:rsid w:val="00423D26"/>
    <w:rsid w:val="00426198"/>
    <w:rsid w:val="004312FD"/>
    <w:rsid w:val="00441ACE"/>
    <w:rsid w:val="0044496C"/>
    <w:rsid w:val="00446346"/>
    <w:rsid w:val="00462B3C"/>
    <w:rsid w:val="004631D6"/>
    <w:rsid w:val="0047332A"/>
    <w:rsid w:val="00475B9D"/>
    <w:rsid w:val="00476313"/>
    <w:rsid w:val="00492334"/>
    <w:rsid w:val="00492C7E"/>
    <w:rsid w:val="00497A8E"/>
    <w:rsid w:val="004A3376"/>
    <w:rsid w:val="004A7E40"/>
    <w:rsid w:val="004B0DA1"/>
    <w:rsid w:val="004D1780"/>
    <w:rsid w:val="004E54DC"/>
    <w:rsid w:val="0053792E"/>
    <w:rsid w:val="00541332"/>
    <w:rsid w:val="00552F4E"/>
    <w:rsid w:val="00563BA1"/>
    <w:rsid w:val="00576B0B"/>
    <w:rsid w:val="005833A2"/>
    <w:rsid w:val="005A3660"/>
    <w:rsid w:val="005C5188"/>
    <w:rsid w:val="005E1D6A"/>
    <w:rsid w:val="005E71D6"/>
    <w:rsid w:val="005E72D4"/>
    <w:rsid w:val="005F4EC9"/>
    <w:rsid w:val="00627249"/>
    <w:rsid w:val="00635378"/>
    <w:rsid w:val="006630D9"/>
    <w:rsid w:val="00666792"/>
    <w:rsid w:val="00673007"/>
    <w:rsid w:val="006A3FFC"/>
    <w:rsid w:val="006D3AA6"/>
    <w:rsid w:val="006E189A"/>
    <w:rsid w:val="006F2E6C"/>
    <w:rsid w:val="007040BC"/>
    <w:rsid w:val="00721411"/>
    <w:rsid w:val="007350D9"/>
    <w:rsid w:val="007367BC"/>
    <w:rsid w:val="00745E55"/>
    <w:rsid w:val="00754151"/>
    <w:rsid w:val="00754CCD"/>
    <w:rsid w:val="00782DB2"/>
    <w:rsid w:val="0078738F"/>
    <w:rsid w:val="007A041D"/>
    <w:rsid w:val="007A180A"/>
    <w:rsid w:val="007A1E5F"/>
    <w:rsid w:val="007B230B"/>
    <w:rsid w:val="007D3855"/>
    <w:rsid w:val="007E2540"/>
    <w:rsid w:val="007E37CF"/>
    <w:rsid w:val="007E550B"/>
    <w:rsid w:val="007E77B4"/>
    <w:rsid w:val="007E7CB1"/>
    <w:rsid w:val="00831EAD"/>
    <w:rsid w:val="00840F11"/>
    <w:rsid w:val="008507B1"/>
    <w:rsid w:val="00850D11"/>
    <w:rsid w:val="00852489"/>
    <w:rsid w:val="00860BAC"/>
    <w:rsid w:val="00881C24"/>
    <w:rsid w:val="00885016"/>
    <w:rsid w:val="008915BD"/>
    <w:rsid w:val="008A1AD7"/>
    <w:rsid w:val="008B228D"/>
    <w:rsid w:val="008B61ED"/>
    <w:rsid w:val="008C46B7"/>
    <w:rsid w:val="008D2B4D"/>
    <w:rsid w:val="008E37BF"/>
    <w:rsid w:val="0091607B"/>
    <w:rsid w:val="00935CF7"/>
    <w:rsid w:val="00943444"/>
    <w:rsid w:val="00952392"/>
    <w:rsid w:val="00972DF9"/>
    <w:rsid w:val="0099461D"/>
    <w:rsid w:val="00996AC2"/>
    <w:rsid w:val="009A2379"/>
    <w:rsid w:val="009A5EF5"/>
    <w:rsid w:val="009C31B0"/>
    <w:rsid w:val="009D754E"/>
    <w:rsid w:val="009E0CDE"/>
    <w:rsid w:val="009E749B"/>
    <w:rsid w:val="009E7C80"/>
    <w:rsid w:val="00A01C2A"/>
    <w:rsid w:val="00A07376"/>
    <w:rsid w:val="00A16B32"/>
    <w:rsid w:val="00A3541F"/>
    <w:rsid w:val="00A373CA"/>
    <w:rsid w:val="00A617E6"/>
    <w:rsid w:val="00A63537"/>
    <w:rsid w:val="00A71FAF"/>
    <w:rsid w:val="00A75517"/>
    <w:rsid w:val="00A8656F"/>
    <w:rsid w:val="00A87899"/>
    <w:rsid w:val="00A91EF7"/>
    <w:rsid w:val="00A937A8"/>
    <w:rsid w:val="00A94913"/>
    <w:rsid w:val="00A95642"/>
    <w:rsid w:val="00AA3024"/>
    <w:rsid w:val="00AB1574"/>
    <w:rsid w:val="00AB28D9"/>
    <w:rsid w:val="00AC20BC"/>
    <w:rsid w:val="00AF1978"/>
    <w:rsid w:val="00B07AD0"/>
    <w:rsid w:val="00B107D9"/>
    <w:rsid w:val="00B17E58"/>
    <w:rsid w:val="00B26103"/>
    <w:rsid w:val="00B35387"/>
    <w:rsid w:val="00B52243"/>
    <w:rsid w:val="00B55C07"/>
    <w:rsid w:val="00B6234F"/>
    <w:rsid w:val="00B63694"/>
    <w:rsid w:val="00B74818"/>
    <w:rsid w:val="00B8508E"/>
    <w:rsid w:val="00B90079"/>
    <w:rsid w:val="00BB146B"/>
    <w:rsid w:val="00BC227B"/>
    <w:rsid w:val="00BC573F"/>
    <w:rsid w:val="00BC631F"/>
    <w:rsid w:val="00BD6EED"/>
    <w:rsid w:val="00C1281E"/>
    <w:rsid w:val="00C151B1"/>
    <w:rsid w:val="00C31B3A"/>
    <w:rsid w:val="00C35592"/>
    <w:rsid w:val="00C503FF"/>
    <w:rsid w:val="00C651DE"/>
    <w:rsid w:val="00C654BD"/>
    <w:rsid w:val="00C82B25"/>
    <w:rsid w:val="00C86F77"/>
    <w:rsid w:val="00CC4ED4"/>
    <w:rsid w:val="00D029CC"/>
    <w:rsid w:val="00D05D92"/>
    <w:rsid w:val="00D2180C"/>
    <w:rsid w:val="00D30BB2"/>
    <w:rsid w:val="00D35319"/>
    <w:rsid w:val="00D61E89"/>
    <w:rsid w:val="00D7125B"/>
    <w:rsid w:val="00D83792"/>
    <w:rsid w:val="00D964BD"/>
    <w:rsid w:val="00D97F3E"/>
    <w:rsid w:val="00DA4361"/>
    <w:rsid w:val="00DB3CDC"/>
    <w:rsid w:val="00DC2AD8"/>
    <w:rsid w:val="00DC3687"/>
    <w:rsid w:val="00DC54FF"/>
    <w:rsid w:val="00DE0FAF"/>
    <w:rsid w:val="00DE2D7B"/>
    <w:rsid w:val="00E0049F"/>
    <w:rsid w:val="00E21C40"/>
    <w:rsid w:val="00E22692"/>
    <w:rsid w:val="00E32977"/>
    <w:rsid w:val="00E420BE"/>
    <w:rsid w:val="00E516FF"/>
    <w:rsid w:val="00E60B7F"/>
    <w:rsid w:val="00E838B9"/>
    <w:rsid w:val="00E9162A"/>
    <w:rsid w:val="00EB0126"/>
    <w:rsid w:val="00EB0A60"/>
    <w:rsid w:val="00EB44DF"/>
    <w:rsid w:val="00ED5DDA"/>
    <w:rsid w:val="00ED5F86"/>
    <w:rsid w:val="00EE2309"/>
    <w:rsid w:val="00EF1032"/>
    <w:rsid w:val="00F06306"/>
    <w:rsid w:val="00F208AA"/>
    <w:rsid w:val="00F37850"/>
    <w:rsid w:val="00F521A0"/>
    <w:rsid w:val="00F70C80"/>
    <w:rsid w:val="00F9361B"/>
    <w:rsid w:val="00F93A96"/>
    <w:rsid w:val="00F94861"/>
    <w:rsid w:val="00FA7664"/>
    <w:rsid w:val="00FC52D9"/>
    <w:rsid w:val="00FC5B0D"/>
    <w:rsid w:val="00FF37A9"/>
    <w:rsid w:val="00FF727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702962"/>
  <w15:docId w15:val="{466A35D2-D388-4B37-9A34-53A33D4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EE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EEF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5EEF"/>
    <w:pPr>
      <w:autoSpaceDN/>
      <w:jc w:val="left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A7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E40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5B7B-A399-40B0-A6A2-81357119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Joint Nature Conservation Committee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Kremer (UNEP/AEWA Secretariat)</dc:creator>
  <cp:lastModifiedBy>Jolanta Kremer (UNEP/AEWA Secretariat)</cp:lastModifiedBy>
  <cp:revision>5</cp:revision>
  <cp:lastPrinted>2015-11-13T18:21:00Z</cp:lastPrinted>
  <dcterms:created xsi:type="dcterms:W3CDTF">2015-11-25T09:47:00Z</dcterms:created>
  <dcterms:modified xsi:type="dcterms:W3CDTF">2015-11-26T14:41:00Z</dcterms:modified>
</cp:coreProperties>
</file>