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F3" w:rsidRDefault="000404F3"/>
    <w:p w:rsidR="00B97A01" w:rsidRPr="00494E93" w:rsidRDefault="00B97A01" w:rsidP="00B97A01">
      <w:pPr>
        <w:ind w:right="142"/>
        <w:jc w:val="center"/>
        <w:rPr>
          <w:b/>
        </w:rPr>
      </w:pPr>
      <w:r w:rsidRPr="00494E93">
        <w:rPr>
          <w:b/>
        </w:rPr>
        <w:t>ESTABLISHMENT AND OPERATION OF A EUROPEAN GOOSE MANAGEMENT PLATFORM UNDER AEWA (2016-2018)</w:t>
      </w:r>
    </w:p>
    <w:p w:rsidR="00B97A01" w:rsidRDefault="00B97A01" w:rsidP="00B97A01">
      <w:pPr>
        <w:ind w:right="142"/>
      </w:pPr>
    </w:p>
    <w:p w:rsidR="00B97A01" w:rsidRDefault="00B97A01" w:rsidP="00B97A01">
      <w:pPr>
        <w:ind w:right="142"/>
      </w:pPr>
    </w:p>
    <w:p w:rsidR="00B97A01" w:rsidRPr="00494E93" w:rsidRDefault="00B97A01" w:rsidP="00B97A01">
      <w:pPr>
        <w:ind w:right="142"/>
        <w:rPr>
          <w:b/>
        </w:rPr>
      </w:pPr>
      <w:r w:rsidRPr="00494E93">
        <w:rPr>
          <w:b/>
        </w:rPr>
        <w:t>Introduction</w:t>
      </w:r>
    </w:p>
    <w:p w:rsidR="00B97A01" w:rsidRDefault="00B97A01" w:rsidP="00B97A01">
      <w:pPr>
        <w:ind w:right="142"/>
      </w:pPr>
    </w:p>
    <w:p w:rsidR="00B97A01" w:rsidRPr="00494E93" w:rsidRDefault="00B97A01" w:rsidP="00B97A01">
      <w:pPr>
        <w:ind w:right="142"/>
        <w:jc w:val="both"/>
        <w:rPr>
          <w:sz w:val="22"/>
          <w:szCs w:val="22"/>
        </w:rPr>
      </w:pPr>
      <w:r w:rsidRPr="00494E93">
        <w:rPr>
          <w:sz w:val="22"/>
          <w:szCs w:val="22"/>
        </w:rPr>
        <w:t xml:space="preserve">The African-Eurasian Migratory </w:t>
      </w:r>
      <w:proofErr w:type="spellStart"/>
      <w:r w:rsidRPr="00494E93">
        <w:rPr>
          <w:sz w:val="22"/>
          <w:szCs w:val="22"/>
        </w:rPr>
        <w:t>Waterbird</w:t>
      </w:r>
      <w:proofErr w:type="spellEnd"/>
      <w:r w:rsidRPr="00494E93">
        <w:rPr>
          <w:sz w:val="22"/>
          <w:szCs w:val="22"/>
        </w:rPr>
        <w:t xml:space="preserve"> Agreement (AEWA) provides for the conservation as well as the sustainable use of the migratory </w:t>
      </w:r>
      <w:proofErr w:type="spellStart"/>
      <w:r w:rsidRPr="00494E93">
        <w:rPr>
          <w:sz w:val="22"/>
          <w:szCs w:val="22"/>
        </w:rPr>
        <w:t>waterbird</w:t>
      </w:r>
      <w:proofErr w:type="spellEnd"/>
      <w:r w:rsidRPr="00494E93">
        <w:rPr>
          <w:sz w:val="22"/>
          <w:szCs w:val="22"/>
        </w:rPr>
        <w:t xml:space="preserve"> populations it covers. Addressing the conservation and management of declining as well as growing goose populations in Europe call</w:t>
      </w:r>
      <w:r>
        <w:rPr>
          <w:sz w:val="22"/>
          <w:szCs w:val="22"/>
        </w:rPr>
        <w:t>s</w:t>
      </w:r>
      <w:r w:rsidRPr="00494E93">
        <w:rPr>
          <w:sz w:val="22"/>
          <w:szCs w:val="22"/>
        </w:rPr>
        <w:t xml:space="preserve"> for a coordinated flyway approach amongst all range states concerned. To facilitate and implement such an approach, it is suggested to establish a European Goose Management Platform under AEWA as called for by the AEWA Parties through Resolution 6.14.</w:t>
      </w:r>
    </w:p>
    <w:p w:rsidR="00B97A01" w:rsidRPr="00494E93" w:rsidRDefault="00B97A01" w:rsidP="00B97A01">
      <w:pPr>
        <w:ind w:right="142"/>
        <w:jc w:val="both"/>
        <w:rPr>
          <w:sz w:val="22"/>
          <w:szCs w:val="22"/>
        </w:rPr>
      </w:pPr>
    </w:p>
    <w:p w:rsidR="00B97A01" w:rsidRPr="00494E93" w:rsidRDefault="00B97A01" w:rsidP="00B97A01">
      <w:pPr>
        <w:ind w:right="142"/>
        <w:jc w:val="both"/>
        <w:rPr>
          <w:sz w:val="22"/>
          <w:szCs w:val="22"/>
        </w:rPr>
      </w:pPr>
      <w:r w:rsidRPr="00494E93">
        <w:rPr>
          <w:sz w:val="22"/>
          <w:szCs w:val="22"/>
        </w:rPr>
        <w:t xml:space="preserve">This document outlines the suggested scope and institutional structure of the Platform as well as timelines for implementation of the various envisaged steps and funding needs. The document will serve as the basis for the discussions between range states at the meeting on the establishment of the Platform on 11-12 May 2016 in Paris, France.  </w:t>
      </w:r>
    </w:p>
    <w:p w:rsidR="00B97A01" w:rsidRDefault="00B97A01" w:rsidP="00B97A01">
      <w:pPr>
        <w:ind w:right="142"/>
        <w:jc w:val="both"/>
      </w:pPr>
    </w:p>
    <w:p w:rsidR="00B97A01" w:rsidRDefault="00B97A01" w:rsidP="00B97A01">
      <w:pPr>
        <w:ind w:right="142"/>
        <w:jc w:val="both"/>
      </w:pPr>
    </w:p>
    <w:p w:rsidR="00B97A01" w:rsidRPr="00494E93" w:rsidRDefault="00B97A01" w:rsidP="00B97A01">
      <w:pPr>
        <w:ind w:right="142"/>
        <w:jc w:val="both"/>
        <w:rPr>
          <w:b/>
        </w:rPr>
      </w:pPr>
      <w:r w:rsidRPr="00494E93">
        <w:rPr>
          <w:b/>
        </w:rPr>
        <w:t xml:space="preserve">Action </w:t>
      </w:r>
      <w:r w:rsidR="0039722A">
        <w:rPr>
          <w:b/>
        </w:rPr>
        <w:t>R</w:t>
      </w:r>
      <w:r w:rsidRPr="00494E93">
        <w:rPr>
          <w:b/>
        </w:rPr>
        <w:t xml:space="preserve">equested from the </w:t>
      </w:r>
      <w:r w:rsidR="0039722A">
        <w:rPr>
          <w:b/>
        </w:rPr>
        <w:t>R</w:t>
      </w:r>
      <w:r w:rsidRPr="00494E93">
        <w:rPr>
          <w:b/>
        </w:rPr>
        <w:t xml:space="preserve">ange </w:t>
      </w:r>
      <w:r w:rsidR="0039722A">
        <w:rPr>
          <w:b/>
        </w:rPr>
        <w:t>S</w:t>
      </w:r>
      <w:r w:rsidRPr="00494E93">
        <w:rPr>
          <w:b/>
        </w:rPr>
        <w:t>tates</w:t>
      </w:r>
    </w:p>
    <w:p w:rsidR="00B97A01" w:rsidRDefault="00B97A01" w:rsidP="00B97A01">
      <w:pPr>
        <w:ind w:right="142"/>
        <w:jc w:val="both"/>
      </w:pPr>
    </w:p>
    <w:p w:rsidR="00B97A01" w:rsidRDefault="00B97A01" w:rsidP="00B97A01">
      <w:pPr>
        <w:ind w:right="142"/>
        <w:jc w:val="both"/>
        <w:rPr>
          <w:sz w:val="22"/>
          <w:szCs w:val="22"/>
        </w:rPr>
      </w:pPr>
      <w:r w:rsidRPr="00494E93">
        <w:rPr>
          <w:sz w:val="22"/>
          <w:szCs w:val="22"/>
        </w:rPr>
        <w:t>Range states are requested to review the document and to consider the suggested institutional and financial arrangements linked to running such an initiative, which are to be agreed at the meeting</w:t>
      </w:r>
      <w:r>
        <w:rPr>
          <w:sz w:val="22"/>
          <w:szCs w:val="22"/>
        </w:rPr>
        <w:t>.</w:t>
      </w:r>
    </w:p>
    <w:p w:rsidR="007D650A" w:rsidRDefault="007D650A" w:rsidP="00B97A01">
      <w:pPr>
        <w:ind w:right="142"/>
        <w:jc w:val="both"/>
        <w:rPr>
          <w:sz w:val="22"/>
          <w:szCs w:val="22"/>
        </w:rPr>
        <w:sectPr w:rsidR="007D650A" w:rsidSect="00DE143A">
          <w:headerReference w:type="default" r:id="rId7"/>
          <w:footerReference w:type="default" r:id="rId8"/>
          <w:pgSz w:w="11906" w:h="16838" w:code="9"/>
          <w:pgMar w:top="1134" w:right="707" w:bottom="567" w:left="1134" w:header="709" w:footer="709" w:gutter="0"/>
          <w:cols w:space="720"/>
        </w:sectPr>
      </w:pPr>
    </w:p>
    <w:p w:rsidR="000404F3" w:rsidRDefault="000404F3" w:rsidP="00B97A01">
      <w:pPr>
        <w:jc w:val="both"/>
      </w:pPr>
    </w:p>
    <w:p w:rsidR="00B97A01" w:rsidRPr="00B72E8E" w:rsidRDefault="00B97A01" w:rsidP="00B72E8E">
      <w:pPr>
        <w:jc w:val="center"/>
        <w:rPr>
          <w:b/>
        </w:rPr>
      </w:pPr>
      <w:r w:rsidRPr="00B72E8E">
        <w:rPr>
          <w:b/>
        </w:rPr>
        <w:t xml:space="preserve">ESTABLISHMENT AND </w:t>
      </w:r>
      <w:r>
        <w:rPr>
          <w:b/>
        </w:rPr>
        <w:t>O</w:t>
      </w:r>
      <w:r w:rsidRPr="00B72E8E">
        <w:rPr>
          <w:b/>
        </w:rPr>
        <w:t>PERATION OF A EUROPEAN GOOSE MANAGEMENT PLATFORM UNDER AEWA (2016-2018)</w:t>
      </w:r>
    </w:p>
    <w:p w:rsidR="00B97A01" w:rsidRDefault="00B97A01" w:rsidP="00F1559B">
      <w:pPr>
        <w:rPr>
          <w:b/>
        </w:rPr>
      </w:pPr>
    </w:p>
    <w:p w:rsidR="00B97A01" w:rsidRDefault="00B97A01" w:rsidP="00F1559B">
      <w:pPr>
        <w:rPr>
          <w:b/>
        </w:rPr>
      </w:pPr>
    </w:p>
    <w:p w:rsidR="00B97A01" w:rsidRDefault="00B97A01" w:rsidP="00F1559B">
      <w:pPr>
        <w:rPr>
          <w:b/>
        </w:rPr>
      </w:pPr>
    </w:p>
    <w:p w:rsidR="00B97A01" w:rsidRDefault="00B97A01" w:rsidP="00B97A01">
      <w:pPr>
        <w:tabs>
          <w:tab w:val="left" w:pos="10065"/>
        </w:tabs>
        <w:rPr>
          <w:b/>
          <w:sz w:val="22"/>
          <w:szCs w:val="22"/>
        </w:rPr>
      </w:pPr>
      <w:r>
        <w:rPr>
          <w:b/>
          <w:sz w:val="22"/>
          <w:szCs w:val="22"/>
        </w:rPr>
        <w:t>Table of Contents</w:t>
      </w:r>
    </w:p>
    <w:p w:rsidR="00B97A01" w:rsidRPr="000D5914" w:rsidRDefault="00B97A01" w:rsidP="00B97A01">
      <w:pPr>
        <w:tabs>
          <w:tab w:val="left" w:pos="10065"/>
        </w:tabs>
        <w:rPr>
          <w:b/>
          <w:sz w:val="22"/>
          <w:szCs w:val="22"/>
        </w:rPr>
      </w:pPr>
    </w:p>
    <w:p w:rsidR="00B97A01" w:rsidRPr="00B97A01" w:rsidRDefault="00B97A01" w:rsidP="00B97A01">
      <w:pPr>
        <w:pStyle w:val="TOC1"/>
        <w:rPr>
          <w:rFonts w:asciiTheme="minorHAnsi" w:eastAsiaTheme="minorEastAsia" w:hAnsiTheme="minorHAnsi" w:cstheme="minorBidi"/>
          <w:noProof/>
          <w:sz w:val="22"/>
          <w:szCs w:val="22"/>
          <w:lang w:val="en-US" w:eastAsia="en-US"/>
        </w:rPr>
      </w:pPr>
      <w:r w:rsidRPr="00B97A01">
        <w:rPr>
          <w:b/>
          <w:sz w:val="22"/>
          <w:szCs w:val="22"/>
        </w:rPr>
        <w:fldChar w:fldCharType="begin"/>
      </w:r>
      <w:r w:rsidRPr="00B97A01">
        <w:rPr>
          <w:b/>
          <w:sz w:val="22"/>
          <w:szCs w:val="22"/>
        </w:rPr>
        <w:instrText xml:space="preserve"> TOC \o "1-1" \h \z \u </w:instrText>
      </w:r>
      <w:r w:rsidRPr="00B97A01">
        <w:rPr>
          <w:b/>
          <w:sz w:val="22"/>
          <w:szCs w:val="22"/>
        </w:rPr>
        <w:fldChar w:fldCharType="separate"/>
      </w:r>
      <w:hyperlink w:anchor="_Toc448762264" w:history="1">
        <w:r w:rsidRPr="00B97A01">
          <w:rPr>
            <w:rStyle w:val="Hyperlink"/>
            <w:noProof/>
            <w:sz w:val="22"/>
            <w:szCs w:val="22"/>
          </w:rPr>
          <w:t>1. Background and Justification</w:t>
        </w:r>
        <w:r w:rsidRPr="00B97A01">
          <w:rPr>
            <w:noProof/>
            <w:webHidden/>
            <w:sz w:val="22"/>
            <w:szCs w:val="22"/>
          </w:rPr>
          <w:tab/>
        </w:r>
        <w:r w:rsidRPr="00B97A01">
          <w:rPr>
            <w:noProof/>
            <w:webHidden/>
            <w:sz w:val="22"/>
            <w:szCs w:val="22"/>
          </w:rPr>
          <w:fldChar w:fldCharType="begin"/>
        </w:r>
        <w:r w:rsidRPr="00B97A01">
          <w:rPr>
            <w:noProof/>
            <w:webHidden/>
            <w:sz w:val="22"/>
            <w:szCs w:val="22"/>
          </w:rPr>
          <w:instrText xml:space="preserve"> PAGEREF _Toc448762264 \h </w:instrText>
        </w:r>
        <w:r w:rsidRPr="00B97A01">
          <w:rPr>
            <w:noProof/>
            <w:webHidden/>
            <w:sz w:val="22"/>
            <w:szCs w:val="22"/>
          </w:rPr>
        </w:r>
        <w:r w:rsidRPr="00B97A01">
          <w:rPr>
            <w:noProof/>
            <w:webHidden/>
            <w:sz w:val="22"/>
            <w:szCs w:val="22"/>
          </w:rPr>
          <w:fldChar w:fldCharType="separate"/>
        </w:r>
        <w:r w:rsidR="00791967">
          <w:rPr>
            <w:noProof/>
            <w:webHidden/>
            <w:sz w:val="22"/>
            <w:szCs w:val="22"/>
          </w:rPr>
          <w:t>2</w:t>
        </w:r>
        <w:r w:rsidRPr="00B97A01">
          <w:rPr>
            <w:noProof/>
            <w:webHidden/>
            <w:sz w:val="22"/>
            <w:szCs w:val="22"/>
          </w:rPr>
          <w:fldChar w:fldCharType="end"/>
        </w:r>
      </w:hyperlink>
    </w:p>
    <w:p w:rsidR="00B97A01" w:rsidRPr="00B97A01" w:rsidRDefault="00791967" w:rsidP="00B97A01">
      <w:pPr>
        <w:pStyle w:val="TOC1"/>
        <w:rPr>
          <w:rFonts w:asciiTheme="minorHAnsi" w:eastAsiaTheme="minorEastAsia" w:hAnsiTheme="minorHAnsi" w:cstheme="minorBidi"/>
          <w:noProof/>
          <w:sz w:val="22"/>
          <w:szCs w:val="22"/>
          <w:lang w:val="en-US" w:eastAsia="en-US"/>
        </w:rPr>
      </w:pPr>
      <w:hyperlink w:anchor="_Toc448762265" w:history="1">
        <w:r w:rsidR="00B97A01" w:rsidRPr="00B97A01">
          <w:rPr>
            <w:rStyle w:val="Hyperlink"/>
            <w:noProof/>
            <w:sz w:val="22"/>
            <w:szCs w:val="22"/>
          </w:rPr>
          <w:t>2. Goal, Structure and Process Workflow of the European Goose Management Platform (EuroGMP)</w:t>
        </w:r>
        <w:r w:rsidR="00B97A01" w:rsidRPr="00B97A01">
          <w:rPr>
            <w:noProof/>
            <w:webHidden/>
            <w:sz w:val="22"/>
            <w:szCs w:val="22"/>
          </w:rPr>
          <w:tab/>
        </w:r>
        <w:r w:rsidR="00B97A01" w:rsidRPr="00B97A01">
          <w:rPr>
            <w:noProof/>
            <w:webHidden/>
            <w:sz w:val="22"/>
            <w:szCs w:val="22"/>
          </w:rPr>
          <w:fldChar w:fldCharType="begin"/>
        </w:r>
        <w:r w:rsidR="00B97A01" w:rsidRPr="00B97A01">
          <w:rPr>
            <w:noProof/>
            <w:webHidden/>
            <w:sz w:val="22"/>
            <w:szCs w:val="22"/>
          </w:rPr>
          <w:instrText xml:space="preserve"> PAGEREF _Toc448762265 \h </w:instrText>
        </w:r>
        <w:r w:rsidR="00B97A01" w:rsidRPr="00B97A01">
          <w:rPr>
            <w:noProof/>
            <w:webHidden/>
            <w:sz w:val="22"/>
            <w:szCs w:val="22"/>
          </w:rPr>
        </w:r>
        <w:r w:rsidR="00B97A01" w:rsidRPr="00B97A01">
          <w:rPr>
            <w:noProof/>
            <w:webHidden/>
            <w:sz w:val="22"/>
            <w:szCs w:val="22"/>
          </w:rPr>
          <w:fldChar w:fldCharType="separate"/>
        </w:r>
        <w:r>
          <w:rPr>
            <w:noProof/>
            <w:webHidden/>
            <w:sz w:val="22"/>
            <w:szCs w:val="22"/>
          </w:rPr>
          <w:t>3</w:t>
        </w:r>
        <w:r w:rsidR="00B97A01" w:rsidRPr="00B97A01">
          <w:rPr>
            <w:noProof/>
            <w:webHidden/>
            <w:sz w:val="22"/>
            <w:szCs w:val="22"/>
          </w:rPr>
          <w:fldChar w:fldCharType="end"/>
        </w:r>
      </w:hyperlink>
    </w:p>
    <w:p w:rsidR="00B97A01" w:rsidRPr="00B97A01" w:rsidRDefault="00791967" w:rsidP="00B97A01">
      <w:pPr>
        <w:pStyle w:val="TOC1"/>
        <w:rPr>
          <w:rFonts w:asciiTheme="minorHAnsi" w:eastAsiaTheme="minorEastAsia" w:hAnsiTheme="minorHAnsi" w:cstheme="minorBidi"/>
          <w:noProof/>
          <w:sz w:val="22"/>
          <w:szCs w:val="22"/>
          <w:lang w:val="en-US" w:eastAsia="en-US"/>
        </w:rPr>
      </w:pPr>
      <w:hyperlink w:anchor="_Toc448762266" w:history="1">
        <w:r w:rsidR="00B97A01" w:rsidRPr="00B97A01">
          <w:rPr>
            <w:rStyle w:val="Hyperlink"/>
            <w:noProof/>
            <w:sz w:val="22"/>
            <w:szCs w:val="22"/>
          </w:rPr>
          <w:t>3. Required Additional Capacity</w:t>
        </w:r>
        <w:r w:rsidR="00B97A01" w:rsidRPr="00B97A01">
          <w:rPr>
            <w:noProof/>
            <w:webHidden/>
            <w:sz w:val="22"/>
            <w:szCs w:val="22"/>
          </w:rPr>
          <w:tab/>
        </w:r>
        <w:r w:rsidR="00B97A01" w:rsidRPr="00B97A01">
          <w:rPr>
            <w:noProof/>
            <w:webHidden/>
            <w:sz w:val="22"/>
            <w:szCs w:val="22"/>
          </w:rPr>
          <w:fldChar w:fldCharType="begin"/>
        </w:r>
        <w:r w:rsidR="00B97A01" w:rsidRPr="00B97A01">
          <w:rPr>
            <w:noProof/>
            <w:webHidden/>
            <w:sz w:val="22"/>
            <w:szCs w:val="22"/>
          </w:rPr>
          <w:instrText xml:space="preserve"> PAGEREF _Toc448762266 \h </w:instrText>
        </w:r>
        <w:r w:rsidR="00B97A01" w:rsidRPr="00B97A01">
          <w:rPr>
            <w:noProof/>
            <w:webHidden/>
            <w:sz w:val="22"/>
            <w:szCs w:val="22"/>
          </w:rPr>
        </w:r>
        <w:r w:rsidR="00B97A01" w:rsidRPr="00B97A01">
          <w:rPr>
            <w:noProof/>
            <w:webHidden/>
            <w:sz w:val="22"/>
            <w:szCs w:val="22"/>
          </w:rPr>
          <w:fldChar w:fldCharType="separate"/>
        </w:r>
        <w:r>
          <w:rPr>
            <w:noProof/>
            <w:webHidden/>
            <w:sz w:val="22"/>
            <w:szCs w:val="22"/>
          </w:rPr>
          <w:t>4</w:t>
        </w:r>
        <w:r w:rsidR="00B97A01" w:rsidRPr="00B97A01">
          <w:rPr>
            <w:noProof/>
            <w:webHidden/>
            <w:sz w:val="22"/>
            <w:szCs w:val="22"/>
          </w:rPr>
          <w:fldChar w:fldCharType="end"/>
        </w:r>
      </w:hyperlink>
    </w:p>
    <w:p w:rsidR="00B97A01" w:rsidRPr="00B97A01" w:rsidRDefault="00791967" w:rsidP="00B97A01">
      <w:pPr>
        <w:pStyle w:val="TOC1"/>
        <w:rPr>
          <w:rFonts w:asciiTheme="minorHAnsi" w:eastAsiaTheme="minorEastAsia" w:hAnsiTheme="minorHAnsi" w:cstheme="minorBidi"/>
          <w:noProof/>
          <w:sz w:val="22"/>
          <w:szCs w:val="22"/>
          <w:lang w:val="en-US" w:eastAsia="en-US"/>
        </w:rPr>
      </w:pPr>
      <w:hyperlink w:anchor="_Toc448762267" w:history="1">
        <w:r w:rsidR="00B97A01" w:rsidRPr="00B97A01">
          <w:rPr>
            <w:rStyle w:val="Hyperlink"/>
            <w:noProof/>
            <w:sz w:val="22"/>
            <w:szCs w:val="22"/>
          </w:rPr>
          <w:t>4. Timelines and Milestones for EuroGMP Establishment and Operations Phase-in</w:t>
        </w:r>
        <w:r w:rsidR="00B97A01" w:rsidRPr="00B97A01">
          <w:rPr>
            <w:noProof/>
            <w:webHidden/>
            <w:sz w:val="22"/>
            <w:szCs w:val="22"/>
          </w:rPr>
          <w:tab/>
        </w:r>
        <w:r w:rsidR="00B97A01" w:rsidRPr="00B97A01">
          <w:rPr>
            <w:noProof/>
            <w:webHidden/>
            <w:sz w:val="22"/>
            <w:szCs w:val="22"/>
          </w:rPr>
          <w:fldChar w:fldCharType="begin"/>
        </w:r>
        <w:r w:rsidR="00B97A01" w:rsidRPr="00B97A01">
          <w:rPr>
            <w:noProof/>
            <w:webHidden/>
            <w:sz w:val="22"/>
            <w:szCs w:val="22"/>
          </w:rPr>
          <w:instrText xml:space="preserve"> PAGEREF _Toc448762267 \h </w:instrText>
        </w:r>
        <w:r w:rsidR="00B97A01" w:rsidRPr="00B97A01">
          <w:rPr>
            <w:noProof/>
            <w:webHidden/>
            <w:sz w:val="22"/>
            <w:szCs w:val="22"/>
          </w:rPr>
        </w:r>
        <w:r w:rsidR="00B97A01" w:rsidRPr="00B97A01">
          <w:rPr>
            <w:noProof/>
            <w:webHidden/>
            <w:sz w:val="22"/>
            <w:szCs w:val="22"/>
          </w:rPr>
          <w:fldChar w:fldCharType="separate"/>
        </w:r>
        <w:r>
          <w:rPr>
            <w:noProof/>
            <w:webHidden/>
            <w:sz w:val="22"/>
            <w:szCs w:val="22"/>
          </w:rPr>
          <w:t>5</w:t>
        </w:r>
        <w:r w:rsidR="00B97A01" w:rsidRPr="00B97A01">
          <w:rPr>
            <w:noProof/>
            <w:webHidden/>
            <w:sz w:val="22"/>
            <w:szCs w:val="22"/>
          </w:rPr>
          <w:fldChar w:fldCharType="end"/>
        </w:r>
      </w:hyperlink>
    </w:p>
    <w:p w:rsidR="00B97A01" w:rsidRPr="00B97A01" w:rsidRDefault="00791967" w:rsidP="00B97A01">
      <w:pPr>
        <w:pStyle w:val="TOC1"/>
        <w:rPr>
          <w:rFonts w:asciiTheme="minorHAnsi" w:eastAsiaTheme="minorEastAsia" w:hAnsiTheme="minorHAnsi" w:cstheme="minorBidi"/>
          <w:noProof/>
          <w:sz w:val="22"/>
          <w:szCs w:val="22"/>
          <w:lang w:val="en-US" w:eastAsia="en-US"/>
        </w:rPr>
      </w:pPr>
      <w:hyperlink w:anchor="_Toc448762268" w:history="1">
        <w:r w:rsidR="00B97A01" w:rsidRPr="00B97A01">
          <w:rPr>
            <w:rStyle w:val="Hyperlink"/>
            <w:noProof/>
            <w:sz w:val="22"/>
            <w:szCs w:val="22"/>
          </w:rPr>
          <w:t>5. Budget Estimate for the EuroGMP Phase-in</w:t>
        </w:r>
        <w:r w:rsidR="00B97A01" w:rsidRPr="00B97A01">
          <w:rPr>
            <w:noProof/>
            <w:webHidden/>
            <w:sz w:val="22"/>
            <w:szCs w:val="22"/>
          </w:rPr>
          <w:tab/>
        </w:r>
        <w:r w:rsidR="00B97A01" w:rsidRPr="00B97A01">
          <w:rPr>
            <w:noProof/>
            <w:webHidden/>
            <w:sz w:val="22"/>
            <w:szCs w:val="22"/>
          </w:rPr>
          <w:fldChar w:fldCharType="begin"/>
        </w:r>
        <w:r w:rsidR="00B97A01" w:rsidRPr="00B97A01">
          <w:rPr>
            <w:noProof/>
            <w:webHidden/>
            <w:sz w:val="22"/>
            <w:szCs w:val="22"/>
          </w:rPr>
          <w:instrText xml:space="preserve"> PAGEREF _Toc448762268 \h </w:instrText>
        </w:r>
        <w:r w:rsidR="00B97A01" w:rsidRPr="00B97A01">
          <w:rPr>
            <w:noProof/>
            <w:webHidden/>
            <w:sz w:val="22"/>
            <w:szCs w:val="22"/>
          </w:rPr>
        </w:r>
        <w:r w:rsidR="00B97A01" w:rsidRPr="00B97A01">
          <w:rPr>
            <w:noProof/>
            <w:webHidden/>
            <w:sz w:val="22"/>
            <w:szCs w:val="22"/>
          </w:rPr>
          <w:fldChar w:fldCharType="separate"/>
        </w:r>
        <w:r>
          <w:rPr>
            <w:noProof/>
            <w:webHidden/>
            <w:sz w:val="22"/>
            <w:szCs w:val="22"/>
          </w:rPr>
          <w:t>6</w:t>
        </w:r>
        <w:r w:rsidR="00B97A01" w:rsidRPr="00B97A01">
          <w:rPr>
            <w:noProof/>
            <w:webHidden/>
            <w:sz w:val="22"/>
            <w:szCs w:val="22"/>
          </w:rPr>
          <w:fldChar w:fldCharType="end"/>
        </w:r>
      </w:hyperlink>
    </w:p>
    <w:p w:rsidR="00B97A01" w:rsidRPr="00B97A01" w:rsidRDefault="00791967" w:rsidP="00B97A01">
      <w:pPr>
        <w:pStyle w:val="TOC1"/>
        <w:rPr>
          <w:rFonts w:asciiTheme="minorHAnsi" w:eastAsiaTheme="minorEastAsia" w:hAnsiTheme="minorHAnsi" w:cstheme="minorBidi"/>
          <w:noProof/>
          <w:sz w:val="22"/>
          <w:szCs w:val="22"/>
          <w:lang w:val="en-US" w:eastAsia="en-US"/>
        </w:rPr>
      </w:pPr>
      <w:hyperlink w:anchor="_Toc448762269" w:history="1">
        <w:r w:rsidR="00B97A01" w:rsidRPr="00B97A01">
          <w:rPr>
            <w:rStyle w:val="Hyperlink"/>
            <w:noProof/>
            <w:sz w:val="22"/>
            <w:szCs w:val="22"/>
          </w:rPr>
          <w:t>6. Annexes</w:t>
        </w:r>
        <w:r w:rsidR="00B97A01" w:rsidRPr="00B97A01">
          <w:rPr>
            <w:noProof/>
            <w:webHidden/>
            <w:sz w:val="22"/>
            <w:szCs w:val="22"/>
          </w:rPr>
          <w:tab/>
        </w:r>
        <w:r w:rsidR="00B97A01" w:rsidRPr="00B97A01">
          <w:rPr>
            <w:noProof/>
            <w:webHidden/>
            <w:sz w:val="22"/>
            <w:szCs w:val="22"/>
          </w:rPr>
          <w:fldChar w:fldCharType="begin"/>
        </w:r>
        <w:r w:rsidR="00B97A01" w:rsidRPr="00B97A01">
          <w:rPr>
            <w:noProof/>
            <w:webHidden/>
            <w:sz w:val="22"/>
            <w:szCs w:val="22"/>
          </w:rPr>
          <w:instrText xml:space="preserve"> PAGEREF _Toc448762269 \h </w:instrText>
        </w:r>
        <w:r w:rsidR="00B97A01" w:rsidRPr="00B97A01">
          <w:rPr>
            <w:noProof/>
            <w:webHidden/>
            <w:sz w:val="22"/>
            <w:szCs w:val="22"/>
          </w:rPr>
        </w:r>
        <w:r w:rsidR="00B97A01" w:rsidRPr="00B97A01">
          <w:rPr>
            <w:noProof/>
            <w:webHidden/>
            <w:sz w:val="22"/>
            <w:szCs w:val="22"/>
          </w:rPr>
          <w:fldChar w:fldCharType="separate"/>
        </w:r>
        <w:r>
          <w:rPr>
            <w:noProof/>
            <w:webHidden/>
            <w:sz w:val="22"/>
            <w:szCs w:val="22"/>
          </w:rPr>
          <w:t>10</w:t>
        </w:r>
        <w:r w:rsidR="00B97A01" w:rsidRPr="00B97A01">
          <w:rPr>
            <w:noProof/>
            <w:webHidden/>
            <w:sz w:val="22"/>
            <w:szCs w:val="22"/>
          </w:rPr>
          <w:fldChar w:fldCharType="end"/>
        </w:r>
      </w:hyperlink>
    </w:p>
    <w:p w:rsidR="00B97A01" w:rsidRPr="00B97A01" w:rsidRDefault="00B97A01" w:rsidP="00B97A01">
      <w:pPr>
        <w:tabs>
          <w:tab w:val="left" w:pos="10065"/>
        </w:tabs>
        <w:rPr>
          <w:b/>
          <w:sz w:val="22"/>
          <w:szCs w:val="22"/>
        </w:rPr>
      </w:pPr>
      <w:r w:rsidRPr="00B97A01">
        <w:rPr>
          <w:b/>
          <w:sz w:val="22"/>
          <w:szCs w:val="22"/>
        </w:rPr>
        <w:fldChar w:fldCharType="end"/>
      </w:r>
      <w:r w:rsidRPr="00B97A01">
        <w:rPr>
          <w:b/>
          <w:sz w:val="22"/>
          <w:szCs w:val="22"/>
        </w:rPr>
        <w:t xml:space="preserve"> </w:t>
      </w:r>
      <w:r w:rsidRPr="00B97A01">
        <w:rPr>
          <w:b/>
          <w:sz w:val="22"/>
          <w:szCs w:val="22"/>
        </w:rPr>
        <w:tab/>
      </w:r>
    </w:p>
    <w:p w:rsidR="00B97A01" w:rsidRPr="00B97A01" w:rsidRDefault="00B97A01" w:rsidP="000D5914">
      <w:pPr>
        <w:pStyle w:val="Heading1"/>
        <w:rPr>
          <w:szCs w:val="22"/>
        </w:rPr>
      </w:pPr>
      <w:bookmarkStart w:id="0" w:name="_Toc448762264"/>
      <w:r w:rsidRPr="00B97A01">
        <w:rPr>
          <w:szCs w:val="22"/>
        </w:rPr>
        <w:t>1. Background and Justification</w:t>
      </w:r>
      <w:bookmarkEnd w:id="0"/>
    </w:p>
    <w:p w:rsidR="00B97A01" w:rsidRPr="00B97A01" w:rsidRDefault="00B97A01" w:rsidP="00B72E8E">
      <w:pPr>
        <w:rPr>
          <w:b/>
          <w:sz w:val="22"/>
          <w:szCs w:val="22"/>
        </w:rPr>
      </w:pPr>
    </w:p>
    <w:p w:rsidR="00B97A01" w:rsidRPr="00B97A01" w:rsidRDefault="00B97A01" w:rsidP="00755CBE">
      <w:pPr>
        <w:jc w:val="both"/>
        <w:rPr>
          <w:sz w:val="22"/>
          <w:szCs w:val="22"/>
        </w:rPr>
      </w:pPr>
      <w:r w:rsidRPr="00B97A01">
        <w:rPr>
          <w:sz w:val="22"/>
          <w:szCs w:val="22"/>
        </w:rPr>
        <w:t xml:space="preserve">The increasing impact caused by migratory and sedentary goose populations to economic activities and natural ecosystems in Europe has been a reason of concern for many governments.  Dealing with this challenge at local or national level would bring very limited or no solutions and it is becoming increasingly clear that such flyway-wide issues require major international flyway coordination to deliver effective resolutions on international, and through national to regional and local levels.  </w:t>
      </w:r>
    </w:p>
    <w:p w:rsidR="00B97A01" w:rsidRPr="00B97A01" w:rsidRDefault="00B97A01" w:rsidP="00755CBE">
      <w:pPr>
        <w:jc w:val="both"/>
        <w:rPr>
          <w:sz w:val="22"/>
          <w:szCs w:val="22"/>
        </w:rPr>
      </w:pPr>
    </w:p>
    <w:p w:rsidR="00B97A01" w:rsidRPr="00B97A01" w:rsidRDefault="00B97A01" w:rsidP="00755CBE">
      <w:pPr>
        <w:jc w:val="both"/>
        <w:rPr>
          <w:sz w:val="22"/>
          <w:szCs w:val="22"/>
        </w:rPr>
      </w:pPr>
      <w:r w:rsidRPr="00B97A01">
        <w:rPr>
          <w:sz w:val="22"/>
          <w:szCs w:val="22"/>
        </w:rPr>
        <w:t xml:space="preserve">As geese have benefitted from the abundance of food provided by intensive agriculture, so growing populations are increasingly reducing some crop yields, impacting on other biodiversity, elevating airport airstrike risk and causing health and nuisance issues in urban areas. However, it is recognised that, at the same time, geese are an integral part of the ecosystems they occur in and, as such, are vital for the provision of ecosystem services. Geese are also of enormous societal value, whether as cultural objects of pleasure and wonder or the basis for hunting ecosystem services. In addition, certain goose populations which remain open for harvest have transgressed into an unfavourable conservation status, which means that some form of regulation of taking and changes to other forms of management may be necessary to re-establish their former abundance and distribution. </w:t>
      </w:r>
    </w:p>
    <w:p w:rsidR="00B97A01" w:rsidRPr="00B97A01" w:rsidRDefault="00B97A01" w:rsidP="00755CBE">
      <w:pPr>
        <w:jc w:val="both"/>
        <w:rPr>
          <w:sz w:val="22"/>
          <w:szCs w:val="22"/>
        </w:rPr>
      </w:pPr>
    </w:p>
    <w:p w:rsidR="00B97A01" w:rsidRPr="00B97A01" w:rsidRDefault="00B97A01" w:rsidP="00755CBE">
      <w:pPr>
        <w:jc w:val="both"/>
        <w:rPr>
          <w:sz w:val="22"/>
          <w:szCs w:val="22"/>
        </w:rPr>
      </w:pPr>
      <w:r w:rsidRPr="00B97A01">
        <w:rPr>
          <w:sz w:val="22"/>
          <w:szCs w:val="22"/>
        </w:rPr>
        <w:t>In short: the resolution of current societal conflicts created by goose abundance requires structured decision-making, as well as coordinated interventions – in particular as all migratory goose populations move between multiple countries during their annual cycles.</w:t>
      </w:r>
    </w:p>
    <w:p w:rsidR="00B97A01" w:rsidRPr="00B97A01" w:rsidRDefault="00B97A01" w:rsidP="00755CBE">
      <w:pPr>
        <w:jc w:val="both"/>
        <w:rPr>
          <w:sz w:val="22"/>
          <w:szCs w:val="22"/>
        </w:rPr>
      </w:pPr>
    </w:p>
    <w:p w:rsidR="00B97A01" w:rsidRPr="00B97A01" w:rsidRDefault="00B97A01" w:rsidP="00755CBE">
      <w:pPr>
        <w:jc w:val="both"/>
        <w:rPr>
          <w:sz w:val="22"/>
          <w:szCs w:val="22"/>
        </w:rPr>
      </w:pPr>
      <w:r w:rsidRPr="00B97A01">
        <w:rPr>
          <w:sz w:val="22"/>
          <w:szCs w:val="22"/>
        </w:rPr>
        <w:t>In order to address the goose management challenges in Europe and to address the need of a structured and coordinated decision-making and implementation process, the Contracting Parties to AEWA, through Resolution 6.4 adopted by the 6</w:t>
      </w:r>
      <w:r w:rsidRPr="00B97A01">
        <w:rPr>
          <w:sz w:val="22"/>
          <w:szCs w:val="22"/>
          <w:vertAlign w:val="superscript"/>
        </w:rPr>
        <w:t>th</w:t>
      </w:r>
      <w:r w:rsidRPr="00B97A01">
        <w:rPr>
          <w:sz w:val="22"/>
          <w:szCs w:val="22"/>
        </w:rPr>
        <w:t xml:space="preserve"> Session of the Meeting of the Parties (AEWA MOP6) on 9-14 November 2015, have requested the UNEP/AEWA Secretariat to facilitate the establishment of a European multispecies goose management platform and subsequent process to address the sustainable use of goose populations, targeting as a matter of priority, Barnacle Goose (</w:t>
      </w:r>
      <w:proofErr w:type="spellStart"/>
      <w:r w:rsidRPr="00B97A01">
        <w:rPr>
          <w:i/>
          <w:sz w:val="22"/>
          <w:szCs w:val="22"/>
        </w:rPr>
        <w:t>Branta</w:t>
      </w:r>
      <w:proofErr w:type="spellEnd"/>
      <w:r w:rsidRPr="00B97A01">
        <w:rPr>
          <w:i/>
          <w:sz w:val="22"/>
          <w:szCs w:val="22"/>
        </w:rPr>
        <w:t xml:space="preserve"> </w:t>
      </w:r>
      <w:proofErr w:type="spellStart"/>
      <w:r w:rsidRPr="00B97A01">
        <w:rPr>
          <w:i/>
          <w:sz w:val="22"/>
          <w:szCs w:val="22"/>
        </w:rPr>
        <w:t>leucopsis</w:t>
      </w:r>
      <w:proofErr w:type="spellEnd"/>
      <w:r w:rsidRPr="00B97A01">
        <w:rPr>
          <w:sz w:val="22"/>
          <w:szCs w:val="22"/>
        </w:rPr>
        <w:t>) and Greylag Goose (</w:t>
      </w:r>
      <w:r w:rsidRPr="00B97A01">
        <w:rPr>
          <w:i/>
          <w:sz w:val="22"/>
          <w:szCs w:val="22"/>
        </w:rPr>
        <w:t xml:space="preserve">Anser </w:t>
      </w:r>
      <w:proofErr w:type="spellStart"/>
      <w:r w:rsidRPr="00B97A01">
        <w:rPr>
          <w:i/>
          <w:sz w:val="22"/>
          <w:szCs w:val="22"/>
        </w:rPr>
        <w:t>anser</w:t>
      </w:r>
      <w:proofErr w:type="spellEnd"/>
      <w:r w:rsidRPr="00B97A01">
        <w:rPr>
          <w:sz w:val="22"/>
          <w:szCs w:val="22"/>
        </w:rPr>
        <w:t>) populations (for which management plans are yet to be developed) as well as the Svalbard population of the Pink-footed Goose (</w:t>
      </w:r>
      <w:r w:rsidRPr="00B97A01">
        <w:rPr>
          <w:i/>
          <w:sz w:val="22"/>
          <w:szCs w:val="22"/>
        </w:rPr>
        <w:t xml:space="preserve">Anser </w:t>
      </w:r>
      <w:proofErr w:type="spellStart"/>
      <w:r w:rsidRPr="00B97A01">
        <w:rPr>
          <w:i/>
          <w:sz w:val="22"/>
          <w:szCs w:val="22"/>
        </w:rPr>
        <w:t>brach</w:t>
      </w:r>
      <w:bookmarkStart w:id="1" w:name="_GoBack"/>
      <w:bookmarkEnd w:id="1"/>
      <w:r w:rsidRPr="00B97A01">
        <w:rPr>
          <w:i/>
          <w:sz w:val="22"/>
          <w:szCs w:val="22"/>
        </w:rPr>
        <w:t>yrhynchus</w:t>
      </w:r>
      <w:proofErr w:type="spellEnd"/>
      <w:r w:rsidRPr="00B97A01">
        <w:rPr>
          <w:sz w:val="22"/>
          <w:szCs w:val="22"/>
        </w:rPr>
        <w:t>) and the Taiga Bean Goose (</w:t>
      </w:r>
      <w:r w:rsidRPr="00B97A01">
        <w:rPr>
          <w:i/>
          <w:sz w:val="22"/>
          <w:szCs w:val="22"/>
        </w:rPr>
        <w:t xml:space="preserve">Anser </w:t>
      </w:r>
      <w:proofErr w:type="spellStart"/>
      <w:r w:rsidRPr="00B97A01">
        <w:rPr>
          <w:i/>
          <w:sz w:val="22"/>
          <w:szCs w:val="22"/>
        </w:rPr>
        <w:t>fabalis</w:t>
      </w:r>
      <w:proofErr w:type="spellEnd"/>
      <w:r w:rsidRPr="00B97A01">
        <w:rPr>
          <w:i/>
          <w:sz w:val="22"/>
          <w:szCs w:val="22"/>
        </w:rPr>
        <w:t xml:space="preserve"> </w:t>
      </w:r>
      <w:proofErr w:type="spellStart"/>
      <w:r w:rsidRPr="00B97A01">
        <w:rPr>
          <w:i/>
          <w:sz w:val="22"/>
          <w:szCs w:val="22"/>
        </w:rPr>
        <w:t>fabalis</w:t>
      </w:r>
      <w:proofErr w:type="spellEnd"/>
      <w:r w:rsidRPr="00B97A01">
        <w:rPr>
          <w:sz w:val="22"/>
          <w:szCs w:val="22"/>
        </w:rPr>
        <w:t xml:space="preserve">) for which AEWA plans are already in place. The development and implementation of these actions is subject to the availability of financial resources. Interested AEWA Parties, Range States and other stakeholders were invited to engage pro-actively in this initiative, including by providing appropriate resources for the set-up, maintenance and the functioning of the platform. </w:t>
      </w:r>
    </w:p>
    <w:p w:rsidR="00B97A01" w:rsidRPr="00B97A01" w:rsidRDefault="00B97A01" w:rsidP="00755CBE">
      <w:pPr>
        <w:jc w:val="both"/>
        <w:rPr>
          <w:sz w:val="22"/>
          <w:szCs w:val="22"/>
        </w:rPr>
      </w:pPr>
    </w:p>
    <w:p w:rsidR="00B97A01" w:rsidRPr="00B97A01" w:rsidRDefault="00B97A01" w:rsidP="00755CBE">
      <w:pPr>
        <w:jc w:val="both"/>
        <w:rPr>
          <w:sz w:val="22"/>
          <w:szCs w:val="22"/>
        </w:rPr>
      </w:pPr>
      <w:r w:rsidRPr="00B97A01">
        <w:rPr>
          <w:sz w:val="22"/>
          <w:szCs w:val="22"/>
        </w:rPr>
        <w:t xml:space="preserve">In this respect, the revised </w:t>
      </w:r>
      <w:hyperlink r:id="rId9" w:history="1">
        <w:r w:rsidRPr="00B97A01">
          <w:rPr>
            <w:rStyle w:val="Hyperlink"/>
            <w:sz w:val="22"/>
            <w:szCs w:val="22"/>
          </w:rPr>
          <w:t xml:space="preserve">AEWA Guidelines on Sustainable Harvest of Migratory </w:t>
        </w:r>
        <w:proofErr w:type="spellStart"/>
        <w:r w:rsidRPr="00B97A01">
          <w:rPr>
            <w:rStyle w:val="Hyperlink"/>
            <w:sz w:val="22"/>
            <w:szCs w:val="22"/>
          </w:rPr>
          <w:t>Waterbirds</w:t>
        </w:r>
        <w:proofErr w:type="spellEnd"/>
      </w:hyperlink>
      <w:r w:rsidRPr="00B97A01">
        <w:rPr>
          <w:sz w:val="22"/>
          <w:szCs w:val="22"/>
        </w:rPr>
        <w:t xml:space="preserve">, which were recently adopted by AEWA MOP6 through Resolution 6.5, will provide useful guidance to this new initiative and the process behind it. </w:t>
      </w:r>
    </w:p>
    <w:p w:rsidR="00B97A01" w:rsidRPr="00B97A01" w:rsidRDefault="00B97A01" w:rsidP="00755CBE">
      <w:pPr>
        <w:jc w:val="both"/>
        <w:rPr>
          <w:sz w:val="22"/>
          <w:szCs w:val="22"/>
        </w:rPr>
      </w:pPr>
    </w:p>
    <w:p w:rsidR="00B97A01" w:rsidRPr="00B97A01" w:rsidRDefault="00B97A01" w:rsidP="000D5914">
      <w:pPr>
        <w:pStyle w:val="Heading1"/>
        <w:rPr>
          <w:szCs w:val="22"/>
        </w:rPr>
      </w:pPr>
      <w:bookmarkStart w:id="2" w:name="_Toc448762265"/>
      <w:r w:rsidRPr="00B97A01">
        <w:rPr>
          <w:szCs w:val="22"/>
        </w:rPr>
        <w:t>2. Goal, Structure and Process Workflow of the European Goose Management Platform (</w:t>
      </w:r>
      <w:proofErr w:type="spellStart"/>
      <w:r w:rsidRPr="00B97A01">
        <w:rPr>
          <w:szCs w:val="22"/>
        </w:rPr>
        <w:t>EuroGMP</w:t>
      </w:r>
      <w:proofErr w:type="spellEnd"/>
      <w:r w:rsidRPr="00B97A01">
        <w:rPr>
          <w:szCs w:val="22"/>
        </w:rPr>
        <w:t>)</w:t>
      </w:r>
      <w:bookmarkEnd w:id="2"/>
    </w:p>
    <w:p w:rsidR="00B97A01" w:rsidRPr="00B97A01" w:rsidRDefault="00B97A01" w:rsidP="006258AC">
      <w:pPr>
        <w:jc w:val="both"/>
        <w:rPr>
          <w:sz w:val="22"/>
          <w:szCs w:val="22"/>
        </w:rPr>
      </w:pPr>
    </w:p>
    <w:p w:rsidR="00B97A01" w:rsidRPr="00B97A01" w:rsidRDefault="00B97A01" w:rsidP="00B77E31">
      <w:pPr>
        <w:jc w:val="both"/>
        <w:rPr>
          <w:sz w:val="22"/>
          <w:szCs w:val="22"/>
        </w:rPr>
      </w:pPr>
      <w:r w:rsidRPr="00B97A01">
        <w:rPr>
          <w:sz w:val="22"/>
          <w:szCs w:val="22"/>
        </w:rPr>
        <w:t xml:space="preserve">The goal of the European Goose Management Platform is to provide the mechanism for a structured, coordinated and inclusive decision-making and implementation process for the sustainable management of goose populations in Europe, with the objective of maintaining them in a favourable conservation status, while taking into account concerns of relevant stakeholders and the pertinent legislative frameworks and regulations.    </w:t>
      </w:r>
    </w:p>
    <w:p w:rsidR="00B97A01" w:rsidRPr="00B97A01" w:rsidRDefault="00B97A01" w:rsidP="00B77E31">
      <w:pPr>
        <w:jc w:val="both"/>
        <w:rPr>
          <w:sz w:val="22"/>
          <w:szCs w:val="22"/>
        </w:rPr>
      </w:pPr>
    </w:p>
    <w:p w:rsidR="00B97A01" w:rsidRPr="00B97A01" w:rsidRDefault="00B97A01" w:rsidP="00B77E31">
      <w:pPr>
        <w:jc w:val="both"/>
        <w:rPr>
          <w:sz w:val="22"/>
          <w:szCs w:val="22"/>
        </w:rPr>
      </w:pPr>
      <w:r w:rsidRPr="00B97A01">
        <w:rPr>
          <w:sz w:val="22"/>
          <w:szCs w:val="22"/>
        </w:rPr>
        <w:t xml:space="preserve">A possible governance structure for flyway management has been outlined in the revised AEWA Guidelines on Sustainable Harvest of Migratory </w:t>
      </w:r>
      <w:proofErr w:type="spellStart"/>
      <w:r w:rsidRPr="00B97A01">
        <w:rPr>
          <w:sz w:val="22"/>
          <w:szCs w:val="22"/>
        </w:rPr>
        <w:t>Waterbirds</w:t>
      </w:r>
      <w:proofErr w:type="spellEnd"/>
      <w:r w:rsidRPr="00B97A01">
        <w:rPr>
          <w:sz w:val="22"/>
          <w:szCs w:val="22"/>
        </w:rPr>
        <w:t xml:space="preserve"> (see Appendix 1 to the Guidelines). This structure resembles the ‘Flyway Council’ used for the management of migratory </w:t>
      </w:r>
      <w:proofErr w:type="spellStart"/>
      <w:r w:rsidRPr="00B97A01">
        <w:rPr>
          <w:sz w:val="22"/>
          <w:szCs w:val="22"/>
        </w:rPr>
        <w:t>waterbirds</w:t>
      </w:r>
      <w:proofErr w:type="spellEnd"/>
      <w:r w:rsidRPr="00B97A01">
        <w:rPr>
          <w:sz w:val="22"/>
          <w:szCs w:val="22"/>
        </w:rPr>
        <w:t xml:space="preserve"> in North America. Management of geese in Europe would be a first African-Eurasian test case for multispecies management, which, if successful, can be extended in future to cover all migratory </w:t>
      </w:r>
      <w:proofErr w:type="spellStart"/>
      <w:r w:rsidRPr="00B97A01">
        <w:rPr>
          <w:sz w:val="22"/>
          <w:szCs w:val="22"/>
        </w:rPr>
        <w:t>waterbird</w:t>
      </w:r>
      <w:proofErr w:type="spellEnd"/>
      <w:r w:rsidRPr="00B97A01">
        <w:rPr>
          <w:sz w:val="22"/>
          <w:szCs w:val="22"/>
        </w:rPr>
        <w:t xml:space="preserve"> species that require management. The Terms of Reference for such a platform will include the integrated adaptive management and conservation of geese. The structure suggested for the </w:t>
      </w:r>
      <w:proofErr w:type="spellStart"/>
      <w:r w:rsidRPr="00B97A01">
        <w:rPr>
          <w:sz w:val="22"/>
          <w:szCs w:val="22"/>
        </w:rPr>
        <w:t>EuroGMP</w:t>
      </w:r>
      <w:proofErr w:type="spellEnd"/>
      <w:r w:rsidRPr="00B97A01">
        <w:rPr>
          <w:sz w:val="22"/>
          <w:szCs w:val="22"/>
        </w:rPr>
        <w:t xml:space="preserve"> is presented in </w:t>
      </w:r>
      <w:r w:rsidRPr="00B97A01">
        <w:rPr>
          <w:i/>
          <w:sz w:val="22"/>
          <w:szCs w:val="22"/>
        </w:rPr>
        <w:t>Figure 1</w:t>
      </w:r>
      <w:r w:rsidRPr="00B97A01">
        <w:rPr>
          <w:sz w:val="22"/>
          <w:szCs w:val="22"/>
        </w:rPr>
        <w:t xml:space="preserve"> and includes:</w:t>
      </w:r>
    </w:p>
    <w:p w:rsidR="00B97A01" w:rsidRPr="00B97A01" w:rsidRDefault="00B97A01" w:rsidP="00B77E31">
      <w:pPr>
        <w:jc w:val="both"/>
        <w:rPr>
          <w:sz w:val="22"/>
          <w:szCs w:val="22"/>
        </w:rPr>
      </w:pPr>
    </w:p>
    <w:p w:rsidR="00B97A01" w:rsidRPr="00B97A01" w:rsidRDefault="00B97A01" w:rsidP="00B77E31">
      <w:pPr>
        <w:jc w:val="both"/>
        <w:rPr>
          <w:sz w:val="22"/>
          <w:szCs w:val="22"/>
        </w:rPr>
      </w:pPr>
      <w:r w:rsidRPr="00B97A01">
        <w:rPr>
          <w:sz w:val="22"/>
          <w:szCs w:val="22"/>
        </w:rPr>
        <w:t>1)</w:t>
      </w:r>
      <w:r w:rsidRPr="00B97A01">
        <w:rPr>
          <w:sz w:val="22"/>
          <w:szCs w:val="22"/>
        </w:rPr>
        <w:tab/>
        <w:t xml:space="preserve">AEWA European Goose Management International (inter-governmental) Working Group </w:t>
      </w:r>
      <w:r w:rsidR="003E2109">
        <w:rPr>
          <w:sz w:val="22"/>
          <w:szCs w:val="22"/>
        </w:rPr>
        <w:tab/>
      </w:r>
      <w:r w:rsidRPr="00B97A01">
        <w:rPr>
          <w:sz w:val="22"/>
          <w:szCs w:val="22"/>
        </w:rPr>
        <w:t>(corresponding to a Flyway Council) serviced by the AEWA Secretariat;</w:t>
      </w:r>
    </w:p>
    <w:p w:rsidR="00B97A01" w:rsidRPr="00B97A01" w:rsidRDefault="00B97A01" w:rsidP="00B77E31">
      <w:pPr>
        <w:jc w:val="both"/>
        <w:rPr>
          <w:sz w:val="22"/>
          <w:szCs w:val="22"/>
        </w:rPr>
      </w:pPr>
      <w:r w:rsidRPr="00B97A01">
        <w:rPr>
          <w:sz w:val="22"/>
          <w:szCs w:val="22"/>
        </w:rPr>
        <w:t>2)</w:t>
      </w:r>
      <w:r w:rsidRPr="00B97A01">
        <w:rPr>
          <w:sz w:val="22"/>
          <w:szCs w:val="22"/>
        </w:rPr>
        <w:tab/>
        <w:t xml:space="preserve">International Data Centre, which can effectively collate information for all European goose </w:t>
      </w:r>
      <w:r w:rsidR="003E2109">
        <w:rPr>
          <w:sz w:val="22"/>
          <w:szCs w:val="22"/>
        </w:rPr>
        <w:tab/>
      </w:r>
      <w:r w:rsidRPr="00B97A01">
        <w:rPr>
          <w:sz w:val="22"/>
          <w:szCs w:val="22"/>
        </w:rPr>
        <w:t xml:space="preserve">populations (coordinated with the African-Eurasian </w:t>
      </w:r>
      <w:proofErr w:type="spellStart"/>
      <w:r w:rsidRPr="00B97A01">
        <w:rPr>
          <w:sz w:val="22"/>
          <w:szCs w:val="22"/>
        </w:rPr>
        <w:t>Waterbird</w:t>
      </w:r>
      <w:proofErr w:type="spellEnd"/>
      <w:r w:rsidRPr="00B97A01">
        <w:rPr>
          <w:sz w:val="22"/>
          <w:szCs w:val="22"/>
        </w:rPr>
        <w:t xml:space="preserve"> Monitoring Partnership) and pan-</w:t>
      </w:r>
      <w:r w:rsidR="0067273D">
        <w:rPr>
          <w:sz w:val="22"/>
          <w:szCs w:val="22"/>
        </w:rPr>
        <w:tab/>
      </w:r>
      <w:r w:rsidRPr="00B97A01">
        <w:rPr>
          <w:sz w:val="22"/>
          <w:szCs w:val="22"/>
        </w:rPr>
        <w:t>European goose harvest data (coordinated with FACE and CIC);</w:t>
      </w:r>
    </w:p>
    <w:p w:rsidR="00B97A01" w:rsidRPr="00B97A01" w:rsidRDefault="00B97A01" w:rsidP="00B77E31">
      <w:pPr>
        <w:jc w:val="both"/>
        <w:rPr>
          <w:sz w:val="22"/>
          <w:szCs w:val="22"/>
        </w:rPr>
      </w:pPr>
      <w:r w:rsidRPr="00B97A01">
        <w:rPr>
          <w:sz w:val="22"/>
          <w:szCs w:val="22"/>
        </w:rPr>
        <w:t>3)</w:t>
      </w:r>
      <w:r w:rsidRPr="00B97A01">
        <w:rPr>
          <w:sz w:val="22"/>
          <w:szCs w:val="22"/>
        </w:rPr>
        <w:tab/>
        <w:t>National Working Groups.</w:t>
      </w:r>
    </w:p>
    <w:p w:rsidR="00B97A01" w:rsidRPr="00B97A01" w:rsidRDefault="00B97A01" w:rsidP="00B77E31">
      <w:pPr>
        <w:jc w:val="both"/>
        <w:rPr>
          <w:sz w:val="22"/>
          <w:szCs w:val="22"/>
        </w:rPr>
      </w:pPr>
    </w:p>
    <w:p w:rsidR="00B97A01" w:rsidRPr="00B97A01" w:rsidRDefault="00B97A01" w:rsidP="00B77E31">
      <w:pPr>
        <w:jc w:val="both"/>
        <w:rPr>
          <w:sz w:val="22"/>
          <w:szCs w:val="22"/>
        </w:rPr>
      </w:pPr>
      <w:r w:rsidRPr="00B97A01">
        <w:rPr>
          <w:sz w:val="22"/>
          <w:szCs w:val="22"/>
        </w:rPr>
        <w:t xml:space="preserve">Such an arrangement, albeit at single species level, already exists for the implementation of the AEWA Pink-footed Goose International Management Plan and has been functioning successfully since 2013. It should be noted that the arrangement for the Pink-footed Goose will be integrated into the </w:t>
      </w:r>
      <w:proofErr w:type="spellStart"/>
      <w:r w:rsidRPr="00B97A01">
        <w:rPr>
          <w:sz w:val="22"/>
          <w:szCs w:val="22"/>
        </w:rPr>
        <w:t>EuroGMP</w:t>
      </w:r>
      <w:proofErr w:type="spellEnd"/>
      <w:r w:rsidRPr="00B97A01">
        <w:rPr>
          <w:sz w:val="22"/>
          <w:szCs w:val="22"/>
        </w:rPr>
        <w:t xml:space="preserve"> once the platform has been established and is functional. </w:t>
      </w:r>
    </w:p>
    <w:p w:rsidR="00B97A01" w:rsidRPr="00B97A01" w:rsidRDefault="00B97A01" w:rsidP="00B77E31">
      <w:pPr>
        <w:jc w:val="both"/>
        <w:rPr>
          <w:sz w:val="22"/>
          <w:szCs w:val="22"/>
        </w:rPr>
      </w:pPr>
    </w:p>
    <w:p w:rsidR="007D650A" w:rsidRDefault="00B97A01" w:rsidP="007D650A">
      <w:pPr>
        <w:jc w:val="both"/>
        <w:rPr>
          <w:sz w:val="22"/>
          <w:szCs w:val="22"/>
        </w:rPr>
      </w:pPr>
      <w:r w:rsidRPr="00B97A01">
        <w:rPr>
          <w:sz w:val="22"/>
          <w:szCs w:val="22"/>
        </w:rPr>
        <w:t xml:space="preserve">It is suggested that the </w:t>
      </w:r>
      <w:r w:rsidRPr="00B97A01">
        <w:rPr>
          <w:b/>
          <w:sz w:val="22"/>
          <w:szCs w:val="22"/>
        </w:rPr>
        <w:t>AEWA International Working Group</w:t>
      </w:r>
      <w:r w:rsidRPr="00B97A01">
        <w:rPr>
          <w:sz w:val="22"/>
          <w:szCs w:val="22"/>
        </w:rPr>
        <w:t xml:space="preserve"> meets annually to decide, at the multispecies level, on adjustments to the management frameworks, prioritisation of plan processes and exchanging of experiences. At the individual population plan level, the Working Group would be expected to follow-up on the progress of actions, agree on the adjustment of actions, and to make recommendations for implementation in the Range States. Thus, the coordination between plans can be guaranteed, and the national authorities in charge of plans as well as stakeholders will only have to attend one annual meeting which combines both the overall policy development and prioritisation as well as the individual plan processes for each individual species (</w:t>
      </w:r>
      <w:r w:rsidRPr="00B97A01">
        <w:rPr>
          <w:i/>
          <w:sz w:val="22"/>
          <w:szCs w:val="22"/>
        </w:rPr>
        <w:t>Figure 1</w:t>
      </w:r>
      <w:r w:rsidRPr="00B97A01">
        <w:rPr>
          <w:sz w:val="22"/>
          <w:szCs w:val="22"/>
        </w:rPr>
        <w:t>).</w:t>
      </w:r>
      <w:r w:rsidR="007D650A" w:rsidRPr="007D650A">
        <w:rPr>
          <w:sz w:val="22"/>
          <w:szCs w:val="22"/>
        </w:rPr>
        <w:t xml:space="preserve"> </w:t>
      </w:r>
    </w:p>
    <w:p w:rsidR="007D650A" w:rsidRDefault="007D650A" w:rsidP="007D650A">
      <w:pPr>
        <w:jc w:val="both"/>
        <w:rPr>
          <w:sz w:val="22"/>
          <w:szCs w:val="22"/>
        </w:rPr>
      </w:pPr>
    </w:p>
    <w:p w:rsidR="007D650A" w:rsidRPr="00B97A01" w:rsidRDefault="007D650A" w:rsidP="007D650A">
      <w:pPr>
        <w:jc w:val="both"/>
        <w:rPr>
          <w:sz w:val="22"/>
          <w:szCs w:val="22"/>
        </w:rPr>
      </w:pPr>
      <w:r w:rsidRPr="00B97A01">
        <w:rPr>
          <w:sz w:val="22"/>
          <w:szCs w:val="22"/>
        </w:rPr>
        <w:t xml:space="preserve">The </w:t>
      </w:r>
      <w:r w:rsidRPr="00B97A01">
        <w:rPr>
          <w:b/>
          <w:sz w:val="22"/>
          <w:szCs w:val="22"/>
        </w:rPr>
        <w:t>International Data Centre</w:t>
      </w:r>
      <w:r w:rsidRPr="00B97A01">
        <w:rPr>
          <w:sz w:val="22"/>
          <w:szCs w:val="22"/>
        </w:rPr>
        <w:t xml:space="preserve"> will collate and assess population and harvest information based on input from the range states. This work shall be closely coordinated with the African-Eurasian </w:t>
      </w:r>
      <w:proofErr w:type="spellStart"/>
      <w:r w:rsidRPr="00B97A01">
        <w:rPr>
          <w:sz w:val="22"/>
          <w:szCs w:val="22"/>
        </w:rPr>
        <w:t>Waterbird</w:t>
      </w:r>
      <w:proofErr w:type="spellEnd"/>
      <w:r w:rsidRPr="00B97A01">
        <w:rPr>
          <w:sz w:val="22"/>
          <w:szCs w:val="22"/>
        </w:rPr>
        <w:t xml:space="preserve"> Monitoring Partnership and FACE/CIC. Based on updated population estimates and harvest data, the Data Centre will use state-of-the-art modelling tools to predict the annual optimal harvest of </w:t>
      </w:r>
      <w:proofErr w:type="spellStart"/>
      <w:r w:rsidRPr="00B97A01">
        <w:rPr>
          <w:sz w:val="22"/>
          <w:szCs w:val="22"/>
        </w:rPr>
        <w:t>huntable</w:t>
      </w:r>
      <w:proofErr w:type="spellEnd"/>
      <w:r w:rsidRPr="00B97A01">
        <w:rPr>
          <w:sz w:val="22"/>
          <w:szCs w:val="22"/>
        </w:rPr>
        <w:t xml:space="preserve"> populations, to be reported to the International Working Group. It is envisaged to establish an international partnership of scientific institutions to be responsible for the technical work, coordinated by Aarhus University in Denmark.</w:t>
      </w:r>
    </w:p>
    <w:p w:rsidR="007D650A" w:rsidRPr="00B97A01" w:rsidRDefault="007D650A" w:rsidP="007D650A">
      <w:pPr>
        <w:jc w:val="both"/>
        <w:rPr>
          <w:sz w:val="22"/>
          <w:szCs w:val="22"/>
        </w:rPr>
      </w:pPr>
    </w:p>
    <w:p w:rsidR="007D650A" w:rsidRPr="00B97A01" w:rsidRDefault="007D650A" w:rsidP="007D650A">
      <w:pPr>
        <w:jc w:val="both"/>
        <w:rPr>
          <w:sz w:val="22"/>
          <w:szCs w:val="22"/>
        </w:rPr>
      </w:pPr>
      <w:r w:rsidRPr="00B97A01">
        <w:rPr>
          <w:sz w:val="22"/>
          <w:szCs w:val="22"/>
        </w:rPr>
        <w:t xml:space="preserve">The </w:t>
      </w:r>
      <w:r w:rsidRPr="00B97A01">
        <w:rPr>
          <w:b/>
          <w:sz w:val="22"/>
          <w:szCs w:val="22"/>
        </w:rPr>
        <w:t>National Working Groups</w:t>
      </w:r>
      <w:r w:rsidRPr="00B97A01">
        <w:rPr>
          <w:sz w:val="22"/>
          <w:szCs w:val="22"/>
        </w:rPr>
        <w:t xml:space="preserve"> will be responsible for the implementation of the actions recommended by the International Working Group, the provisions of the AEWA International Species Management/Action Plans for the respective populations/species, as well as ensuring the effective operation and reporting of national monitoring schemes. </w:t>
      </w:r>
    </w:p>
    <w:p w:rsidR="007D650A" w:rsidRPr="00B97A01" w:rsidRDefault="007D650A" w:rsidP="007D650A">
      <w:pPr>
        <w:jc w:val="both"/>
        <w:rPr>
          <w:sz w:val="22"/>
          <w:szCs w:val="22"/>
        </w:rPr>
      </w:pPr>
    </w:p>
    <w:p w:rsidR="007D650A" w:rsidRPr="00B97A01" w:rsidRDefault="007D650A" w:rsidP="007D650A">
      <w:pPr>
        <w:jc w:val="both"/>
        <w:rPr>
          <w:sz w:val="22"/>
          <w:szCs w:val="22"/>
        </w:rPr>
      </w:pPr>
      <w:r w:rsidRPr="00B97A01">
        <w:rPr>
          <w:sz w:val="22"/>
          <w:szCs w:val="22"/>
        </w:rPr>
        <w:t xml:space="preserve">The exact annual iterative process of operations of the </w:t>
      </w:r>
      <w:proofErr w:type="spellStart"/>
      <w:r w:rsidRPr="00B97A01">
        <w:rPr>
          <w:sz w:val="22"/>
          <w:szCs w:val="22"/>
        </w:rPr>
        <w:t>EuroGMP</w:t>
      </w:r>
      <w:proofErr w:type="spellEnd"/>
      <w:r w:rsidRPr="00B97A01">
        <w:rPr>
          <w:sz w:val="22"/>
          <w:szCs w:val="22"/>
        </w:rPr>
        <w:t xml:space="preserve"> will be designed after the Range States have decided on the establishment of the Platform. The Pink-footed Goose annual management cycle will be used as a basis for the process (cf. Annex 1), with additional advice provided by the North American Flyway Councils. The operational process will be regularly reviewed and adjusted, as necessary. </w:t>
      </w:r>
    </w:p>
    <w:p w:rsidR="00B97A01" w:rsidRPr="00B97A01" w:rsidRDefault="00B97A01" w:rsidP="00B77E31">
      <w:pPr>
        <w:jc w:val="both"/>
        <w:rPr>
          <w:sz w:val="22"/>
          <w:szCs w:val="22"/>
        </w:rPr>
      </w:pPr>
    </w:p>
    <w:p w:rsidR="00B97A01" w:rsidRPr="00B97A01" w:rsidRDefault="00B97A01" w:rsidP="00B457EE">
      <w:pPr>
        <w:spacing w:line="288" w:lineRule="auto"/>
        <w:jc w:val="both"/>
        <w:rPr>
          <w:sz w:val="22"/>
          <w:szCs w:val="22"/>
        </w:rPr>
      </w:pPr>
    </w:p>
    <w:p w:rsidR="00B97A01" w:rsidRPr="00B457EE" w:rsidRDefault="00B97A01" w:rsidP="00B457EE">
      <w:pPr>
        <w:spacing w:line="288" w:lineRule="auto"/>
        <w:jc w:val="both"/>
      </w:pPr>
      <w:r>
        <w:rPr>
          <w:noProof/>
          <w:lang w:val="en-US"/>
        </w:rPr>
        <w:lastRenderedPageBreak/>
        <w:drawing>
          <wp:anchor distT="0" distB="0" distL="114300" distR="114300" simplePos="0" relativeHeight="251660288" behindDoc="1" locked="0" layoutInCell="1" allowOverlap="1" wp14:anchorId="4131FFE4" wp14:editId="3632A831">
            <wp:simplePos x="0" y="0"/>
            <wp:positionH relativeFrom="column">
              <wp:posOffset>-9525</wp:posOffset>
            </wp:positionH>
            <wp:positionV relativeFrom="paragraph">
              <wp:posOffset>-190500</wp:posOffset>
            </wp:positionV>
            <wp:extent cx="5350510" cy="4705350"/>
            <wp:effectExtent l="0" t="0" r="2540" b="0"/>
            <wp:wrapTight wrapText="bothSides">
              <wp:wrapPolygon edited="0">
                <wp:start x="0" y="0"/>
                <wp:lineTo x="0" y="21513"/>
                <wp:lineTo x="21533" y="21513"/>
                <wp:lineTo x="215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0510" cy="4705350"/>
                    </a:xfrm>
                    <a:prstGeom prst="rect">
                      <a:avLst/>
                    </a:prstGeom>
                    <a:noFill/>
                  </pic:spPr>
                </pic:pic>
              </a:graphicData>
            </a:graphic>
            <wp14:sizeRelH relativeFrom="page">
              <wp14:pctWidth>0</wp14:pctWidth>
            </wp14:sizeRelH>
            <wp14:sizeRelV relativeFrom="page">
              <wp14:pctHeight>0</wp14:pctHeight>
            </wp14:sizeRelV>
          </wp:anchor>
        </w:drawing>
      </w: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Default="00B97A01" w:rsidP="00B72E8E">
      <w:pPr>
        <w:jc w:val="both"/>
        <w:rPr>
          <w:i/>
        </w:rPr>
      </w:pPr>
    </w:p>
    <w:p w:rsidR="00B97A01" w:rsidRPr="00B97A01" w:rsidRDefault="00B97A01" w:rsidP="00B72E8E">
      <w:pPr>
        <w:jc w:val="both"/>
        <w:rPr>
          <w:i/>
          <w:sz w:val="22"/>
          <w:szCs w:val="22"/>
        </w:rPr>
      </w:pPr>
    </w:p>
    <w:p w:rsidR="00B97A01" w:rsidRPr="00B97A01" w:rsidRDefault="00B97A01" w:rsidP="00B72E8E">
      <w:pPr>
        <w:jc w:val="both"/>
        <w:rPr>
          <w:i/>
          <w:sz w:val="22"/>
          <w:szCs w:val="22"/>
        </w:rPr>
      </w:pPr>
      <w:r w:rsidRPr="00B97A01">
        <w:rPr>
          <w:i/>
          <w:sz w:val="22"/>
          <w:szCs w:val="22"/>
        </w:rPr>
        <w:t xml:space="preserve">Figure 1. Structure and process workflow of the European Goose Management Platform: </w:t>
      </w:r>
    </w:p>
    <w:p w:rsidR="00B97A01" w:rsidRPr="00B97A01" w:rsidRDefault="00B97A01" w:rsidP="00B72E8E">
      <w:pPr>
        <w:jc w:val="both"/>
        <w:rPr>
          <w:i/>
          <w:sz w:val="22"/>
          <w:szCs w:val="22"/>
        </w:rPr>
      </w:pPr>
    </w:p>
    <w:p w:rsidR="00B97A01" w:rsidRPr="00B97A01" w:rsidRDefault="00B97A01" w:rsidP="00B72E8E">
      <w:pPr>
        <w:jc w:val="both"/>
        <w:rPr>
          <w:i/>
          <w:sz w:val="22"/>
          <w:szCs w:val="22"/>
        </w:rPr>
      </w:pPr>
      <w:r w:rsidRPr="00B97A01">
        <w:rPr>
          <w:i/>
          <w:sz w:val="22"/>
          <w:szCs w:val="22"/>
        </w:rPr>
        <w:t>p1…p6 represent individual plan processes; p4 is an example of a species with three populations, for which specific concerted actions can be agreed.</w:t>
      </w:r>
    </w:p>
    <w:p w:rsidR="00B97A01" w:rsidRDefault="00B97A01" w:rsidP="00B72E8E">
      <w:pPr>
        <w:jc w:val="both"/>
        <w:rPr>
          <w:sz w:val="22"/>
          <w:szCs w:val="22"/>
        </w:rPr>
      </w:pPr>
    </w:p>
    <w:p w:rsidR="00B97A01" w:rsidRPr="00B97A01" w:rsidRDefault="00B97A01" w:rsidP="000D5914">
      <w:pPr>
        <w:pStyle w:val="Heading1"/>
        <w:rPr>
          <w:szCs w:val="22"/>
        </w:rPr>
      </w:pPr>
      <w:bookmarkStart w:id="3" w:name="_Toc448762266"/>
      <w:r w:rsidRPr="00B97A01">
        <w:rPr>
          <w:szCs w:val="22"/>
        </w:rPr>
        <w:t>3. Required Additional Capacity</w:t>
      </w:r>
      <w:bookmarkEnd w:id="3"/>
      <w:r w:rsidRPr="00B97A01">
        <w:rPr>
          <w:szCs w:val="22"/>
        </w:rPr>
        <w:t xml:space="preserve"> </w:t>
      </w:r>
    </w:p>
    <w:p w:rsidR="00B97A01" w:rsidRPr="00B97A01" w:rsidRDefault="00B97A01" w:rsidP="00BC0E4D">
      <w:pPr>
        <w:jc w:val="both"/>
        <w:rPr>
          <w:b/>
          <w:sz w:val="22"/>
          <w:szCs w:val="22"/>
        </w:rPr>
      </w:pPr>
    </w:p>
    <w:p w:rsidR="00B97A01" w:rsidRPr="00B97A01" w:rsidRDefault="00B97A01" w:rsidP="00B72E8E">
      <w:pPr>
        <w:jc w:val="both"/>
        <w:rPr>
          <w:sz w:val="22"/>
          <w:szCs w:val="22"/>
        </w:rPr>
      </w:pPr>
      <w:r w:rsidRPr="00B97A01">
        <w:rPr>
          <w:sz w:val="22"/>
          <w:szCs w:val="22"/>
        </w:rPr>
        <w:t xml:space="preserve">In order to provide effective servicing to and running of the </w:t>
      </w:r>
      <w:proofErr w:type="spellStart"/>
      <w:r w:rsidRPr="00B97A01">
        <w:rPr>
          <w:sz w:val="22"/>
          <w:szCs w:val="22"/>
        </w:rPr>
        <w:t>EuroGMP</w:t>
      </w:r>
      <w:proofErr w:type="spellEnd"/>
      <w:r w:rsidRPr="00B97A01">
        <w:rPr>
          <w:sz w:val="22"/>
          <w:szCs w:val="22"/>
        </w:rPr>
        <w:t xml:space="preserve"> it will be necessary to establish and maintain additional capacity within the bodies assigned with these servicing tasks.</w:t>
      </w:r>
    </w:p>
    <w:p w:rsidR="00B97A01" w:rsidRPr="00B97A01" w:rsidRDefault="00B97A01" w:rsidP="00B72E8E">
      <w:pPr>
        <w:jc w:val="both"/>
        <w:rPr>
          <w:sz w:val="22"/>
          <w:szCs w:val="22"/>
        </w:rPr>
      </w:pPr>
    </w:p>
    <w:p w:rsidR="00B97A01" w:rsidRPr="00B97A01" w:rsidRDefault="00B97A01" w:rsidP="00B72E8E">
      <w:pPr>
        <w:jc w:val="both"/>
        <w:rPr>
          <w:sz w:val="22"/>
          <w:szCs w:val="22"/>
          <w:u w:val="single"/>
        </w:rPr>
      </w:pPr>
      <w:r w:rsidRPr="00B97A01">
        <w:rPr>
          <w:sz w:val="22"/>
          <w:szCs w:val="22"/>
          <w:u w:val="single"/>
        </w:rPr>
        <w:t>UNEP/AEWA Secretariat</w:t>
      </w:r>
    </w:p>
    <w:p w:rsidR="00B97A01" w:rsidRPr="00B97A01" w:rsidRDefault="00B97A01" w:rsidP="00B72E8E">
      <w:pPr>
        <w:jc w:val="both"/>
        <w:rPr>
          <w:sz w:val="22"/>
          <w:szCs w:val="22"/>
        </w:rPr>
      </w:pPr>
      <w:r w:rsidRPr="00B97A01">
        <w:rPr>
          <w:sz w:val="22"/>
          <w:szCs w:val="22"/>
        </w:rPr>
        <w:t xml:space="preserve">The Secretariat will service and coordinate the overall process of the </w:t>
      </w:r>
      <w:proofErr w:type="spellStart"/>
      <w:r w:rsidRPr="00B97A01">
        <w:rPr>
          <w:sz w:val="22"/>
          <w:szCs w:val="22"/>
        </w:rPr>
        <w:t>EuroGMP</w:t>
      </w:r>
      <w:proofErr w:type="spellEnd"/>
      <w:r w:rsidRPr="00B97A01">
        <w:rPr>
          <w:sz w:val="22"/>
          <w:szCs w:val="22"/>
        </w:rPr>
        <w:t>, including its respective bodies (AEWA European Goose Management International Working Group and International Data Centre) and the participating Range States. The additional capacity required is estimated at two full-time positions, as follows:</w:t>
      </w:r>
    </w:p>
    <w:p w:rsidR="00B97A01" w:rsidRPr="00B97A01" w:rsidRDefault="00B97A01" w:rsidP="00B72E8E">
      <w:pPr>
        <w:jc w:val="both"/>
        <w:rPr>
          <w:sz w:val="22"/>
          <w:szCs w:val="22"/>
        </w:rPr>
      </w:pPr>
    </w:p>
    <w:p w:rsidR="00B97A01" w:rsidRPr="00B97A01" w:rsidRDefault="00B97A01" w:rsidP="00B97A01">
      <w:pPr>
        <w:numPr>
          <w:ilvl w:val="0"/>
          <w:numId w:val="2"/>
        </w:numPr>
        <w:suppressAutoHyphens w:val="0"/>
        <w:autoSpaceDN/>
        <w:jc w:val="both"/>
        <w:textAlignment w:val="auto"/>
        <w:rPr>
          <w:sz w:val="22"/>
          <w:szCs w:val="22"/>
        </w:rPr>
      </w:pPr>
      <w:proofErr w:type="spellStart"/>
      <w:r w:rsidRPr="00B97A01">
        <w:rPr>
          <w:sz w:val="22"/>
          <w:szCs w:val="22"/>
        </w:rPr>
        <w:t>EuroGMP</w:t>
      </w:r>
      <w:proofErr w:type="spellEnd"/>
      <w:r w:rsidRPr="00B97A01">
        <w:rPr>
          <w:sz w:val="22"/>
          <w:szCs w:val="22"/>
        </w:rPr>
        <w:t xml:space="preserve"> coordinator;</w:t>
      </w:r>
    </w:p>
    <w:p w:rsidR="00B97A01" w:rsidRPr="00B97A01" w:rsidRDefault="00B97A01" w:rsidP="00B97A01">
      <w:pPr>
        <w:numPr>
          <w:ilvl w:val="0"/>
          <w:numId w:val="2"/>
        </w:numPr>
        <w:suppressAutoHyphens w:val="0"/>
        <w:autoSpaceDN/>
        <w:jc w:val="both"/>
        <w:textAlignment w:val="auto"/>
        <w:rPr>
          <w:sz w:val="22"/>
          <w:szCs w:val="22"/>
        </w:rPr>
      </w:pPr>
      <w:r w:rsidRPr="00B97A01">
        <w:rPr>
          <w:sz w:val="22"/>
          <w:szCs w:val="22"/>
        </w:rPr>
        <w:t>Administrative assistant.</w:t>
      </w:r>
    </w:p>
    <w:p w:rsidR="00B97A01" w:rsidRPr="00B97A01" w:rsidRDefault="00B97A01" w:rsidP="00B72E8E">
      <w:pPr>
        <w:jc w:val="both"/>
        <w:rPr>
          <w:sz w:val="22"/>
          <w:szCs w:val="22"/>
        </w:rPr>
      </w:pPr>
    </w:p>
    <w:p w:rsidR="00B97A01" w:rsidRPr="00B97A01" w:rsidRDefault="00B97A01" w:rsidP="00B72E8E">
      <w:pPr>
        <w:jc w:val="both"/>
        <w:rPr>
          <w:sz w:val="22"/>
          <w:szCs w:val="22"/>
          <w:u w:val="single"/>
        </w:rPr>
      </w:pPr>
      <w:r w:rsidRPr="00B97A01">
        <w:rPr>
          <w:sz w:val="22"/>
          <w:szCs w:val="22"/>
          <w:u w:val="single"/>
        </w:rPr>
        <w:t>International Data Centre</w:t>
      </w:r>
    </w:p>
    <w:p w:rsidR="00B97A01" w:rsidRPr="00B97A01" w:rsidRDefault="00B97A01" w:rsidP="00B72E8E">
      <w:pPr>
        <w:jc w:val="both"/>
        <w:rPr>
          <w:sz w:val="22"/>
          <w:szCs w:val="22"/>
        </w:rPr>
      </w:pPr>
      <w:r w:rsidRPr="00B97A01">
        <w:rPr>
          <w:sz w:val="22"/>
          <w:szCs w:val="22"/>
        </w:rPr>
        <w:t>The Centre will be established through a Memorandum of Cooperation between the UNEP/AEWA Secretariat and Aarhus University, Denmark. Aarhus University will provide the services required from the Data Centre, while the actual Centre will have a decentralised structure and will also involve expertise from other scientific institutions, as necessary. The needed capacity to be allocated to the Data Centre is estimated at 1.65 positions, as follows:</w:t>
      </w:r>
    </w:p>
    <w:p w:rsidR="00B97A01" w:rsidRDefault="00B97A01" w:rsidP="00B72E8E">
      <w:pPr>
        <w:jc w:val="both"/>
        <w:rPr>
          <w:sz w:val="22"/>
          <w:szCs w:val="22"/>
        </w:rPr>
      </w:pPr>
    </w:p>
    <w:p w:rsidR="00BD78B1" w:rsidRDefault="00BD78B1" w:rsidP="00B72E8E">
      <w:pPr>
        <w:jc w:val="both"/>
        <w:rPr>
          <w:sz w:val="22"/>
          <w:szCs w:val="22"/>
        </w:rPr>
      </w:pPr>
    </w:p>
    <w:p w:rsidR="00BD78B1" w:rsidRPr="00B97A01" w:rsidRDefault="00BD78B1" w:rsidP="00AC714B">
      <w:pPr>
        <w:pStyle w:val="Subtitle"/>
      </w:pPr>
    </w:p>
    <w:p w:rsidR="00B97A01" w:rsidRPr="00B97A01" w:rsidRDefault="00B97A01" w:rsidP="00B97A01">
      <w:pPr>
        <w:numPr>
          <w:ilvl w:val="0"/>
          <w:numId w:val="2"/>
        </w:numPr>
        <w:suppressAutoHyphens w:val="0"/>
        <w:autoSpaceDN/>
        <w:jc w:val="both"/>
        <w:textAlignment w:val="auto"/>
        <w:rPr>
          <w:sz w:val="22"/>
          <w:szCs w:val="22"/>
        </w:rPr>
      </w:pPr>
      <w:r w:rsidRPr="00B97A01">
        <w:rPr>
          <w:sz w:val="22"/>
          <w:szCs w:val="22"/>
        </w:rPr>
        <w:lastRenderedPageBreak/>
        <w:t>Goose monitoring coordinator (population size and harvest);</w:t>
      </w:r>
    </w:p>
    <w:p w:rsidR="00B97A01" w:rsidRPr="00B97A01" w:rsidRDefault="00B97A01" w:rsidP="00B97A01">
      <w:pPr>
        <w:numPr>
          <w:ilvl w:val="0"/>
          <w:numId w:val="2"/>
        </w:numPr>
        <w:suppressAutoHyphens w:val="0"/>
        <w:autoSpaceDN/>
        <w:jc w:val="both"/>
        <w:textAlignment w:val="auto"/>
        <w:rPr>
          <w:sz w:val="22"/>
          <w:szCs w:val="22"/>
        </w:rPr>
      </w:pPr>
      <w:r w:rsidRPr="00B97A01">
        <w:rPr>
          <w:sz w:val="22"/>
          <w:szCs w:val="22"/>
        </w:rPr>
        <w:t>Population modelling expert (50%);</w:t>
      </w:r>
    </w:p>
    <w:p w:rsidR="00B97A01" w:rsidRPr="00B97A01" w:rsidRDefault="00B97A01" w:rsidP="00B97A01">
      <w:pPr>
        <w:numPr>
          <w:ilvl w:val="0"/>
          <w:numId w:val="2"/>
        </w:numPr>
        <w:suppressAutoHyphens w:val="0"/>
        <w:autoSpaceDN/>
        <w:jc w:val="both"/>
        <w:textAlignment w:val="auto"/>
        <w:rPr>
          <w:sz w:val="22"/>
          <w:szCs w:val="22"/>
        </w:rPr>
      </w:pPr>
      <w:r w:rsidRPr="00B97A01">
        <w:rPr>
          <w:sz w:val="22"/>
          <w:szCs w:val="22"/>
        </w:rPr>
        <w:t>Lead compiler (annual review) (15%).</w:t>
      </w:r>
    </w:p>
    <w:p w:rsidR="00B97A01" w:rsidRPr="00B97A01" w:rsidRDefault="00B97A01" w:rsidP="00B72E8E">
      <w:pPr>
        <w:jc w:val="both"/>
        <w:rPr>
          <w:sz w:val="22"/>
          <w:szCs w:val="22"/>
        </w:rPr>
      </w:pPr>
    </w:p>
    <w:p w:rsidR="00B97A01" w:rsidRPr="00B97A01" w:rsidRDefault="00B97A01" w:rsidP="000D5914">
      <w:pPr>
        <w:pStyle w:val="Heading1"/>
        <w:rPr>
          <w:szCs w:val="22"/>
        </w:rPr>
      </w:pPr>
      <w:bookmarkStart w:id="4" w:name="_Toc448762267"/>
      <w:r w:rsidRPr="00B97A01">
        <w:rPr>
          <w:szCs w:val="22"/>
        </w:rPr>
        <w:t xml:space="preserve">4. Timelines and Milestones for </w:t>
      </w:r>
      <w:proofErr w:type="spellStart"/>
      <w:r w:rsidRPr="00B97A01">
        <w:rPr>
          <w:szCs w:val="22"/>
        </w:rPr>
        <w:t>EuroGMP</w:t>
      </w:r>
      <w:proofErr w:type="spellEnd"/>
      <w:r w:rsidRPr="00B97A01">
        <w:rPr>
          <w:szCs w:val="22"/>
        </w:rPr>
        <w:t xml:space="preserve"> Establishment and Operations Phase-in</w:t>
      </w:r>
      <w:bookmarkEnd w:id="4"/>
      <w:r w:rsidRPr="00B97A01">
        <w:rPr>
          <w:szCs w:val="22"/>
        </w:rPr>
        <w:t xml:space="preserve"> </w:t>
      </w:r>
    </w:p>
    <w:p w:rsidR="00B97A01" w:rsidRPr="00B97A01" w:rsidRDefault="00B97A01" w:rsidP="00B72E8E">
      <w:pPr>
        <w:jc w:val="both"/>
        <w:rPr>
          <w:sz w:val="22"/>
          <w:szCs w:val="22"/>
        </w:rPr>
      </w:pPr>
    </w:p>
    <w:p w:rsidR="00B97A01" w:rsidRPr="00B97A01" w:rsidRDefault="00B97A01" w:rsidP="00B72E8E">
      <w:pPr>
        <w:jc w:val="both"/>
        <w:rPr>
          <w:sz w:val="22"/>
          <w:szCs w:val="22"/>
        </w:rPr>
      </w:pPr>
      <w:r w:rsidRPr="00B97A01">
        <w:rPr>
          <w:sz w:val="22"/>
          <w:szCs w:val="22"/>
        </w:rPr>
        <w:t xml:space="preserve">The </w:t>
      </w:r>
      <w:proofErr w:type="spellStart"/>
      <w:r w:rsidRPr="00B97A01">
        <w:rPr>
          <w:sz w:val="22"/>
          <w:szCs w:val="22"/>
        </w:rPr>
        <w:t>EuroGMP</w:t>
      </w:r>
      <w:proofErr w:type="spellEnd"/>
      <w:r w:rsidRPr="00B97A01">
        <w:rPr>
          <w:sz w:val="22"/>
          <w:szCs w:val="22"/>
        </w:rPr>
        <w:t xml:space="preserve"> will be established and its operations will be phased in step-wise over the course of three years starting from 2016 until the end of 2018. At the end of this three-year period the </w:t>
      </w:r>
      <w:proofErr w:type="spellStart"/>
      <w:r w:rsidRPr="00B97A01">
        <w:rPr>
          <w:sz w:val="22"/>
          <w:szCs w:val="22"/>
        </w:rPr>
        <w:t>EuroGMP</w:t>
      </w:r>
      <w:proofErr w:type="spellEnd"/>
      <w:r w:rsidRPr="00B97A01">
        <w:rPr>
          <w:sz w:val="22"/>
          <w:szCs w:val="22"/>
        </w:rPr>
        <w:t xml:space="preserve"> will be fully operational providing a coordinated management approach to an initial six populations of four goose species involving 20 Range States (see Annex 2):</w:t>
      </w:r>
    </w:p>
    <w:p w:rsidR="00B97A01" w:rsidRPr="00B97A01" w:rsidRDefault="00B97A01" w:rsidP="00B72E8E">
      <w:pPr>
        <w:jc w:val="both"/>
        <w:rPr>
          <w:sz w:val="22"/>
          <w:szCs w:val="22"/>
        </w:rPr>
      </w:pPr>
    </w:p>
    <w:p w:rsidR="00B97A01" w:rsidRPr="00B97A01" w:rsidRDefault="00B97A01" w:rsidP="00B97A01">
      <w:pPr>
        <w:numPr>
          <w:ilvl w:val="0"/>
          <w:numId w:val="1"/>
        </w:numPr>
        <w:suppressAutoHyphens w:val="0"/>
        <w:autoSpaceDN/>
        <w:jc w:val="both"/>
        <w:textAlignment w:val="auto"/>
        <w:rPr>
          <w:sz w:val="22"/>
          <w:szCs w:val="22"/>
        </w:rPr>
      </w:pPr>
      <w:r w:rsidRPr="00B97A01">
        <w:rPr>
          <w:sz w:val="22"/>
          <w:szCs w:val="22"/>
        </w:rPr>
        <w:t>Pink-footed Goose – 1 population (Svalbard/North-west Europe)</w:t>
      </w:r>
      <w:r>
        <w:rPr>
          <w:sz w:val="22"/>
          <w:szCs w:val="22"/>
        </w:rPr>
        <w:t>;</w:t>
      </w:r>
    </w:p>
    <w:p w:rsidR="00B97A01" w:rsidRPr="00B97A01" w:rsidRDefault="00B97A01" w:rsidP="00B97A01">
      <w:pPr>
        <w:numPr>
          <w:ilvl w:val="0"/>
          <w:numId w:val="1"/>
        </w:numPr>
        <w:suppressAutoHyphens w:val="0"/>
        <w:autoSpaceDN/>
        <w:jc w:val="both"/>
        <w:textAlignment w:val="auto"/>
        <w:rPr>
          <w:sz w:val="22"/>
          <w:szCs w:val="22"/>
        </w:rPr>
      </w:pPr>
      <w:r w:rsidRPr="00B97A01">
        <w:rPr>
          <w:sz w:val="22"/>
          <w:szCs w:val="22"/>
        </w:rPr>
        <w:t>Taiga Bean Goose – 1 population (North-east Europe/North-west Europe)</w:t>
      </w:r>
      <w:r>
        <w:rPr>
          <w:sz w:val="22"/>
          <w:szCs w:val="22"/>
        </w:rPr>
        <w:t>;</w:t>
      </w:r>
    </w:p>
    <w:p w:rsidR="00B97A01" w:rsidRPr="00B97A01" w:rsidRDefault="00B97A01" w:rsidP="00B97A01">
      <w:pPr>
        <w:numPr>
          <w:ilvl w:val="0"/>
          <w:numId w:val="1"/>
        </w:numPr>
        <w:suppressAutoHyphens w:val="0"/>
        <w:autoSpaceDN/>
        <w:jc w:val="both"/>
        <w:textAlignment w:val="auto"/>
        <w:rPr>
          <w:sz w:val="22"/>
          <w:szCs w:val="22"/>
        </w:rPr>
      </w:pPr>
      <w:r w:rsidRPr="00B97A01">
        <w:rPr>
          <w:sz w:val="22"/>
          <w:szCs w:val="22"/>
        </w:rPr>
        <w:t>Barnacle Goose – 3 populations (East Greenland/Scotland &amp; Ireland; Svalbard/South-west Scotland; and Russia/North-west Europe)</w:t>
      </w:r>
      <w:r>
        <w:rPr>
          <w:sz w:val="22"/>
          <w:szCs w:val="22"/>
        </w:rPr>
        <w:t>;</w:t>
      </w:r>
    </w:p>
    <w:p w:rsidR="00B97A01" w:rsidRPr="00B97A01" w:rsidRDefault="00B97A01" w:rsidP="00B97A01">
      <w:pPr>
        <w:numPr>
          <w:ilvl w:val="0"/>
          <w:numId w:val="1"/>
        </w:numPr>
        <w:suppressAutoHyphens w:val="0"/>
        <w:autoSpaceDN/>
        <w:jc w:val="both"/>
        <w:textAlignment w:val="auto"/>
        <w:rPr>
          <w:sz w:val="22"/>
          <w:szCs w:val="22"/>
        </w:rPr>
      </w:pPr>
      <w:r w:rsidRPr="00B97A01">
        <w:rPr>
          <w:sz w:val="22"/>
          <w:szCs w:val="22"/>
        </w:rPr>
        <w:t>Greylag Goose – 1 population (NW Europe/South-west Europe)</w:t>
      </w:r>
      <w:r>
        <w:rPr>
          <w:sz w:val="22"/>
          <w:szCs w:val="22"/>
        </w:rPr>
        <w:t>.</w:t>
      </w:r>
    </w:p>
    <w:p w:rsidR="00B97A01" w:rsidRPr="00B97A01" w:rsidRDefault="00B97A01" w:rsidP="00B72E8E">
      <w:pPr>
        <w:jc w:val="both"/>
        <w:rPr>
          <w:sz w:val="22"/>
          <w:szCs w:val="22"/>
        </w:rPr>
      </w:pPr>
    </w:p>
    <w:p w:rsidR="00B97A01" w:rsidRPr="00B97A01" w:rsidRDefault="00B97A01" w:rsidP="00B72E8E">
      <w:pPr>
        <w:jc w:val="both"/>
        <w:rPr>
          <w:sz w:val="22"/>
          <w:szCs w:val="22"/>
        </w:rPr>
      </w:pPr>
      <w:r w:rsidRPr="00B97A01">
        <w:rPr>
          <w:sz w:val="22"/>
          <w:szCs w:val="22"/>
        </w:rPr>
        <w:t xml:space="preserve">After the three-year period of </w:t>
      </w:r>
      <w:proofErr w:type="spellStart"/>
      <w:r w:rsidRPr="00B97A01">
        <w:rPr>
          <w:sz w:val="22"/>
          <w:szCs w:val="22"/>
        </w:rPr>
        <w:t>EuroGMP</w:t>
      </w:r>
      <w:proofErr w:type="spellEnd"/>
      <w:r w:rsidRPr="00B97A01">
        <w:rPr>
          <w:sz w:val="22"/>
          <w:szCs w:val="22"/>
        </w:rPr>
        <w:t xml:space="preserve"> phase-in, the AEWA European Goose Management International Working Group will consider and decide on the possible further taxonomic extension of the Platform to cover other goose populations and species. </w:t>
      </w:r>
    </w:p>
    <w:p w:rsidR="00B97A01" w:rsidRPr="00B97A01" w:rsidRDefault="00B97A01" w:rsidP="00B72E8E">
      <w:pPr>
        <w:jc w:val="both"/>
        <w:rPr>
          <w:sz w:val="22"/>
          <w:szCs w:val="22"/>
        </w:rPr>
      </w:pPr>
    </w:p>
    <w:p w:rsidR="00B97A01" w:rsidRPr="00B97A01" w:rsidRDefault="00B97A01" w:rsidP="00B72E8E">
      <w:pPr>
        <w:jc w:val="both"/>
        <w:rPr>
          <w:sz w:val="22"/>
          <w:szCs w:val="22"/>
        </w:rPr>
      </w:pPr>
      <w:r w:rsidRPr="00B97A01">
        <w:rPr>
          <w:i/>
          <w:sz w:val="22"/>
          <w:szCs w:val="22"/>
        </w:rPr>
        <w:t>Figure 2</w:t>
      </w:r>
      <w:r w:rsidRPr="00B97A01">
        <w:rPr>
          <w:sz w:val="22"/>
          <w:szCs w:val="22"/>
        </w:rPr>
        <w:t xml:space="preserve"> below shows the indicative timelines for the different planning and implementation phases of the management plans for the populations of the four goose species listed above. By the end of 2018, it is envisaged that all plans will have entered the active implementation phase - depending on sufficient resources being available as well as reaching consensus amongst range states and other stakeholders).</w:t>
      </w:r>
    </w:p>
    <w:p w:rsidR="00B97A01" w:rsidRPr="00B97A01" w:rsidRDefault="00B97A01" w:rsidP="00B72E8E">
      <w:pPr>
        <w:jc w:val="both"/>
        <w:rPr>
          <w:sz w:val="22"/>
          <w:szCs w:val="22"/>
        </w:rPr>
      </w:pPr>
    </w:p>
    <w:p w:rsidR="00B97A01" w:rsidRPr="00B97A01" w:rsidRDefault="00B97A01" w:rsidP="00B72E8E">
      <w:pPr>
        <w:jc w:val="both"/>
        <w:rPr>
          <w:sz w:val="22"/>
          <w:szCs w:val="22"/>
        </w:rPr>
      </w:pPr>
      <w:r w:rsidRPr="00B97A01">
        <w:rPr>
          <w:noProof/>
          <w:sz w:val="22"/>
          <w:szCs w:val="22"/>
          <w:lang w:val="en-US"/>
        </w:rPr>
        <w:drawing>
          <wp:anchor distT="0" distB="0" distL="114300" distR="114300" simplePos="0" relativeHeight="251659264" behindDoc="1" locked="0" layoutInCell="1" allowOverlap="1" wp14:anchorId="22205F58" wp14:editId="4EF67CD9">
            <wp:simplePos x="0" y="0"/>
            <wp:positionH relativeFrom="column">
              <wp:posOffset>-339090</wp:posOffset>
            </wp:positionH>
            <wp:positionV relativeFrom="paragraph">
              <wp:posOffset>228600</wp:posOffset>
            </wp:positionV>
            <wp:extent cx="6276340" cy="2653030"/>
            <wp:effectExtent l="0" t="0" r="0" b="0"/>
            <wp:wrapTight wrapText="bothSides">
              <wp:wrapPolygon edited="0">
                <wp:start x="4261" y="0"/>
                <wp:lineTo x="4261" y="2482"/>
                <wp:lineTo x="10752" y="2482"/>
                <wp:lineTo x="1115" y="5428"/>
                <wp:lineTo x="1180" y="7135"/>
                <wp:lineTo x="10752" y="7445"/>
                <wp:lineTo x="4261" y="9306"/>
                <wp:lineTo x="4261" y="9926"/>
                <wp:lineTo x="1180" y="10236"/>
                <wp:lineTo x="1311" y="11943"/>
                <wp:lineTo x="10752" y="12408"/>
                <wp:lineTo x="4261" y="14114"/>
                <wp:lineTo x="4261" y="14889"/>
                <wp:lineTo x="1508" y="15045"/>
                <wp:lineTo x="1573" y="16440"/>
                <wp:lineTo x="10752" y="17371"/>
                <wp:lineTo x="4261" y="18922"/>
                <wp:lineTo x="4261" y="19853"/>
                <wp:lineTo x="1639" y="19853"/>
                <wp:lineTo x="1639" y="20783"/>
                <wp:lineTo x="4261" y="21404"/>
                <wp:lineTo x="21504" y="21404"/>
                <wp:lineTo x="21504" y="18922"/>
                <wp:lineTo x="10752" y="17371"/>
                <wp:lineTo x="21504" y="16751"/>
                <wp:lineTo x="21504" y="14114"/>
                <wp:lineTo x="10752" y="12408"/>
                <wp:lineTo x="21504" y="12098"/>
                <wp:lineTo x="21504" y="9306"/>
                <wp:lineTo x="10752" y="7445"/>
                <wp:lineTo x="21504" y="7290"/>
                <wp:lineTo x="21504" y="4498"/>
                <wp:lineTo x="10752" y="2482"/>
                <wp:lineTo x="21504" y="2482"/>
                <wp:lineTo x="21504" y="0"/>
                <wp:lineTo x="426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340" cy="2653030"/>
                    </a:xfrm>
                    <a:prstGeom prst="rect">
                      <a:avLst/>
                    </a:prstGeom>
                    <a:noFill/>
                  </pic:spPr>
                </pic:pic>
              </a:graphicData>
            </a:graphic>
            <wp14:sizeRelH relativeFrom="page">
              <wp14:pctWidth>0</wp14:pctWidth>
            </wp14:sizeRelH>
            <wp14:sizeRelV relativeFrom="page">
              <wp14:pctHeight>0</wp14:pctHeight>
            </wp14:sizeRelV>
          </wp:anchor>
        </w:drawing>
      </w:r>
    </w:p>
    <w:p w:rsidR="00B97A01" w:rsidRPr="00B97A01" w:rsidRDefault="00B97A01" w:rsidP="00B72E8E">
      <w:pPr>
        <w:jc w:val="both"/>
        <w:rPr>
          <w:sz w:val="22"/>
          <w:szCs w:val="22"/>
        </w:rPr>
      </w:pPr>
    </w:p>
    <w:p w:rsidR="00B97A01" w:rsidRPr="00B97A01" w:rsidRDefault="00B97A01" w:rsidP="00B72E8E">
      <w:pPr>
        <w:jc w:val="both"/>
        <w:rPr>
          <w:sz w:val="22"/>
          <w:szCs w:val="22"/>
        </w:rPr>
      </w:pPr>
    </w:p>
    <w:p w:rsidR="00B97A01" w:rsidRPr="00B97A01" w:rsidRDefault="00B97A01" w:rsidP="00B72E8E">
      <w:pPr>
        <w:jc w:val="both"/>
        <w:rPr>
          <w:sz w:val="22"/>
          <w:szCs w:val="22"/>
        </w:rPr>
      </w:pPr>
    </w:p>
    <w:p w:rsidR="00B97A01" w:rsidRPr="00B97A01" w:rsidRDefault="00B97A01" w:rsidP="00B72E8E">
      <w:pPr>
        <w:jc w:val="both"/>
        <w:rPr>
          <w:sz w:val="22"/>
          <w:szCs w:val="22"/>
        </w:rPr>
      </w:pPr>
    </w:p>
    <w:p w:rsidR="00B97A01" w:rsidRPr="00B97A01" w:rsidRDefault="00B97A01" w:rsidP="00B72E8E">
      <w:pPr>
        <w:jc w:val="both"/>
        <w:rPr>
          <w:sz w:val="22"/>
          <w:szCs w:val="22"/>
        </w:rPr>
      </w:pPr>
    </w:p>
    <w:p w:rsidR="00B97A01" w:rsidRPr="00B97A01" w:rsidRDefault="00B97A01" w:rsidP="00B72E8E">
      <w:pPr>
        <w:jc w:val="both"/>
        <w:rPr>
          <w:sz w:val="22"/>
          <w:szCs w:val="22"/>
        </w:rPr>
      </w:pPr>
    </w:p>
    <w:p w:rsidR="00B97A01" w:rsidRPr="00B97A01" w:rsidRDefault="00B97A01" w:rsidP="00B72E8E">
      <w:pPr>
        <w:jc w:val="both"/>
        <w:rPr>
          <w:sz w:val="22"/>
          <w:szCs w:val="22"/>
        </w:rPr>
      </w:pPr>
    </w:p>
    <w:p w:rsidR="00B97A01" w:rsidRDefault="00B97A01" w:rsidP="00B72E8E">
      <w:pPr>
        <w:jc w:val="both"/>
        <w:rPr>
          <w:i/>
          <w:sz w:val="22"/>
          <w:szCs w:val="22"/>
        </w:rPr>
      </w:pPr>
    </w:p>
    <w:p w:rsidR="00B97A01" w:rsidRDefault="00B97A01" w:rsidP="00B72E8E">
      <w:pPr>
        <w:jc w:val="both"/>
        <w:rPr>
          <w:i/>
          <w:sz w:val="22"/>
          <w:szCs w:val="22"/>
        </w:rPr>
      </w:pPr>
    </w:p>
    <w:p w:rsidR="00B97A01" w:rsidRDefault="00B97A01" w:rsidP="00B72E8E">
      <w:pPr>
        <w:jc w:val="both"/>
        <w:rPr>
          <w:i/>
          <w:sz w:val="22"/>
          <w:szCs w:val="22"/>
        </w:rPr>
      </w:pPr>
    </w:p>
    <w:p w:rsidR="00B97A01" w:rsidRDefault="00B97A01" w:rsidP="00B72E8E">
      <w:pPr>
        <w:jc w:val="both"/>
        <w:rPr>
          <w:i/>
          <w:sz w:val="22"/>
          <w:szCs w:val="22"/>
        </w:rPr>
      </w:pPr>
    </w:p>
    <w:p w:rsidR="00B97A01" w:rsidRPr="00B97A01" w:rsidRDefault="00B97A01" w:rsidP="00B72E8E">
      <w:pPr>
        <w:jc w:val="both"/>
        <w:rPr>
          <w:i/>
          <w:sz w:val="22"/>
          <w:szCs w:val="22"/>
        </w:rPr>
      </w:pPr>
      <w:r w:rsidRPr="00B97A01">
        <w:rPr>
          <w:i/>
          <w:sz w:val="22"/>
          <w:szCs w:val="22"/>
        </w:rPr>
        <w:t xml:space="preserve">Figure 2. Indicative timelines of planning and implementation phases of the management plans for the initial set of six populations of four goose species in the framework of the </w:t>
      </w:r>
      <w:proofErr w:type="spellStart"/>
      <w:r w:rsidRPr="00B97A01">
        <w:rPr>
          <w:i/>
          <w:sz w:val="22"/>
          <w:szCs w:val="22"/>
        </w:rPr>
        <w:t>EuroGMP</w:t>
      </w:r>
      <w:proofErr w:type="spellEnd"/>
      <w:r w:rsidRPr="00B97A01">
        <w:rPr>
          <w:i/>
          <w:sz w:val="22"/>
          <w:szCs w:val="22"/>
        </w:rPr>
        <w:t xml:space="preserve">. Orange bars indicate development of Adaptive Harvest Management Plan, which is to follow the development of the broader framework of the Species Management Plan (indicated as red bar). The Species Management/Action Plans for the Pink-footed Goose and the Taiga Bean Goose have already been adopted by AEWA MOP5 and MOP6 respectively. </w:t>
      </w:r>
    </w:p>
    <w:p w:rsidR="00B97A01" w:rsidRPr="00B97A01" w:rsidRDefault="00B97A01" w:rsidP="00B72E8E">
      <w:pPr>
        <w:jc w:val="both"/>
        <w:rPr>
          <w:sz w:val="22"/>
          <w:szCs w:val="22"/>
        </w:rPr>
      </w:pPr>
    </w:p>
    <w:p w:rsidR="00B97A01" w:rsidRPr="00B97A01" w:rsidRDefault="00B97A01" w:rsidP="00B72E8E">
      <w:pPr>
        <w:jc w:val="both"/>
        <w:rPr>
          <w:sz w:val="22"/>
          <w:szCs w:val="22"/>
        </w:rPr>
      </w:pPr>
      <w:r w:rsidRPr="00B97A01">
        <w:rPr>
          <w:sz w:val="22"/>
          <w:szCs w:val="22"/>
        </w:rPr>
        <w:lastRenderedPageBreak/>
        <w:t xml:space="preserve">The chronological list below presents the milestones in the three-year phase-in timeline of the </w:t>
      </w:r>
      <w:proofErr w:type="spellStart"/>
      <w:r w:rsidRPr="00B97A01">
        <w:rPr>
          <w:sz w:val="22"/>
          <w:szCs w:val="22"/>
        </w:rPr>
        <w:t>EuroGMP</w:t>
      </w:r>
      <w:proofErr w:type="spellEnd"/>
      <w:r w:rsidRPr="00B97A01">
        <w:rPr>
          <w:sz w:val="22"/>
          <w:szCs w:val="22"/>
        </w:rPr>
        <w:t>; need of funding is indicated and is respectively costed in the budget section of this document (with some exceptions, see the budget section below).</w:t>
      </w:r>
    </w:p>
    <w:p w:rsidR="00B97A01" w:rsidRPr="00B97A01" w:rsidRDefault="00B97A01" w:rsidP="00B72E8E">
      <w:pPr>
        <w:jc w:val="both"/>
        <w:rPr>
          <w:sz w:val="22"/>
          <w:szCs w:val="22"/>
        </w:rPr>
      </w:pPr>
    </w:p>
    <w:p w:rsidR="00B97A01" w:rsidRPr="00B97A01" w:rsidRDefault="00B97A01" w:rsidP="00B72E8E">
      <w:pPr>
        <w:jc w:val="both"/>
        <w:rPr>
          <w:b/>
          <w:sz w:val="22"/>
          <w:szCs w:val="22"/>
        </w:rPr>
      </w:pPr>
      <w:r w:rsidRPr="00B97A01">
        <w:rPr>
          <w:b/>
          <w:sz w:val="22"/>
          <w:szCs w:val="22"/>
        </w:rPr>
        <w:t>2016</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Initiate recruitment of a coordinator and an assistant at the UNEP/AEWA Secretariat (</w:t>
      </w:r>
      <w:r w:rsidRPr="00B97A01">
        <w:rPr>
          <w:b/>
          <w:sz w:val="22"/>
          <w:szCs w:val="22"/>
        </w:rPr>
        <w:t>funding required</w:t>
      </w:r>
      <w:r w:rsidRPr="00B97A01">
        <w:rPr>
          <w:sz w:val="22"/>
          <w:szCs w:val="22"/>
        </w:rPr>
        <w:t>);</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Initiate development of adaptive harvest management plan for the Taiga Bean Goose (</w:t>
      </w:r>
      <w:r w:rsidRPr="00B97A01">
        <w:rPr>
          <w:b/>
          <w:sz w:val="22"/>
          <w:szCs w:val="22"/>
        </w:rPr>
        <w:t>funding required</w:t>
      </w:r>
      <w:r w:rsidRPr="00B97A01">
        <w:rPr>
          <w:sz w:val="22"/>
          <w:szCs w:val="22"/>
        </w:rPr>
        <w:t>);</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 xml:space="preserve">Convene a meeting of the initial 20 Range States to agree on the modalities of the establishment and roll-out of the </w:t>
      </w:r>
      <w:proofErr w:type="spellStart"/>
      <w:r w:rsidRPr="00B97A01">
        <w:rPr>
          <w:sz w:val="22"/>
          <w:szCs w:val="22"/>
        </w:rPr>
        <w:t>EuroGMP</w:t>
      </w:r>
      <w:proofErr w:type="spellEnd"/>
      <w:r w:rsidRPr="00B97A01">
        <w:rPr>
          <w:sz w:val="22"/>
          <w:szCs w:val="22"/>
        </w:rPr>
        <w:t xml:space="preserve"> (</w:t>
      </w:r>
      <w:r w:rsidRPr="00B97A01">
        <w:rPr>
          <w:b/>
          <w:sz w:val="22"/>
          <w:szCs w:val="22"/>
        </w:rPr>
        <w:t>funding required</w:t>
      </w:r>
      <w:r w:rsidRPr="00B97A01">
        <w:rPr>
          <w:sz w:val="22"/>
          <w:szCs w:val="22"/>
        </w:rPr>
        <w:t>);</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Initiate management-planning processes for the Barnacle and the Greylag Geese populations (</w:t>
      </w:r>
      <w:r w:rsidRPr="00B97A01">
        <w:rPr>
          <w:b/>
          <w:sz w:val="22"/>
          <w:szCs w:val="22"/>
        </w:rPr>
        <w:t>funding required</w:t>
      </w:r>
      <w:r w:rsidRPr="00B97A01">
        <w:rPr>
          <w:sz w:val="22"/>
          <w:szCs w:val="22"/>
        </w:rPr>
        <w:t>);</w:t>
      </w:r>
    </w:p>
    <w:p w:rsidR="00B97A01" w:rsidRPr="00B97A01" w:rsidRDefault="00B97A01" w:rsidP="00B97A01">
      <w:pPr>
        <w:numPr>
          <w:ilvl w:val="0"/>
          <w:numId w:val="1"/>
        </w:numPr>
        <w:suppressAutoHyphens w:val="0"/>
        <w:autoSpaceDN/>
        <w:spacing w:line="288" w:lineRule="auto"/>
        <w:jc w:val="both"/>
        <w:textAlignment w:val="auto"/>
        <w:rPr>
          <w:sz w:val="22"/>
          <w:szCs w:val="22"/>
        </w:rPr>
      </w:pPr>
      <w:proofErr w:type="spellStart"/>
      <w:r w:rsidRPr="00B97A01">
        <w:rPr>
          <w:sz w:val="22"/>
          <w:szCs w:val="22"/>
        </w:rPr>
        <w:t>EuroGMP</w:t>
      </w:r>
      <w:proofErr w:type="spellEnd"/>
      <w:r w:rsidRPr="00B97A01">
        <w:rPr>
          <w:sz w:val="22"/>
          <w:szCs w:val="22"/>
        </w:rPr>
        <w:t xml:space="preserve"> coordinator and assistant enter on duty at the UNEP/AEWA Secretariat;</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Recruit goose monitoring coordinator at the International Data Centre (</w:t>
      </w:r>
      <w:r w:rsidRPr="00B97A01">
        <w:rPr>
          <w:b/>
          <w:sz w:val="22"/>
          <w:szCs w:val="22"/>
        </w:rPr>
        <w:t>funding required</w:t>
      </w:r>
      <w:r w:rsidRPr="00B97A01">
        <w:rPr>
          <w:sz w:val="22"/>
          <w:szCs w:val="22"/>
        </w:rPr>
        <w:t>);</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Finalise the draft adaptive harvest management plan for the Taiga Bean Goose;</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 xml:space="preserve">Convene the first meeting of the AEWA European Goose Management International Working Group with focus on the Pink-footed and Taiga Bean Geese (roll-out of the Taiga Bean Goose plan implementation), which will constitute the launch of the </w:t>
      </w:r>
      <w:proofErr w:type="spellStart"/>
      <w:r w:rsidRPr="00B97A01">
        <w:rPr>
          <w:sz w:val="22"/>
          <w:szCs w:val="22"/>
        </w:rPr>
        <w:t>EuroGMP</w:t>
      </w:r>
      <w:proofErr w:type="spellEnd"/>
      <w:r w:rsidRPr="00B97A01">
        <w:rPr>
          <w:sz w:val="22"/>
          <w:szCs w:val="22"/>
        </w:rPr>
        <w:t xml:space="preserve"> (</w:t>
      </w:r>
      <w:r w:rsidRPr="00B97A01">
        <w:rPr>
          <w:b/>
          <w:sz w:val="22"/>
          <w:szCs w:val="22"/>
        </w:rPr>
        <w:t>funding required</w:t>
      </w:r>
      <w:r w:rsidRPr="00B97A01">
        <w:rPr>
          <w:sz w:val="22"/>
          <w:szCs w:val="22"/>
        </w:rPr>
        <w:t>);</w:t>
      </w:r>
    </w:p>
    <w:p w:rsidR="00C44E6F" w:rsidRPr="00B97A01" w:rsidRDefault="00C44E6F" w:rsidP="00385AB0">
      <w:pPr>
        <w:spacing w:line="288" w:lineRule="auto"/>
        <w:jc w:val="both"/>
        <w:rPr>
          <w:sz w:val="22"/>
          <w:szCs w:val="22"/>
        </w:rPr>
      </w:pPr>
    </w:p>
    <w:p w:rsidR="00B97A01" w:rsidRPr="00B97A01" w:rsidRDefault="00B97A01" w:rsidP="00385AB0">
      <w:pPr>
        <w:spacing w:line="288" w:lineRule="auto"/>
        <w:jc w:val="both"/>
        <w:rPr>
          <w:b/>
          <w:sz w:val="22"/>
          <w:szCs w:val="22"/>
        </w:rPr>
      </w:pPr>
      <w:r w:rsidRPr="00B97A01">
        <w:rPr>
          <w:b/>
          <w:sz w:val="22"/>
          <w:szCs w:val="22"/>
        </w:rPr>
        <w:t>2017</w:t>
      </w:r>
    </w:p>
    <w:p w:rsidR="00B97A01" w:rsidRPr="00B97A01" w:rsidRDefault="00B97A01" w:rsidP="00B97A01">
      <w:pPr>
        <w:numPr>
          <w:ilvl w:val="0"/>
          <w:numId w:val="1"/>
        </w:numPr>
        <w:suppressAutoHyphens w:val="0"/>
        <w:autoSpaceDN/>
        <w:textAlignment w:val="auto"/>
        <w:rPr>
          <w:sz w:val="22"/>
          <w:szCs w:val="22"/>
        </w:rPr>
      </w:pPr>
      <w:r w:rsidRPr="00B97A01">
        <w:rPr>
          <w:sz w:val="22"/>
          <w:szCs w:val="22"/>
        </w:rPr>
        <w:t>Recruit remaining personnel at the International Data Centre (</w:t>
      </w:r>
      <w:r w:rsidRPr="00B97A01">
        <w:rPr>
          <w:b/>
          <w:sz w:val="22"/>
          <w:szCs w:val="22"/>
        </w:rPr>
        <w:t>funding required</w:t>
      </w:r>
      <w:r w:rsidRPr="00B97A01">
        <w:rPr>
          <w:sz w:val="22"/>
          <w:szCs w:val="22"/>
        </w:rPr>
        <w:t>);</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 xml:space="preserve">Finalise the draft management plans for the Barnacle and the Greylag Geese populations; </w:t>
      </w:r>
    </w:p>
    <w:p w:rsidR="00B97A01" w:rsidRPr="00B97A01" w:rsidRDefault="00B97A01" w:rsidP="00B97A01">
      <w:pPr>
        <w:numPr>
          <w:ilvl w:val="0"/>
          <w:numId w:val="1"/>
        </w:numPr>
        <w:suppressAutoHyphens w:val="0"/>
        <w:autoSpaceDN/>
        <w:textAlignment w:val="auto"/>
        <w:rPr>
          <w:sz w:val="22"/>
          <w:szCs w:val="22"/>
        </w:rPr>
      </w:pPr>
      <w:r w:rsidRPr="00B97A01">
        <w:rPr>
          <w:sz w:val="22"/>
          <w:szCs w:val="22"/>
        </w:rPr>
        <w:t>Initiate population models development for the Barnacle and the Greylag Geese populations (</w:t>
      </w:r>
      <w:r w:rsidRPr="00B97A01">
        <w:rPr>
          <w:b/>
          <w:sz w:val="22"/>
          <w:szCs w:val="22"/>
        </w:rPr>
        <w:t>funding required</w:t>
      </w:r>
      <w:r w:rsidRPr="00B97A01">
        <w:rPr>
          <w:sz w:val="22"/>
          <w:szCs w:val="22"/>
        </w:rPr>
        <w:t>);</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Convene the second meeting of the AEWA European Goose Management International Working Group with focus on the Pink-footed and Taiga Bean Geese (</w:t>
      </w:r>
      <w:r w:rsidRPr="00B97A01">
        <w:rPr>
          <w:b/>
          <w:sz w:val="22"/>
          <w:szCs w:val="22"/>
        </w:rPr>
        <w:t>funding required</w:t>
      </w:r>
      <w:r w:rsidRPr="00B97A01">
        <w:rPr>
          <w:sz w:val="22"/>
          <w:szCs w:val="22"/>
        </w:rPr>
        <w:t>).</w:t>
      </w:r>
    </w:p>
    <w:p w:rsidR="00B97A01" w:rsidRPr="00B97A01" w:rsidRDefault="00B97A01" w:rsidP="000006A1">
      <w:pPr>
        <w:spacing w:line="288" w:lineRule="auto"/>
        <w:jc w:val="both"/>
        <w:rPr>
          <w:sz w:val="22"/>
          <w:szCs w:val="22"/>
        </w:rPr>
      </w:pPr>
    </w:p>
    <w:p w:rsidR="00B97A01" w:rsidRPr="00B97A01" w:rsidRDefault="00B97A01" w:rsidP="000006A1">
      <w:pPr>
        <w:spacing w:line="288" w:lineRule="auto"/>
        <w:jc w:val="both"/>
        <w:rPr>
          <w:b/>
          <w:sz w:val="22"/>
          <w:szCs w:val="22"/>
        </w:rPr>
      </w:pPr>
      <w:r w:rsidRPr="00B97A01">
        <w:rPr>
          <w:b/>
          <w:sz w:val="22"/>
          <w:szCs w:val="22"/>
        </w:rPr>
        <w:t>2018</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Finalise the population models for the Barnacle and the Greylag Geese populations;</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Initiate development of adaptive harvest management plans for the Barnacle and the Greylag Geese populations (</w:t>
      </w:r>
      <w:r w:rsidRPr="00B97A01">
        <w:rPr>
          <w:b/>
          <w:sz w:val="22"/>
          <w:szCs w:val="22"/>
        </w:rPr>
        <w:t>funding required</w:t>
      </w:r>
      <w:r w:rsidRPr="00B97A01">
        <w:rPr>
          <w:sz w:val="22"/>
          <w:szCs w:val="22"/>
        </w:rPr>
        <w:t>);</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Receive approval on a temporary basis from the AEWA Standing Committee of the Species Management Plans for the Barnacle and the Greylag Geese;</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Finalise the draft adaptive harvest management plans for the Barnacle and the Greylag Geese populations;</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Formally adopt the Species Management Plans for the Barnacle and the Greylag Geese at AEWA MOP7;</w:t>
      </w:r>
    </w:p>
    <w:p w:rsidR="00B97A01" w:rsidRPr="00B97A01" w:rsidRDefault="00B97A01" w:rsidP="00B97A01">
      <w:pPr>
        <w:numPr>
          <w:ilvl w:val="0"/>
          <w:numId w:val="1"/>
        </w:numPr>
        <w:suppressAutoHyphens w:val="0"/>
        <w:autoSpaceDN/>
        <w:spacing w:line="288" w:lineRule="auto"/>
        <w:jc w:val="both"/>
        <w:textAlignment w:val="auto"/>
        <w:rPr>
          <w:sz w:val="22"/>
          <w:szCs w:val="22"/>
        </w:rPr>
      </w:pPr>
      <w:r w:rsidRPr="00B97A01">
        <w:rPr>
          <w:sz w:val="22"/>
          <w:szCs w:val="22"/>
        </w:rPr>
        <w:t xml:space="preserve">Convene the third meeting of the AEWA European Goose Management International Working Group with focus on the full set of six populations of four goose species (roll-out of the Barnacle and Greylag Geese plans implementation), which will constitute completion of the three-year </w:t>
      </w:r>
      <w:proofErr w:type="spellStart"/>
      <w:r w:rsidRPr="00B97A01">
        <w:rPr>
          <w:sz w:val="22"/>
          <w:szCs w:val="22"/>
        </w:rPr>
        <w:t>EuroGMP</w:t>
      </w:r>
      <w:proofErr w:type="spellEnd"/>
      <w:r w:rsidRPr="00B97A01">
        <w:rPr>
          <w:sz w:val="22"/>
          <w:szCs w:val="22"/>
        </w:rPr>
        <w:t xml:space="preserve"> phase-in (</w:t>
      </w:r>
      <w:r w:rsidRPr="00B97A01">
        <w:rPr>
          <w:b/>
          <w:sz w:val="22"/>
          <w:szCs w:val="22"/>
        </w:rPr>
        <w:t>funding required</w:t>
      </w:r>
      <w:r w:rsidRPr="00B97A01">
        <w:rPr>
          <w:sz w:val="22"/>
          <w:szCs w:val="22"/>
        </w:rPr>
        <w:t>).</w:t>
      </w:r>
    </w:p>
    <w:p w:rsidR="00B97A01" w:rsidRPr="00B97A01" w:rsidRDefault="00B97A01" w:rsidP="00035C56">
      <w:pPr>
        <w:spacing w:line="288" w:lineRule="auto"/>
        <w:jc w:val="both"/>
        <w:rPr>
          <w:sz w:val="22"/>
          <w:szCs w:val="22"/>
        </w:rPr>
      </w:pPr>
    </w:p>
    <w:p w:rsidR="00B97A01" w:rsidRPr="00B97A01" w:rsidRDefault="00B97A01" w:rsidP="000D5914">
      <w:pPr>
        <w:pStyle w:val="Heading1"/>
        <w:rPr>
          <w:szCs w:val="22"/>
        </w:rPr>
      </w:pPr>
      <w:bookmarkStart w:id="5" w:name="_Toc448762268"/>
      <w:r w:rsidRPr="00B97A01">
        <w:rPr>
          <w:szCs w:val="22"/>
        </w:rPr>
        <w:t xml:space="preserve">5. Budget Estimate for the </w:t>
      </w:r>
      <w:proofErr w:type="spellStart"/>
      <w:r w:rsidRPr="00B97A01">
        <w:rPr>
          <w:szCs w:val="22"/>
        </w:rPr>
        <w:t>EuroGMP</w:t>
      </w:r>
      <w:proofErr w:type="spellEnd"/>
      <w:r w:rsidRPr="00B97A01">
        <w:rPr>
          <w:szCs w:val="22"/>
        </w:rPr>
        <w:t xml:space="preserve"> Phase-in</w:t>
      </w:r>
      <w:bookmarkEnd w:id="5"/>
      <w:r w:rsidRPr="00B97A01">
        <w:rPr>
          <w:szCs w:val="22"/>
        </w:rPr>
        <w:t xml:space="preserve"> </w:t>
      </w:r>
    </w:p>
    <w:p w:rsidR="00B97A01" w:rsidRPr="00B97A01" w:rsidRDefault="00B97A01" w:rsidP="003A42DE">
      <w:pPr>
        <w:spacing w:line="288" w:lineRule="auto"/>
        <w:jc w:val="both"/>
        <w:rPr>
          <w:sz w:val="22"/>
          <w:szCs w:val="22"/>
        </w:rPr>
      </w:pPr>
    </w:p>
    <w:p w:rsidR="00B97A01" w:rsidRPr="00B97A01" w:rsidRDefault="00B97A01" w:rsidP="003A42DE">
      <w:pPr>
        <w:spacing w:line="288" w:lineRule="auto"/>
        <w:jc w:val="both"/>
        <w:rPr>
          <w:sz w:val="22"/>
          <w:szCs w:val="22"/>
        </w:rPr>
      </w:pPr>
      <w:r w:rsidRPr="00B97A01">
        <w:rPr>
          <w:sz w:val="22"/>
          <w:szCs w:val="22"/>
        </w:rPr>
        <w:t xml:space="preserve">This budget estimate summarises the resources needed at the international level to provide for the services and running of the </w:t>
      </w:r>
      <w:proofErr w:type="spellStart"/>
      <w:r w:rsidRPr="00B97A01">
        <w:rPr>
          <w:sz w:val="22"/>
          <w:szCs w:val="22"/>
        </w:rPr>
        <w:t>EuroGMP</w:t>
      </w:r>
      <w:proofErr w:type="spellEnd"/>
      <w:r w:rsidRPr="00B97A01">
        <w:rPr>
          <w:sz w:val="22"/>
          <w:szCs w:val="22"/>
        </w:rPr>
        <w:t xml:space="preserve"> throughout its phase-in period from 2016 to 2018. The items are presented in the chronological order in which they need to be funded. The only items for which no budget estimates have been </w:t>
      </w:r>
      <w:r w:rsidRPr="00B97A01">
        <w:rPr>
          <w:sz w:val="22"/>
          <w:szCs w:val="22"/>
        </w:rPr>
        <w:lastRenderedPageBreak/>
        <w:t>indicated are the ones related to the development of the Barnacle and Greylag Geese management plans. These will require a more detailed planning and budgeting to determine more realistic estimates. This budgeting exercise will be undertaken once the Range States have taken a decision on the establishment of the Platform.</w:t>
      </w:r>
    </w:p>
    <w:p w:rsidR="00B97A01" w:rsidRPr="00B97A01" w:rsidRDefault="00B97A01" w:rsidP="003A42DE">
      <w:pPr>
        <w:spacing w:line="288" w:lineRule="auto"/>
        <w:jc w:val="both"/>
        <w:rPr>
          <w:sz w:val="22"/>
          <w:szCs w:val="22"/>
        </w:rPr>
      </w:pPr>
    </w:p>
    <w:p w:rsidR="00B97A01" w:rsidRPr="00B97A01" w:rsidRDefault="00B97A01" w:rsidP="003A42DE">
      <w:pPr>
        <w:spacing w:line="288" w:lineRule="auto"/>
        <w:jc w:val="both"/>
        <w:rPr>
          <w:sz w:val="22"/>
          <w:szCs w:val="22"/>
        </w:rPr>
      </w:pPr>
      <w:r w:rsidRPr="00B97A01">
        <w:rPr>
          <w:sz w:val="22"/>
          <w:szCs w:val="22"/>
        </w:rPr>
        <w:t>It should be noted that additional resources will need to be allocated by each participating Range State at national level to run necessary processes, such as National Working Groups, and implement the recommendations agreed amongst all Range States in the framework of the AEWA European Goose Management International Working Group, as well as the provisions of the AEWA International Species Management/Action Plans for the respective populations/species. These national-level costs are, however, not included in this budget estimate.</w:t>
      </w:r>
    </w:p>
    <w:p w:rsidR="00B97A01" w:rsidRPr="00B97A01" w:rsidRDefault="00B97A01" w:rsidP="003A42DE">
      <w:pPr>
        <w:spacing w:line="288" w:lineRule="auto"/>
        <w:jc w:val="both"/>
        <w:rPr>
          <w:sz w:val="22"/>
          <w:szCs w:val="22"/>
        </w:rPr>
      </w:pPr>
    </w:p>
    <w:p w:rsidR="00B97A01" w:rsidRPr="00B97A01" w:rsidRDefault="00B97A01" w:rsidP="003A42DE">
      <w:pPr>
        <w:spacing w:line="288" w:lineRule="auto"/>
        <w:jc w:val="both"/>
        <w:rPr>
          <w:sz w:val="22"/>
          <w:szCs w:val="22"/>
        </w:rPr>
      </w:pPr>
      <w:r w:rsidRPr="00B97A01">
        <w:rPr>
          <w:sz w:val="22"/>
          <w:szCs w:val="22"/>
        </w:rPr>
        <w:t xml:space="preserve">In the longer-term, after 2018 when the </w:t>
      </w:r>
      <w:proofErr w:type="spellStart"/>
      <w:r w:rsidRPr="00B97A01">
        <w:rPr>
          <w:sz w:val="22"/>
          <w:szCs w:val="22"/>
        </w:rPr>
        <w:t>EuroGMP</w:t>
      </w:r>
      <w:proofErr w:type="spellEnd"/>
      <w:r w:rsidRPr="00B97A01">
        <w:rPr>
          <w:sz w:val="22"/>
          <w:szCs w:val="22"/>
        </w:rPr>
        <w:t xml:space="preserve"> is fully rolled-out and operational, it is recommended that all participating Range States agree on a cost sharing formula to spread the provision of the annual resources required at international level. In the phase-in period, however, different Range States will be entering the process at different times, therefore, achieving cost sharing from the start will be challenging. It is requested that in the start-up period, at least in 2016/2017, individual Range States champion this initiative and provide the necessary funding in accordance with their financial abilities.</w:t>
      </w:r>
    </w:p>
    <w:p w:rsidR="00B97A01" w:rsidRPr="00B97A01" w:rsidRDefault="00B97A01" w:rsidP="003A42DE">
      <w:pPr>
        <w:spacing w:line="288" w:lineRule="auto"/>
        <w:jc w:val="both"/>
        <w:rPr>
          <w:sz w:val="22"/>
          <w:szCs w:val="22"/>
        </w:rPr>
      </w:pPr>
    </w:p>
    <w:p w:rsidR="00B97A01" w:rsidRPr="00B97A01" w:rsidRDefault="00B97A01" w:rsidP="003A42DE">
      <w:pPr>
        <w:spacing w:line="288" w:lineRule="auto"/>
        <w:jc w:val="both"/>
        <w:rPr>
          <w:sz w:val="22"/>
          <w:szCs w:val="22"/>
        </w:rPr>
      </w:pPr>
      <w:r w:rsidRPr="00B97A01">
        <w:rPr>
          <w:sz w:val="22"/>
          <w:szCs w:val="22"/>
        </w:rPr>
        <w:t>Two possible scenarios for the cost sharing are suggested, either (1) equal or (2) proportionate to the number of populations in each Range State.</w:t>
      </w:r>
    </w:p>
    <w:p w:rsidR="00B97A01" w:rsidRPr="00B97A01" w:rsidRDefault="00B97A01" w:rsidP="003A42DE">
      <w:pPr>
        <w:spacing w:line="288" w:lineRule="auto"/>
        <w:jc w:val="both"/>
        <w:rPr>
          <w:sz w:val="22"/>
          <w:szCs w:val="22"/>
        </w:rPr>
      </w:pPr>
    </w:p>
    <w:p w:rsidR="00B97A01" w:rsidRPr="00B97A01" w:rsidRDefault="00B97A01" w:rsidP="003A42DE">
      <w:pPr>
        <w:spacing w:line="288" w:lineRule="auto"/>
        <w:jc w:val="both"/>
        <w:rPr>
          <w:sz w:val="22"/>
          <w:szCs w:val="22"/>
        </w:rPr>
      </w:pPr>
      <w:r w:rsidRPr="00B97A01">
        <w:rPr>
          <w:sz w:val="22"/>
          <w:szCs w:val="22"/>
        </w:rPr>
        <w:t>Taking the total annual amount of 466,000 EUR, which has been estimated as necessary to facilitate the routine running of the Platform, the two cost sharing scenarios will imply the following annual costs per Range State:</w:t>
      </w:r>
    </w:p>
    <w:p w:rsidR="00B97A01" w:rsidRPr="00B97A01" w:rsidRDefault="00B97A01" w:rsidP="003A42DE">
      <w:pPr>
        <w:spacing w:line="288" w:lineRule="auto"/>
        <w:jc w:val="both"/>
        <w:rPr>
          <w:sz w:val="22"/>
          <w:szCs w:val="22"/>
        </w:rPr>
      </w:pPr>
    </w:p>
    <w:p w:rsidR="00B97A01" w:rsidRPr="00B97A01" w:rsidRDefault="00B97A01" w:rsidP="003A42DE">
      <w:pPr>
        <w:spacing w:line="288" w:lineRule="auto"/>
        <w:jc w:val="both"/>
        <w:rPr>
          <w:sz w:val="22"/>
          <w:szCs w:val="22"/>
          <w:u w:val="single"/>
        </w:rPr>
      </w:pPr>
      <w:r w:rsidRPr="00B97A01">
        <w:rPr>
          <w:sz w:val="22"/>
          <w:szCs w:val="22"/>
          <w:u w:val="single"/>
        </w:rPr>
        <w:t>Scenario 1 (equal sharing)</w:t>
      </w:r>
    </w:p>
    <w:p w:rsidR="00B97A01" w:rsidRPr="00B97A01" w:rsidRDefault="00B97A01" w:rsidP="003A42DE">
      <w:pPr>
        <w:spacing w:line="288" w:lineRule="auto"/>
        <w:jc w:val="both"/>
        <w:rPr>
          <w:sz w:val="22"/>
          <w:szCs w:val="22"/>
        </w:rPr>
      </w:pPr>
    </w:p>
    <w:p w:rsidR="00B97A01" w:rsidRPr="00B97A01" w:rsidRDefault="00B97A01" w:rsidP="003A42DE">
      <w:pPr>
        <w:spacing w:line="288" w:lineRule="auto"/>
        <w:jc w:val="both"/>
        <w:rPr>
          <w:sz w:val="22"/>
          <w:szCs w:val="22"/>
        </w:rPr>
      </w:pPr>
      <w:r w:rsidRPr="00B97A01">
        <w:rPr>
          <w:sz w:val="22"/>
          <w:szCs w:val="22"/>
        </w:rPr>
        <w:t xml:space="preserve">466,000 EUR equally divided amongst 20 Range States would amount to 23,300 EUR per Range State per year. </w:t>
      </w:r>
    </w:p>
    <w:p w:rsidR="00B97A01" w:rsidRPr="00B97A01" w:rsidRDefault="00B97A01" w:rsidP="003A42DE">
      <w:pPr>
        <w:spacing w:line="288" w:lineRule="auto"/>
        <w:jc w:val="both"/>
        <w:rPr>
          <w:sz w:val="22"/>
          <w:szCs w:val="22"/>
        </w:rPr>
      </w:pPr>
    </w:p>
    <w:p w:rsidR="00B97A01" w:rsidRPr="00B97A01" w:rsidRDefault="00B97A01" w:rsidP="003A42DE">
      <w:pPr>
        <w:spacing w:line="288" w:lineRule="auto"/>
        <w:jc w:val="both"/>
        <w:rPr>
          <w:sz w:val="22"/>
          <w:szCs w:val="22"/>
          <w:u w:val="single"/>
        </w:rPr>
      </w:pPr>
      <w:r w:rsidRPr="00B97A01">
        <w:rPr>
          <w:sz w:val="22"/>
          <w:szCs w:val="22"/>
          <w:u w:val="single"/>
        </w:rPr>
        <w:t>Scenario 2 (sharing proportionate to the number of populations in each Range States)</w:t>
      </w:r>
    </w:p>
    <w:p w:rsidR="00B97A01" w:rsidRPr="00B97A01" w:rsidRDefault="00B97A01" w:rsidP="003A42DE">
      <w:pPr>
        <w:spacing w:line="288" w:lineRule="auto"/>
        <w:jc w:val="both"/>
        <w:rPr>
          <w:sz w:val="22"/>
          <w:szCs w:val="22"/>
        </w:rPr>
      </w:pPr>
    </w:p>
    <w:p w:rsidR="00B97A01" w:rsidRPr="00B97A01" w:rsidRDefault="00B97A01" w:rsidP="003A42DE">
      <w:pPr>
        <w:spacing w:line="288" w:lineRule="auto"/>
        <w:jc w:val="both"/>
        <w:rPr>
          <w:sz w:val="22"/>
          <w:szCs w:val="22"/>
        </w:rPr>
      </w:pPr>
      <w:r w:rsidRPr="00B97A01">
        <w:rPr>
          <w:sz w:val="22"/>
          <w:szCs w:val="22"/>
        </w:rPr>
        <w:t>A preliminary overview of the goose populations per Range State is presented in Annex 2. As per this overview, sharing proportionate to the number of populations in each Range State would imply the following approximate amounts:</w:t>
      </w:r>
    </w:p>
    <w:p w:rsidR="00B97A01" w:rsidRPr="00B97A01" w:rsidRDefault="00B97A01" w:rsidP="003A42DE">
      <w:pPr>
        <w:spacing w:line="288" w:lineRule="auto"/>
        <w:jc w:val="both"/>
        <w:rPr>
          <w:sz w:val="22"/>
          <w:szCs w:val="22"/>
        </w:rPr>
      </w:pPr>
    </w:p>
    <w:p w:rsidR="00B97A01" w:rsidRPr="00B97A01" w:rsidRDefault="00B97A01" w:rsidP="003A42DE">
      <w:pPr>
        <w:spacing w:line="288" w:lineRule="auto"/>
        <w:jc w:val="both"/>
        <w:rPr>
          <w:sz w:val="22"/>
          <w:szCs w:val="22"/>
        </w:rPr>
      </w:pPr>
      <w:r w:rsidRPr="00B97A01">
        <w:rPr>
          <w:sz w:val="22"/>
          <w:szCs w:val="22"/>
        </w:rPr>
        <w:t>Range State with one population – 11,000 EUR/year</w:t>
      </w:r>
    </w:p>
    <w:p w:rsidR="00B97A01" w:rsidRPr="00B97A01" w:rsidRDefault="00B97A01" w:rsidP="003A42DE">
      <w:pPr>
        <w:spacing w:line="288" w:lineRule="auto"/>
        <w:jc w:val="both"/>
        <w:rPr>
          <w:sz w:val="22"/>
          <w:szCs w:val="22"/>
        </w:rPr>
      </w:pPr>
      <w:r w:rsidRPr="00B97A01">
        <w:rPr>
          <w:sz w:val="22"/>
          <w:szCs w:val="22"/>
        </w:rPr>
        <w:t>Range State with two populations – 22,000 EUR/year</w:t>
      </w:r>
    </w:p>
    <w:p w:rsidR="00B97A01" w:rsidRPr="00B97A01" w:rsidRDefault="00B97A01" w:rsidP="003A42DE">
      <w:pPr>
        <w:spacing w:line="288" w:lineRule="auto"/>
        <w:jc w:val="both"/>
        <w:rPr>
          <w:sz w:val="22"/>
          <w:szCs w:val="22"/>
        </w:rPr>
      </w:pPr>
      <w:r w:rsidRPr="00B97A01">
        <w:rPr>
          <w:sz w:val="22"/>
          <w:szCs w:val="22"/>
        </w:rPr>
        <w:t>Range State with three populations – 33,000 EUR/year</w:t>
      </w:r>
    </w:p>
    <w:p w:rsidR="00B97A01" w:rsidRPr="00B97A01" w:rsidRDefault="00B97A01" w:rsidP="003A42DE">
      <w:pPr>
        <w:spacing w:line="288" w:lineRule="auto"/>
        <w:jc w:val="both"/>
        <w:rPr>
          <w:sz w:val="22"/>
          <w:szCs w:val="22"/>
        </w:rPr>
      </w:pPr>
      <w:r w:rsidRPr="00B97A01">
        <w:rPr>
          <w:sz w:val="22"/>
          <w:szCs w:val="22"/>
        </w:rPr>
        <w:t>Range State with four populations – 44,000 EUR/year</w:t>
      </w:r>
    </w:p>
    <w:p w:rsidR="00B97A01" w:rsidRPr="00B97A01" w:rsidRDefault="00B97A01" w:rsidP="003A42DE">
      <w:pPr>
        <w:spacing w:line="288" w:lineRule="auto"/>
        <w:jc w:val="both"/>
        <w:rPr>
          <w:sz w:val="22"/>
          <w:szCs w:val="22"/>
        </w:rPr>
      </w:pPr>
    </w:p>
    <w:p w:rsidR="00B97A01" w:rsidRPr="00B97A01" w:rsidRDefault="00B97A01" w:rsidP="003A42DE">
      <w:pPr>
        <w:spacing w:line="288" w:lineRule="auto"/>
        <w:jc w:val="both"/>
        <w:rPr>
          <w:sz w:val="22"/>
          <w:szCs w:val="22"/>
        </w:rPr>
      </w:pPr>
      <w:r w:rsidRPr="00B97A01">
        <w:rPr>
          <w:sz w:val="22"/>
          <w:szCs w:val="22"/>
        </w:rPr>
        <w:br w:type="page"/>
      </w:r>
    </w:p>
    <w:p w:rsidR="00B97A01" w:rsidRPr="00B97A01" w:rsidRDefault="00B97A01" w:rsidP="003A42DE">
      <w:pPr>
        <w:spacing w:line="288" w:lineRule="auto"/>
        <w:jc w:val="both"/>
        <w:rPr>
          <w:i/>
          <w:sz w:val="22"/>
          <w:szCs w:val="22"/>
        </w:rPr>
      </w:pPr>
      <w:r w:rsidRPr="00B97A01">
        <w:rPr>
          <w:i/>
          <w:sz w:val="22"/>
          <w:szCs w:val="22"/>
        </w:rPr>
        <w:lastRenderedPageBreak/>
        <w:t xml:space="preserve">Table 1. Estimated budget for the international coordination and operation of the </w:t>
      </w:r>
      <w:proofErr w:type="spellStart"/>
      <w:r w:rsidRPr="00B97A01">
        <w:rPr>
          <w:i/>
          <w:sz w:val="22"/>
          <w:szCs w:val="22"/>
        </w:rPr>
        <w:t>EuroGMP</w:t>
      </w:r>
      <w:proofErr w:type="spellEnd"/>
      <w:r w:rsidRPr="00B97A01">
        <w:rPr>
          <w:i/>
          <w:sz w:val="22"/>
          <w:szCs w:val="22"/>
        </w:rPr>
        <w:t>.</w:t>
      </w:r>
    </w:p>
    <w:p w:rsidR="00B97A01" w:rsidRPr="00B97A01" w:rsidRDefault="00B97A01" w:rsidP="00AF7766">
      <w:pPr>
        <w:spacing w:line="288" w:lineRule="auto"/>
        <w:jc w:val="both"/>
        <w:rPr>
          <w:sz w:val="22"/>
          <w:szCs w:val="22"/>
        </w:rPr>
      </w:pPr>
    </w:p>
    <w:p w:rsidR="00B97A01" w:rsidRPr="00B97A01" w:rsidRDefault="00B97A01" w:rsidP="00AF7766">
      <w:pPr>
        <w:spacing w:line="288" w:lineRule="auto"/>
        <w:jc w:val="both"/>
        <w:rPr>
          <w:sz w:val="22"/>
          <w:szCs w:val="22"/>
        </w:rPr>
      </w:pPr>
      <w:r w:rsidRPr="00B97A01">
        <w:rPr>
          <w:sz w:val="22"/>
          <w:szCs w:val="22"/>
        </w:rPr>
        <w:t>Legend:</w:t>
      </w:r>
    </w:p>
    <w:p w:rsidR="00B97A01" w:rsidRPr="00B97A01" w:rsidRDefault="00B97A01" w:rsidP="009D3496">
      <w:pPr>
        <w:spacing w:line="288" w:lineRule="auto"/>
        <w:jc w:val="both"/>
        <w:rPr>
          <w:sz w:val="22"/>
          <w:szCs w:val="22"/>
        </w:rPr>
      </w:pPr>
      <w:r w:rsidRPr="00B97A01">
        <w:rPr>
          <w:sz w:val="22"/>
          <w:szCs w:val="22"/>
        </w:rPr>
        <w:t>[xxx] – amounts in square brackets have been already provided or pledged</w:t>
      </w:r>
    </w:p>
    <w:p w:rsidR="00B97A01" w:rsidRPr="00B97A01" w:rsidRDefault="00B97A01" w:rsidP="009D3496">
      <w:pPr>
        <w:spacing w:line="288" w:lineRule="auto"/>
        <w:jc w:val="both"/>
        <w:rPr>
          <w:sz w:val="22"/>
          <w:szCs w:val="22"/>
        </w:rPr>
      </w:pPr>
      <w:r w:rsidRPr="00B97A01">
        <w:rPr>
          <w:sz w:val="22"/>
          <w:szCs w:val="22"/>
        </w:rPr>
        <w:t>* – funding to be provided to the UNEP/AEWA Secretariat; includes 13% UNEP Programme Support Costs</w:t>
      </w:r>
    </w:p>
    <w:p w:rsidR="00B97A01" w:rsidRPr="00B97A01" w:rsidRDefault="00B97A01" w:rsidP="009D3496">
      <w:pPr>
        <w:spacing w:line="288" w:lineRule="auto"/>
        <w:jc w:val="both"/>
        <w:rPr>
          <w:sz w:val="22"/>
          <w:szCs w:val="22"/>
        </w:rPr>
      </w:pPr>
      <w:r w:rsidRPr="00B97A01">
        <w:rPr>
          <w:sz w:val="22"/>
          <w:szCs w:val="22"/>
        </w:rPr>
        <w:t xml:space="preserve">** – funding to be provided directly to Aarhus University </w:t>
      </w:r>
    </w:p>
    <w:p w:rsidR="00B97A01" w:rsidRPr="00B97A01" w:rsidRDefault="00B97A01" w:rsidP="009D3496">
      <w:pPr>
        <w:spacing w:line="288" w:lineRule="auto"/>
        <w:jc w:val="both"/>
        <w:rPr>
          <w:sz w:val="22"/>
          <w:szCs w:val="22"/>
        </w:rPr>
      </w:pPr>
      <w:r w:rsidRPr="00B97A01">
        <w:rPr>
          <w:sz w:val="22"/>
          <w:szCs w:val="22"/>
        </w:rPr>
        <w:t xml:space="preserve">*** – excluding costs for Barnacle and Greylag Geese management plans development# – only eligible range states and invited experts to receive travel support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754"/>
      </w:tblGrid>
      <w:tr w:rsidR="00B97A01" w:rsidRPr="00B97A01" w:rsidTr="00CA29B9">
        <w:tc>
          <w:tcPr>
            <w:tcW w:w="705" w:type="dxa"/>
            <w:shd w:val="clear" w:color="auto" w:fill="92D050"/>
          </w:tcPr>
          <w:p w:rsidR="00B97A01" w:rsidRPr="00B97A01" w:rsidRDefault="00B97A01" w:rsidP="00CA29B9">
            <w:pPr>
              <w:spacing w:line="288" w:lineRule="auto"/>
              <w:jc w:val="both"/>
              <w:rPr>
                <w:sz w:val="22"/>
                <w:szCs w:val="22"/>
              </w:rPr>
            </w:pPr>
            <w:r w:rsidRPr="00B97A01">
              <w:rPr>
                <w:sz w:val="22"/>
                <w:szCs w:val="22"/>
              </w:rPr>
              <w:t>Green</w:t>
            </w:r>
          </w:p>
        </w:tc>
      </w:tr>
    </w:tbl>
    <w:p w:rsidR="00B97A01" w:rsidRPr="00B97A01" w:rsidRDefault="00B97A01" w:rsidP="009D3496">
      <w:pPr>
        <w:spacing w:line="288" w:lineRule="auto"/>
        <w:jc w:val="both"/>
        <w:rPr>
          <w:sz w:val="22"/>
          <w:szCs w:val="22"/>
        </w:rPr>
      </w:pPr>
      <w:r w:rsidRPr="00B97A01">
        <w:rPr>
          <w:sz w:val="22"/>
          <w:szCs w:val="22"/>
        </w:rPr>
        <w:t>– shaded in green are one-off costs, which will not occur annually</w:t>
      </w:r>
    </w:p>
    <w:p w:rsidR="00B97A01" w:rsidRPr="00B97A01" w:rsidRDefault="00B97A01" w:rsidP="00AF7766">
      <w:pPr>
        <w:spacing w:line="288" w:lineRule="auto"/>
        <w:jc w:val="both"/>
        <w:rPr>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2070"/>
      </w:tblGrid>
      <w:tr w:rsidR="00B97A01" w:rsidRPr="00B97A01" w:rsidTr="00B72E8E">
        <w:trPr>
          <w:trHeight w:val="255"/>
          <w:tblHeader/>
        </w:trPr>
        <w:tc>
          <w:tcPr>
            <w:tcW w:w="6930" w:type="dxa"/>
            <w:shd w:val="clear" w:color="auto" w:fill="FFC000"/>
            <w:noWrap/>
            <w:hideMark/>
          </w:tcPr>
          <w:p w:rsidR="00B97A01" w:rsidRPr="00B97A01" w:rsidRDefault="00B97A01" w:rsidP="003D2730">
            <w:pPr>
              <w:spacing w:line="288" w:lineRule="auto"/>
              <w:jc w:val="both"/>
              <w:rPr>
                <w:b/>
                <w:bCs/>
                <w:sz w:val="22"/>
                <w:szCs w:val="22"/>
              </w:rPr>
            </w:pPr>
            <w:r w:rsidRPr="00B97A01">
              <w:rPr>
                <w:b/>
                <w:bCs/>
                <w:sz w:val="22"/>
                <w:szCs w:val="22"/>
              </w:rPr>
              <w:t>Items/services</w:t>
            </w:r>
          </w:p>
        </w:tc>
        <w:tc>
          <w:tcPr>
            <w:tcW w:w="2070" w:type="dxa"/>
            <w:shd w:val="clear" w:color="auto" w:fill="FFC000"/>
            <w:noWrap/>
            <w:hideMark/>
          </w:tcPr>
          <w:p w:rsidR="00B97A01" w:rsidRPr="00B97A01" w:rsidRDefault="00B97A01" w:rsidP="003D2730">
            <w:pPr>
              <w:spacing w:line="288" w:lineRule="auto"/>
              <w:jc w:val="both"/>
              <w:rPr>
                <w:b/>
                <w:bCs/>
                <w:sz w:val="22"/>
                <w:szCs w:val="22"/>
              </w:rPr>
            </w:pPr>
            <w:r w:rsidRPr="00B97A01">
              <w:rPr>
                <w:b/>
                <w:bCs/>
                <w:sz w:val="22"/>
                <w:szCs w:val="22"/>
              </w:rPr>
              <w:t>Cost (EUR)</w:t>
            </w:r>
          </w:p>
        </w:tc>
      </w:tr>
      <w:tr w:rsidR="00B97A01" w:rsidRPr="00B97A01" w:rsidTr="00B72E8E">
        <w:trPr>
          <w:trHeight w:val="193"/>
        </w:trPr>
        <w:tc>
          <w:tcPr>
            <w:tcW w:w="6930" w:type="dxa"/>
            <w:shd w:val="clear" w:color="auto" w:fill="auto"/>
          </w:tcPr>
          <w:p w:rsidR="00B97A01" w:rsidRPr="00B97A01" w:rsidRDefault="00B97A01" w:rsidP="003D2730">
            <w:pPr>
              <w:spacing w:line="288" w:lineRule="auto"/>
              <w:jc w:val="both"/>
              <w:rPr>
                <w:b/>
                <w:sz w:val="22"/>
                <w:szCs w:val="22"/>
              </w:rPr>
            </w:pPr>
            <w:r w:rsidRPr="00B97A01">
              <w:rPr>
                <w:b/>
                <w:sz w:val="22"/>
                <w:szCs w:val="22"/>
              </w:rPr>
              <w:t>2016</w:t>
            </w:r>
          </w:p>
        </w:tc>
        <w:tc>
          <w:tcPr>
            <w:tcW w:w="2070" w:type="dxa"/>
            <w:shd w:val="clear" w:color="auto" w:fill="auto"/>
          </w:tcPr>
          <w:p w:rsidR="00B97A01" w:rsidRPr="00B97A01" w:rsidRDefault="00B97A01" w:rsidP="003D2730">
            <w:pPr>
              <w:spacing w:line="288" w:lineRule="auto"/>
              <w:jc w:val="right"/>
              <w:rPr>
                <w:sz w:val="22"/>
                <w:szCs w:val="22"/>
              </w:rPr>
            </w:pPr>
          </w:p>
        </w:tc>
      </w:tr>
      <w:tr w:rsidR="00B97A01" w:rsidRPr="00B97A01" w:rsidTr="00B72E8E">
        <w:trPr>
          <w:trHeight w:val="255"/>
        </w:trPr>
        <w:tc>
          <w:tcPr>
            <w:tcW w:w="6930" w:type="dxa"/>
            <w:shd w:val="clear" w:color="auto" w:fill="auto"/>
          </w:tcPr>
          <w:p w:rsidR="00B97A01" w:rsidRPr="00B97A01" w:rsidRDefault="00B97A01" w:rsidP="006D1A88">
            <w:pPr>
              <w:spacing w:line="288" w:lineRule="auto"/>
              <w:jc w:val="both"/>
              <w:rPr>
                <w:sz w:val="22"/>
                <w:szCs w:val="22"/>
              </w:rPr>
            </w:pPr>
            <w:proofErr w:type="spellStart"/>
            <w:r w:rsidRPr="00B97A01">
              <w:rPr>
                <w:sz w:val="22"/>
                <w:szCs w:val="22"/>
              </w:rPr>
              <w:t>EuroGMP</w:t>
            </w:r>
            <w:proofErr w:type="spellEnd"/>
            <w:r w:rsidRPr="00B97A01">
              <w:rPr>
                <w:sz w:val="22"/>
                <w:szCs w:val="22"/>
              </w:rPr>
              <w:t xml:space="preserve"> coordinator (UNEP/AEWA Secretariat)*</w:t>
            </w:r>
          </w:p>
        </w:tc>
        <w:tc>
          <w:tcPr>
            <w:tcW w:w="2070" w:type="dxa"/>
            <w:shd w:val="clear" w:color="auto" w:fill="auto"/>
          </w:tcPr>
          <w:p w:rsidR="00B97A01" w:rsidRPr="00B97A01" w:rsidRDefault="00B97A01" w:rsidP="003D2730">
            <w:pPr>
              <w:spacing w:line="288" w:lineRule="auto"/>
              <w:jc w:val="right"/>
              <w:rPr>
                <w:sz w:val="22"/>
                <w:szCs w:val="22"/>
              </w:rPr>
            </w:pPr>
            <w:r w:rsidRPr="00B97A01">
              <w:rPr>
                <w:sz w:val="22"/>
                <w:szCs w:val="22"/>
              </w:rPr>
              <w:t>[142,000]</w:t>
            </w:r>
          </w:p>
        </w:tc>
      </w:tr>
      <w:tr w:rsidR="00B97A01" w:rsidRPr="00B97A01" w:rsidTr="00B72E8E">
        <w:trPr>
          <w:trHeight w:val="255"/>
        </w:trPr>
        <w:tc>
          <w:tcPr>
            <w:tcW w:w="6930" w:type="dxa"/>
            <w:tcBorders>
              <w:bottom w:val="single" w:sz="4" w:space="0" w:color="auto"/>
            </w:tcBorders>
            <w:shd w:val="clear" w:color="auto" w:fill="auto"/>
          </w:tcPr>
          <w:p w:rsidR="00B97A01" w:rsidRPr="00B97A01" w:rsidRDefault="00B97A01" w:rsidP="003D2730">
            <w:pPr>
              <w:spacing w:line="288" w:lineRule="auto"/>
              <w:rPr>
                <w:bCs/>
                <w:iCs/>
                <w:sz w:val="22"/>
                <w:szCs w:val="22"/>
              </w:rPr>
            </w:pPr>
            <w:r w:rsidRPr="00B97A01">
              <w:rPr>
                <w:bCs/>
                <w:iCs/>
                <w:sz w:val="22"/>
                <w:szCs w:val="22"/>
              </w:rPr>
              <w:t>Administrative assistant (UNEP/AEWA Secretariat)*</w:t>
            </w:r>
          </w:p>
        </w:tc>
        <w:tc>
          <w:tcPr>
            <w:tcW w:w="2070" w:type="dxa"/>
            <w:tcBorders>
              <w:bottom w:val="single" w:sz="4" w:space="0" w:color="auto"/>
            </w:tcBorders>
            <w:shd w:val="clear" w:color="auto" w:fill="auto"/>
          </w:tcPr>
          <w:p w:rsidR="00B97A01" w:rsidRPr="00B97A01" w:rsidRDefault="00B97A01" w:rsidP="00EB733D">
            <w:pPr>
              <w:spacing w:line="288" w:lineRule="auto"/>
              <w:jc w:val="right"/>
              <w:rPr>
                <w:bCs/>
                <w:iCs/>
                <w:sz w:val="22"/>
                <w:szCs w:val="22"/>
              </w:rPr>
            </w:pPr>
            <w:r w:rsidRPr="00B97A01">
              <w:rPr>
                <w:bCs/>
                <w:iCs/>
                <w:sz w:val="22"/>
                <w:szCs w:val="22"/>
              </w:rPr>
              <w:t>[80,000]</w:t>
            </w:r>
          </w:p>
        </w:tc>
      </w:tr>
      <w:tr w:rsidR="00B97A01" w:rsidRPr="00B97A01" w:rsidTr="00B72E8E">
        <w:trPr>
          <w:trHeight w:val="255"/>
        </w:trPr>
        <w:tc>
          <w:tcPr>
            <w:tcW w:w="6930" w:type="dxa"/>
            <w:tcBorders>
              <w:bottom w:val="single" w:sz="4" w:space="0" w:color="auto"/>
            </w:tcBorders>
            <w:shd w:val="clear" w:color="auto" w:fill="92D050"/>
          </w:tcPr>
          <w:p w:rsidR="00B97A01" w:rsidRPr="00B97A01" w:rsidRDefault="00B97A01" w:rsidP="003D2730">
            <w:pPr>
              <w:spacing w:line="288" w:lineRule="auto"/>
              <w:rPr>
                <w:bCs/>
                <w:iCs/>
                <w:sz w:val="22"/>
                <w:szCs w:val="22"/>
              </w:rPr>
            </w:pPr>
            <w:r w:rsidRPr="00B97A01">
              <w:rPr>
                <w:bCs/>
                <w:iCs/>
                <w:sz w:val="22"/>
                <w:szCs w:val="22"/>
              </w:rPr>
              <w:t>Taiga Bean Goose adaptive harvest management plan development**</w:t>
            </w:r>
          </w:p>
        </w:tc>
        <w:tc>
          <w:tcPr>
            <w:tcW w:w="2070" w:type="dxa"/>
            <w:tcBorders>
              <w:bottom w:val="single" w:sz="4" w:space="0" w:color="auto"/>
            </w:tcBorders>
            <w:shd w:val="clear" w:color="auto" w:fill="92D050"/>
          </w:tcPr>
          <w:p w:rsidR="00B97A01" w:rsidRPr="00B97A01" w:rsidRDefault="00B97A01" w:rsidP="007A35F5">
            <w:pPr>
              <w:spacing w:line="288" w:lineRule="auto"/>
              <w:jc w:val="right"/>
              <w:rPr>
                <w:bCs/>
                <w:iCs/>
                <w:sz w:val="22"/>
                <w:szCs w:val="22"/>
              </w:rPr>
            </w:pPr>
            <w:r w:rsidRPr="00B97A01">
              <w:rPr>
                <w:bCs/>
                <w:iCs/>
                <w:sz w:val="22"/>
                <w:szCs w:val="22"/>
              </w:rPr>
              <w:t>[10,000]</w:t>
            </w:r>
          </w:p>
        </w:tc>
      </w:tr>
      <w:tr w:rsidR="00B97A01" w:rsidRPr="00B97A01" w:rsidTr="00B72E8E">
        <w:trPr>
          <w:trHeight w:val="268"/>
        </w:trPr>
        <w:tc>
          <w:tcPr>
            <w:tcW w:w="6930" w:type="dxa"/>
            <w:tcBorders>
              <w:bottom w:val="single" w:sz="4" w:space="0" w:color="auto"/>
            </w:tcBorders>
            <w:shd w:val="clear" w:color="auto" w:fill="92D050"/>
          </w:tcPr>
          <w:p w:rsidR="00B97A01" w:rsidRPr="00B97A01" w:rsidRDefault="00B97A01" w:rsidP="006D1A88">
            <w:pPr>
              <w:spacing w:line="288" w:lineRule="auto"/>
              <w:jc w:val="both"/>
              <w:rPr>
                <w:sz w:val="22"/>
                <w:szCs w:val="22"/>
              </w:rPr>
            </w:pPr>
            <w:proofErr w:type="spellStart"/>
            <w:r w:rsidRPr="00B97A01">
              <w:rPr>
                <w:sz w:val="22"/>
                <w:szCs w:val="22"/>
              </w:rPr>
              <w:t>EuroGMP</w:t>
            </w:r>
            <w:proofErr w:type="spellEnd"/>
            <w:r w:rsidRPr="00B97A01">
              <w:rPr>
                <w:sz w:val="22"/>
                <w:szCs w:val="22"/>
              </w:rPr>
              <w:t xml:space="preserve"> Range States negotiation meeting*#</w:t>
            </w:r>
          </w:p>
        </w:tc>
        <w:tc>
          <w:tcPr>
            <w:tcW w:w="2070" w:type="dxa"/>
            <w:tcBorders>
              <w:bottom w:val="single" w:sz="4" w:space="0" w:color="auto"/>
            </w:tcBorders>
            <w:shd w:val="clear" w:color="auto" w:fill="92D050"/>
          </w:tcPr>
          <w:p w:rsidR="00B97A01" w:rsidRPr="00B97A01" w:rsidRDefault="00B97A01" w:rsidP="003D2730">
            <w:pPr>
              <w:spacing w:line="288" w:lineRule="auto"/>
              <w:jc w:val="right"/>
              <w:rPr>
                <w:sz w:val="22"/>
                <w:szCs w:val="22"/>
              </w:rPr>
            </w:pPr>
            <w:r w:rsidRPr="00B97A01">
              <w:rPr>
                <w:sz w:val="22"/>
                <w:szCs w:val="22"/>
              </w:rPr>
              <w:t>[25,000]</w:t>
            </w:r>
          </w:p>
        </w:tc>
      </w:tr>
      <w:tr w:rsidR="00B97A01" w:rsidRPr="00B97A01" w:rsidTr="00B72E8E">
        <w:trPr>
          <w:trHeight w:val="268"/>
        </w:trPr>
        <w:tc>
          <w:tcPr>
            <w:tcW w:w="6930" w:type="dxa"/>
            <w:tcBorders>
              <w:bottom w:val="single" w:sz="4" w:space="0" w:color="auto"/>
            </w:tcBorders>
            <w:shd w:val="clear" w:color="auto" w:fill="92D050"/>
          </w:tcPr>
          <w:p w:rsidR="00B97A01" w:rsidRPr="00B97A01" w:rsidRDefault="00B97A01" w:rsidP="006D1A88">
            <w:pPr>
              <w:spacing w:line="288" w:lineRule="auto"/>
              <w:jc w:val="both"/>
              <w:rPr>
                <w:sz w:val="22"/>
                <w:szCs w:val="22"/>
              </w:rPr>
            </w:pPr>
            <w:r w:rsidRPr="00B97A01">
              <w:rPr>
                <w:sz w:val="22"/>
                <w:szCs w:val="22"/>
              </w:rPr>
              <w:t>Barnacle Goose Species Management Plan development*#</w:t>
            </w:r>
          </w:p>
        </w:tc>
        <w:tc>
          <w:tcPr>
            <w:tcW w:w="2070" w:type="dxa"/>
            <w:tcBorders>
              <w:bottom w:val="single" w:sz="4" w:space="0" w:color="auto"/>
            </w:tcBorders>
            <w:shd w:val="clear" w:color="auto" w:fill="92D050"/>
          </w:tcPr>
          <w:p w:rsidR="00B97A01" w:rsidRPr="00B97A01" w:rsidRDefault="00B97A01" w:rsidP="002E406F">
            <w:pPr>
              <w:spacing w:line="288" w:lineRule="auto"/>
              <w:jc w:val="right"/>
              <w:rPr>
                <w:sz w:val="22"/>
                <w:szCs w:val="22"/>
              </w:rPr>
            </w:pPr>
            <w:r w:rsidRPr="00B97A01">
              <w:rPr>
                <w:sz w:val="22"/>
                <w:szCs w:val="22"/>
              </w:rPr>
              <w:t>N/A</w:t>
            </w:r>
          </w:p>
        </w:tc>
      </w:tr>
      <w:tr w:rsidR="00B97A01" w:rsidRPr="00B97A01" w:rsidTr="00B72E8E">
        <w:trPr>
          <w:trHeight w:val="268"/>
        </w:trPr>
        <w:tc>
          <w:tcPr>
            <w:tcW w:w="6930" w:type="dxa"/>
            <w:shd w:val="clear" w:color="auto" w:fill="92D050"/>
          </w:tcPr>
          <w:p w:rsidR="00B97A01" w:rsidRPr="00B97A01" w:rsidRDefault="00B97A01" w:rsidP="003D2730">
            <w:pPr>
              <w:spacing w:line="288" w:lineRule="auto"/>
              <w:jc w:val="both"/>
              <w:rPr>
                <w:sz w:val="22"/>
                <w:szCs w:val="22"/>
              </w:rPr>
            </w:pPr>
            <w:r w:rsidRPr="00B97A01">
              <w:rPr>
                <w:sz w:val="22"/>
                <w:szCs w:val="22"/>
              </w:rPr>
              <w:t>Greylag Goose Species Management Plan development*#</w:t>
            </w:r>
          </w:p>
        </w:tc>
        <w:tc>
          <w:tcPr>
            <w:tcW w:w="2070" w:type="dxa"/>
            <w:shd w:val="clear" w:color="auto" w:fill="92D050"/>
          </w:tcPr>
          <w:p w:rsidR="00B97A01" w:rsidRPr="00B97A01" w:rsidRDefault="00B97A01" w:rsidP="003D2730">
            <w:pPr>
              <w:spacing w:line="288" w:lineRule="auto"/>
              <w:jc w:val="right"/>
              <w:rPr>
                <w:sz w:val="22"/>
                <w:szCs w:val="22"/>
              </w:rPr>
            </w:pPr>
            <w:r w:rsidRPr="00B97A01">
              <w:rPr>
                <w:sz w:val="22"/>
                <w:szCs w:val="22"/>
              </w:rPr>
              <w:t>N/A</w:t>
            </w:r>
          </w:p>
        </w:tc>
      </w:tr>
      <w:tr w:rsidR="00B97A01" w:rsidRPr="00B97A01" w:rsidTr="00B72E8E">
        <w:trPr>
          <w:trHeight w:val="255"/>
        </w:trPr>
        <w:tc>
          <w:tcPr>
            <w:tcW w:w="6930" w:type="dxa"/>
            <w:shd w:val="clear" w:color="auto" w:fill="auto"/>
          </w:tcPr>
          <w:p w:rsidR="00B97A01" w:rsidRPr="00B97A01" w:rsidRDefault="00B97A01" w:rsidP="00B72E8E">
            <w:pPr>
              <w:spacing w:line="288" w:lineRule="auto"/>
              <w:rPr>
                <w:sz w:val="22"/>
                <w:szCs w:val="22"/>
              </w:rPr>
            </w:pPr>
            <w:r w:rsidRPr="00B97A01">
              <w:rPr>
                <w:sz w:val="22"/>
                <w:szCs w:val="22"/>
              </w:rPr>
              <w:t xml:space="preserve">Operational budget </w:t>
            </w:r>
            <w:proofErr w:type="spellStart"/>
            <w:r w:rsidRPr="00B97A01">
              <w:rPr>
                <w:sz w:val="22"/>
                <w:szCs w:val="22"/>
              </w:rPr>
              <w:t>EuroGMP</w:t>
            </w:r>
            <w:proofErr w:type="spellEnd"/>
            <w:r w:rsidRPr="00B97A01">
              <w:rPr>
                <w:sz w:val="22"/>
                <w:szCs w:val="22"/>
              </w:rPr>
              <w:t xml:space="preserve"> coordination (UNEP/AEWA Secretariat)*</w:t>
            </w:r>
          </w:p>
        </w:tc>
        <w:tc>
          <w:tcPr>
            <w:tcW w:w="2070" w:type="dxa"/>
            <w:shd w:val="clear" w:color="auto" w:fill="auto"/>
          </w:tcPr>
          <w:p w:rsidR="00B97A01" w:rsidRPr="00B97A01" w:rsidRDefault="00B97A01" w:rsidP="007A35F5">
            <w:pPr>
              <w:spacing w:line="288" w:lineRule="auto"/>
              <w:jc w:val="right"/>
              <w:rPr>
                <w:sz w:val="22"/>
                <w:szCs w:val="22"/>
              </w:rPr>
            </w:pPr>
            <w:r w:rsidRPr="00B97A01">
              <w:rPr>
                <w:sz w:val="22"/>
                <w:szCs w:val="22"/>
              </w:rPr>
              <w:t>35,000</w:t>
            </w:r>
          </w:p>
        </w:tc>
      </w:tr>
      <w:tr w:rsidR="00B97A01" w:rsidRPr="00B97A01" w:rsidTr="00B72E8E">
        <w:trPr>
          <w:trHeight w:val="255"/>
        </w:trPr>
        <w:tc>
          <w:tcPr>
            <w:tcW w:w="6930" w:type="dxa"/>
            <w:shd w:val="clear" w:color="auto" w:fill="auto"/>
          </w:tcPr>
          <w:p w:rsidR="00B97A01" w:rsidRPr="00B97A01" w:rsidRDefault="00B97A01" w:rsidP="00EB733D">
            <w:pPr>
              <w:spacing w:line="288" w:lineRule="auto"/>
              <w:jc w:val="both"/>
              <w:rPr>
                <w:sz w:val="22"/>
                <w:szCs w:val="22"/>
              </w:rPr>
            </w:pPr>
            <w:r w:rsidRPr="00B97A01">
              <w:rPr>
                <w:sz w:val="22"/>
                <w:szCs w:val="22"/>
              </w:rPr>
              <w:t>Goose monitoring coordinator (International Data Centre)**</w:t>
            </w:r>
          </w:p>
        </w:tc>
        <w:tc>
          <w:tcPr>
            <w:tcW w:w="2070" w:type="dxa"/>
            <w:shd w:val="clear" w:color="auto" w:fill="auto"/>
          </w:tcPr>
          <w:p w:rsidR="00B97A01" w:rsidRPr="00B97A01" w:rsidRDefault="00B97A01" w:rsidP="007A35F5">
            <w:pPr>
              <w:spacing w:line="288" w:lineRule="auto"/>
              <w:jc w:val="right"/>
              <w:rPr>
                <w:sz w:val="22"/>
                <w:szCs w:val="22"/>
              </w:rPr>
            </w:pPr>
            <w:r w:rsidRPr="00B97A01">
              <w:rPr>
                <w:sz w:val="22"/>
                <w:szCs w:val="22"/>
              </w:rPr>
              <w:t>96,000</w:t>
            </w: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sz w:val="22"/>
                <w:szCs w:val="22"/>
              </w:rPr>
            </w:pPr>
            <w:r w:rsidRPr="00B97A01">
              <w:rPr>
                <w:sz w:val="22"/>
                <w:szCs w:val="22"/>
              </w:rPr>
              <w:t>Operational budget International Data Centre**</w:t>
            </w:r>
          </w:p>
        </w:tc>
        <w:tc>
          <w:tcPr>
            <w:tcW w:w="2070" w:type="dxa"/>
            <w:shd w:val="clear" w:color="auto" w:fill="auto"/>
          </w:tcPr>
          <w:p w:rsidR="00B97A01" w:rsidRPr="00B97A01" w:rsidRDefault="00B97A01" w:rsidP="00DE3031">
            <w:pPr>
              <w:spacing w:line="288" w:lineRule="auto"/>
              <w:jc w:val="right"/>
              <w:rPr>
                <w:bCs/>
                <w:sz w:val="22"/>
                <w:szCs w:val="22"/>
              </w:rPr>
            </w:pPr>
            <w:r w:rsidRPr="00B97A01">
              <w:rPr>
                <w:bCs/>
                <w:sz w:val="22"/>
                <w:szCs w:val="22"/>
              </w:rPr>
              <w:t>20,000</w:t>
            </w: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Cs/>
                <w:sz w:val="22"/>
                <w:szCs w:val="22"/>
              </w:rPr>
            </w:pPr>
            <w:r w:rsidRPr="00B97A01">
              <w:rPr>
                <w:bCs/>
                <w:sz w:val="22"/>
                <w:szCs w:val="22"/>
              </w:rPr>
              <w:t>1</w:t>
            </w:r>
            <w:r w:rsidRPr="00B97A01">
              <w:rPr>
                <w:bCs/>
                <w:sz w:val="22"/>
                <w:szCs w:val="22"/>
                <w:vertAlign w:val="superscript"/>
              </w:rPr>
              <w:t>st</w:t>
            </w:r>
            <w:r w:rsidRPr="00B97A01">
              <w:rPr>
                <w:bCs/>
                <w:sz w:val="22"/>
                <w:szCs w:val="22"/>
              </w:rPr>
              <w:t xml:space="preserve"> AEWA European Goose Management IWG meeting*#</w:t>
            </w:r>
          </w:p>
        </w:tc>
        <w:tc>
          <w:tcPr>
            <w:tcW w:w="2070" w:type="dxa"/>
            <w:shd w:val="clear" w:color="auto" w:fill="auto"/>
          </w:tcPr>
          <w:p w:rsidR="00B97A01" w:rsidRPr="00B97A01" w:rsidRDefault="00B97A01" w:rsidP="00DE3031">
            <w:pPr>
              <w:spacing w:line="288" w:lineRule="auto"/>
              <w:jc w:val="right"/>
              <w:rPr>
                <w:bCs/>
                <w:sz w:val="22"/>
                <w:szCs w:val="22"/>
              </w:rPr>
            </w:pPr>
            <w:r w:rsidRPr="00B97A01">
              <w:rPr>
                <w:bCs/>
                <w:sz w:val="22"/>
                <w:szCs w:val="22"/>
              </w:rPr>
              <w:t>25,000</w:t>
            </w: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
                <w:bCs/>
                <w:sz w:val="22"/>
                <w:szCs w:val="22"/>
              </w:rPr>
            </w:pPr>
            <w:r w:rsidRPr="00B97A01">
              <w:rPr>
                <w:b/>
                <w:bCs/>
                <w:sz w:val="22"/>
                <w:szCs w:val="22"/>
              </w:rPr>
              <w:t>Total</w:t>
            </w:r>
          </w:p>
        </w:tc>
        <w:tc>
          <w:tcPr>
            <w:tcW w:w="2070" w:type="dxa"/>
            <w:shd w:val="clear" w:color="auto" w:fill="auto"/>
          </w:tcPr>
          <w:p w:rsidR="00B97A01" w:rsidRPr="00B97A01" w:rsidRDefault="00B97A01" w:rsidP="00DE3031">
            <w:pPr>
              <w:spacing w:line="288" w:lineRule="auto"/>
              <w:jc w:val="right"/>
              <w:rPr>
                <w:b/>
                <w:bCs/>
                <w:sz w:val="22"/>
                <w:szCs w:val="22"/>
              </w:rPr>
            </w:pPr>
            <w:r w:rsidRPr="00B97A01">
              <w:rPr>
                <w:b/>
                <w:bCs/>
                <w:sz w:val="22"/>
                <w:szCs w:val="22"/>
              </w:rPr>
              <w:t xml:space="preserve">433,000 </w:t>
            </w:r>
            <w:r w:rsidRPr="00B97A01">
              <w:rPr>
                <w:bCs/>
                <w:sz w:val="22"/>
                <w:szCs w:val="22"/>
              </w:rPr>
              <w:t>(remaining balance to be provided</w:t>
            </w:r>
            <w:r w:rsidRPr="00B97A01">
              <w:rPr>
                <w:b/>
                <w:bCs/>
                <w:sz w:val="22"/>
                <w:szCs w:val="22"/>
              </w:rPr>
              <w:t xml:space="preserve"> 176,000</w:t>
            </w:r>
            <w:r w:rsidRPr="00B97A01">
              <w:rPr>
                <w:bCs/>
                <w:sz w:val="22"/>
                <w:szCs w:val="22"/>
              </w:rPr>
              <w:t>)</w:t>
            </w: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
                <w:bCs/>
                <w:sz w:val="22"/>
                <w:szCs w:val="22"/>
              </w:rPr>
            </w:pPr>
          </w:p>
        </w:tc>
        <w:tc>
          <w:tcPr>
            <w:tcW w:w="2070" w:type="dxa"/>
            <w:shd w:val="clear" w:color="auto" w:fill="auto"/>
          </w:tcPr>
          <w:p w:rsidR="00B97A01" w:rsidRPr="00B97A01" w:rsidRDefault="00B97A01" w:rsidP="00DE3031">
            <w:pPr>
              <w:spacing w:line="288" w:lineRule="auto"/>
              <w:jc w:val="right"/>
              <w:rPr>
                <w:b/>
                <w:bCs/>
                <w:sz w:val="22"/>
                <w:szCs w:val="22"/>
              </w:rPr>
            </w:pP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
                <w:bCs/>
                <w:sz w:val="22"/>
                <w:szCs w:val="22"/>
              </w:rPr>
            </w:pPr>
            <w:r w:rsidRPr="00B97A01">
              <w:rPr>
                <w:b/>
                <w:bCs/>
                <w:sz w:val="22"/>
                <w:szCs w:val="22"/>
              </w:rPr>
              <w:t>2017</w:t>
            </w:r>
          </w:p>
        </w:tc>
        <w:tc>
          <w:tcPr>
            <w:tcW w:w="2070" w:type="dxa"/>
            <w:shd w:val="clear" w:color="auto" w:fill="auto"/>
          </w:tcPr>
          <w:p w:rsidR="00B97A01" w:rsidRPr="00B97A01" w:rsidRDefault="00B97A01" w:rsidP="00DE3031">
            <w:pPr>
              <w:spacing w:line="288" w:lineRule="auto"/>
              <w:jc w:val="right"/>
              <w:rPr>
                <w:b/>
                <w:bCs/>
                <w:sz w:val="22"/>
                <w:szCs w:val="22"/>
              </w:rPr>
            </w:pPr>
          </w:p>
        </w:tc>
      </w:tr>
      <w:tr w:rsidR="00B97A01" w:rsidRPr="00B97A01" w:rsidTr="00B72E8E">
        <w:trPr>
          <w:trHeight w:val="290"/>
        </w:trPr>
        <w:tc>
          <w:tcPr>
            <w:tcW w:w="6930" w:type="dxa"/>
            <w:shd w:val="clear" w:color="auto" w:fill="auto"/>
          </w:tcPr>
          <w:p w:rsidR="00B97A01" w:rsidRPr="00B97A01" w:rsidRDefault="00B97A01" w:rsidP="00DE3031">
            <w:pPr>
              <w:rPr>
                <w:sz w:val="22"/>
                <w:szCs w:val="22"/>
              </w:rPr>
            </w:pPr>
            <w:proofErr w:type="spellStart"/>
            <w:r w:rsidRPr="00B97A01">
              <w:rPr>
                <w:sz w:val="22"/>
                <w:szCs w:val="22"/>
              </w:rPr>
              <w:t>EuroGMP</w:t>
            </w:r>
            <w:proofErr w:type="spellEnd"/>
            <w:r w:rsidRPr="00B97A01">
              <w:rPr>
                <w:sz w:val="22"/>
                <w:szCs w:val="22"/>
              </w:rPr>
              <w:t xml:space="preserve"> coordinator (UNEP/AEWA Secretariat)*</w:t>
            </w:r>
          </w:p>
        </w:tc>
        <w:tc>
          <w:tcPr>
            <w:tcW w:w="2070" w:type="dxa"/>
            <w:shd w:val="clear" w:color="auto" w:fill="auto"/>
          </w:tcPr>
          <w:p w:rsidR="00B97A01" w:rsidRPr="00B97A01" w:rsidRDefault="00B97A01" w:rsidP="00DE3031">
            <w:pPr>
              <w:spacing w:line="288" w:lineRule="auto"/>
              <w:jc w:val="right"/>
              <w:rPr>
                <w:sz w:val="22"/>
                <w:szCs w:val="22"/>
              </w:rPr>
            </w:pPr>
            <w:r w:rsidRPr="00B97A01">
              <w:rPr>
                <w:sz w:val="22"/>
                <w:szCs w:val="22"/>
              </w:rPr>
              <w:t>142,000</w:t>
            </w:r>
          </w:p>
        </w:tc>
      </w:tr>
      <w:tr w:rsidR="00B97A01" w:rsidRPr="00B97A01" w:rsidTr="00B72E8E">
        <w:trPr>
          <w:trHeight w:val="290"/>
        </w:trPr>
        <w:tc>
          <w:tcPr>
            <w:tcW w:w="6930" w:type="dxa"/>
            <w:shd w:val="clear" w:color="auto" w:fill="auto"/>
          </w:tcPr>
          <w:p w:rsidR="00B97A01" w:rsidRPr="00B97A01" w:rsidRDefault="00B97A01" w:rsidP="00DE3031">
            <w:pPr>
              <w:rPr>
                <w:sz w:val="22"/>
                <w:szCs w:val="22"/>
              </w:rPr>
            </w:pPr>
            <w:r w:rsidRPr="00B97A01">
              <w:rPr>
                <w:sz w:val="22"/>
                <w:szCs w:val="22"/>
              </w:rPr>
              <w:t>Administrative assistant UNEP(AEWA Secretariat)*</w:t>
            </w:r>
          </w:p>
        </w:tc>
        <w:tc>
          <w:tcPr>
            <w:tcW w:w="2070" w:type="dxa"/>
            <w:shd w:val="clear" w:color="auto" w:fill="auto"/>
          </w:tcPr>
          <w:p w:rsidR="00B97A01" w:rsidRPr="00B97A01" w:rsidRDefault="00B97A01" w:rsidP="00DE3031">
            <w:pPr>
              <w:spacing w:line="288" w:lineRule="auto"/>
              <w:jc w:val="right"/>
              <w:rPr>
                <w:bCs/>
                <w:iCs/>
                <w:sz w:val="22"/>
                <w:szCs w:val="22"/>
              </w:rPr>
            </w:pPr>
            <w:r w:rsidRPr="00B97A01">
              <w:rPr>
                <w:bCs/>
                <w:iCs/>
                <w:sz w:val="22"/>
                <w:szCs w:val="22"/>
              </w:rPr>
              <w:t>80,000</w:t>
            </w:r>
          </w:p>
        </w:tc>
      </w:tr>
      <w:tr w:rsidR="00B97A01" w:rsidRPr="00B97A01" w:rsidTr="00B72E8E">
        <w:trPr>
          <w:trHeight w:val="255"/>
        </w:trPr>
        <w:tc>
          <w:tcPr>
            <w:tcW w:w="6930" w:type="dxa"/>
            <w:shd w:val="clear" w:color="auto" w:fill="auto"/>
          </w:tcPr>
          <w:p w:rsidR="00B97A01" w:rsidRPr="00B97A01" w:rsidRDefault="00B97A01" w:rsidP="00B72E8E">
            <w:pPr>
              <w:spacing w:line="288" w:lineRule="auto"/>
              <w:rPr>
                <w:sz w:val="22"/>
                <w:szCs w:val="22"/>
              </w:rPr>
            </w:pPr>
            <w:r w:rsidRPr="00B97A01">
              <w:rPr>
                <w:sz w:val="22"/>
                <w:szCs w:val="22"/>
              </w:rPr>
              <w:t xml:space="preserve">Operational budget </w:t>
            </w:r>
            <w:proofErr w:type="spellStart"/>
            <w:r w:rsidRPr="00B97A01">
              <w:rPr>
                <w:sz w:val="22"/>
                <w:szCs w:val="22"/>
              </w:rPr>
              <w:t>EuroGMP</w:t>
            </w:r>
            <w:proofErr w:type="spellEnd"/>
            <w:r w:rsidRPr="00B97A01">
              <w:rPr>
                <w:sz w:val="22"/>
                <w:szCs w:val="22"/>
              </w:rPr>
              <w:t xml:space="preserve"> coordination (UNEP/AEWA Secretariat)*</w:t>
            </w:r>
          </w:p>
        </w:tc>
        <w:tc>
          <w:tcPr>
            <w:tcW w:w="2070" w:type="dxa"/>
            <w:shd w:val="clear" w:color="auto" w:fill="auto"/>
          </w:tcPr>
          <w:p w:rsidR="00B97A01" w:rsidRPr="00B97A01" w:rsidRDefault="00B97A01" w:rsidP="00C404EA">
            <w:pPr>
              <w:spacing w:line="288" w:lineRule="auto"/>
              <w:jc w:val="right"/>
              <w:rPr>
                <w:sz w:val="22"/>
                <w:szCs w:val="22"/>
              </w:rPr>
            </w:pPr>
            <w:r w:rsidRPr="00B97A01">
              <w:rPr>
                <w:sz w:val="22"/>
                <w:szCs w:val="22"/>
              </w:rPr>
              <w:t>35,000</w:t>
            </w: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sz w:val="22"/>
                <w:szCs w:val="22"/>
              </w:rPr>
            </w:pPr>
            <w:r w:rsidRPr="00B97A01">
              <w:rPr>
                <w:sz w:val="22"/>
                <w:szCs w:val="22"/>
              </w:rPr>
              <w:t>Goose monitoring coordinator (International Data Centre)**</w:t>
            </w:r>
          </w:p>
        </w:tc>
        <w:tc>
          <w:tcPr>
            <w:tcW w:w="2070" w:type="dxa"/>
            <w:shd w:val="clear" w:color="auto" w:fill="auto"/>
          </w:tcPr>
          <w:p w:rsidR="00B97A01" w:rsidRPr="00B97A01" w:rsidRDefault="00B97A01" w:rsidP="00DE3031">
            <w:pPr>
              <w:spacing w:line="288" w:lineRule="auto"/>
              <w:jc w:val="right"/>
              <w:rPr>
                <w:bCs/>
                <w:sz w:val="22"/>
                <w:szCs w:val="22"/>
              </w:rPr>
            </w:pPr>
            <w:r w:rsidRPr="00B97A01">
              <w:rPr>
                <w:bCs/>
                <w:sz w:val="22"/>
                <w:szCs w:val="22"/>
              </w:rPr>
              <w:t>96,000</w:t>
            </w:r>
          </w:p>
        </w:tc>
      </w:tr>
      <w:tr w:rsidR="00B97A01" w:rsidRPr="00B97A01" w:rsidTr="00B72E8E">
        <w:trPr>
          <w:trHeight w:val="290"/>
        </w:trPr>
        <w:tc>
          <w:tcPr>
            <w:tcW w:w="6930" w:type="dxa"/>
            <w:tcBorders>
              <w:top w:val="single" w:sz="4" w:space="0" w:color="auto"/>
              <w:left w:val="single" w:sz="4" w:space="0" w:color="auto"/>
              <w:bottom w:val="single" w:sz="4" w:space="0" w:color="auto"/>
              <w:right w:val="single" w:sz="4" w:space="0" w:color="auto"/>
            </w:tcBorders>
            <w:shd w:val="clear" w:color="auto" w:fill="auto"/>
          </w:tcPr>
          <w:p w:rsidR="00B97A01" w:rsidRPr="00B97A01" w:rsidRDefault="00B97A01" w:rsidP="00D521F1">
            <w:pPr>
              <w:spacing w:line="288" w:lineRule="auto"/>
              <w:jc w:val="both"/>
              <w:rPr>
                <w:sz w:val="22"/>
                <w:szCs w:val="22"/>
              </w:rPr>
            </w:pPr>
            <w:r w:rsidRPr="00B97A01">
              <w:rPr>
                <w:sz w:val="22"/>
                <w:szCs w:val="22"/>
              </w:rPr>
              <w:t>Population modelling expert (International Data Centre)**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7A01" w:rsidRPr="00B97A01" w:rsidRDefault="00B97A01" w:rsidP="00D521F1">
            <w:pPr>
              <w:spacing w:line="288" w:lineRule="auto"/>
              <w:jc w:val="right"/>
              <w:rPr>
                <w:bCs/>
                <w:sz w:val="22"/>
                <w:szCs w:val="22"/>
              </w:rPr>
            </w:pPr>
            <w:r w:rsidRPr="00B97A01">
              <w:rPr>
                <w:bCs/>
                <w:sz w:val="22"/>
                <w:szCs w:val="22"/>
              </w:rPr>
              <w:t>48,000</w:t>
            </w: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Cs/>
                <w:sz w:val="22"/>
                <w:szCs w:val="22"/>
              </w:rPr>
            </w:pPr>
            <w:r w:rsidRPr="00B97A01">
              <w:rPr>
                <w:sz w:val="22"/>
                <w:szCs w:val="22"/>
              </w:rPr>
              <w:t>Lead compiler (annual review) (International Data Centre)**</w:t>
            </w:r>
          </w:p>
        </w:tc>
        <w:tc>
          <w:tcPr>
            <w:tcW w:w="2070" w:type="dxa"/>
            <w:shd w:val="clear" w:color="auto" w:fill="auto"/>
          </w:tcPr>
          <w:p w:rsidR="00B97A01" w:rsidRPr="00B97A01" w:rsidRDefault="00B97A01" w:rsidP="00DE3031">
            <w:pPr>
              <w:spacing w:line="288" w:lineRule="auto"/>
              <w:jc w:val="right"/>
              <w:rPr>
                <w:bCs/>
                <w:sz w:val="22"/>
                <w:szCs w:val="22"/>
              </w:rPr>
            </w:pPr>
            <w:r w:rsidRPr="00B97A01">
              <w:rPr>
                <w:bCs/>
                <w:sz w:val="22"/>
                <w:szCs w:val="22"/>
              </w:rPr>
              <w:t>20,000</w:t>
            </w:r>
          </w:p>
        </w:tc>
      </w:tr>
      <w:tr w:rsidR="00B97A01" w:rsidRPr="00B97A01" w:rsidTr="00B72E8E">
        <w:trPr>
          <w:trHeight w:val="290"/>
        </w:trPr>
        <w:tc>
          <w:tcPr>
            <w:tcW w:w="6930" w:type="dxa"/>
            <w:tcBorders>
              <w:bottom w:val="single" w:sz="4" w:space="0" w:color="auto"/>
            </w:tcBorders>
            <w:shd w:val="clear" w:color="auto" w:fill="auto"/>
          </w:tcPr>
          <w:p w:rsidR="00B97A01" w:rsidRPr="00B97A01" w:rsidRDefault="00B97A01" w:rsidP="00C404EA">
            <w:pPr>
              <w:spacing w:line="288" w:lineRule="auto"/>
              <w:jc w:val="both"/>
              <w:rPr>
                <w:sz w:val="22"/>
                <w:szCs w:val="22"/>
              </w:rPr>
            </w:pPr>
            <w:r w:rsidRPr="00B97A01">
              <w:rPr>
                <w:sz w:val="22"/>
                <w:szCs w:val="22"/>
              </w:rPr>
              <w:t>Operational budget International Data Centre**</w:t>
            </w:r>
          </w:p>
        </w:tc>
        <w:tc>
          <w:tcPr>
            <w:tcW w:w="2070" w:type="dxa"/>
            <w:tcBorders>
              <w:bottom w:val="single" w:sz="4" w:space="0" w:color="auto"/>
            </w:tcBorders>
            <w:shd w:val="clear" w:color="auto" w:fill="auto"/>
          </w:tcPr>
          <w:p w:rsidR="00B97A01" w:rsidRPr="00B97A01" w:rsidRDefault="00B97A01" w:rsidP="00C404EA">
            <w:pPr>
              <w:spacing w:line="288" w:lineRule="auto"/>
              <w:jc w:val="right"/>
              <w:rPr>
                <w:bCs/>
                <w:sz w:val="22"/>
                <w:szCs w:val="22"/>
              </w:rPr>
            </w:pPr>
            <w:r w:rsidRPr="00B97A01">
              <w:rPr>
                <w:bCs/>
                <w:sz w:val="22"/>
                <w:szCs w:val="22"/>
              </w:rPr>
              <w:t>20,000</w:t>
            </w:r>
          </w:p>
        </w:tc>
      </w:tr>
      <w:tr w:rsidR="00B97A01" w:rsidRPr="00B97A01" w:rsidTr="00B72E8E">
        <w:trPr>
          <w:trHeight w:val="290"/>
        </w:trPr>
        <w:tc>
          <w:tcPr>
            <w:tcW w:w="6930" w:type="dxa"/>
            <w:shd w:val="clear" w:color="auto" w:fill="92D050"/>
          </w:tcPr>
          <w:p w:rsidR="00B97A01" w:rsidRPr="00B97A01" w:rsidRDefault="00B97A01" w:rsidP="00DE3031">
            <w:pPr>
              <w:spacing w:line="288" w:lineRule="auto"/>
              <w:jc w:val="both"/>
              <w:rPr>
                <w:bCs/>
                <w:sz w:val="22"/>
                <w:szCs w:val="22"/>
              </w:rPr>
            </w:pPr>
            <w:r w:rsidRPr="00B97A01">
              <w:rPr>
                <w:bCs/>
                <w:sz w:val="22"/>
                <w:szCs w:val="22"/>
              </w:rPr>
              <w:t xml:space="preserve">Barnacle Goose population model development** </w:t>
            </w:r>
          </w:p>
        </w:tc>
        <w:tc>
          <w:tcPr>
            <w:tcW w:w="2070" w:type="dxa"/>
            <w:shd w:val="clear" w:color="auto" w:fill="92D050"/>
          </w:tcPr>
          <w:p w:rsidR="00B97A01" w:rsidRPr="00B97A01" w:rsidRDefault="00B97A01" w:rsidP="00DE3031">
            <w:pPr>
              <w:spacing w:line="288" w:lineRule="auto"/>
              <w:jc w:val="right"/>
              <w:rPr>
                <w:bCs/>
                <w:sz w:val="22"/>
                <w:szCs w:val="22"/>
              </w:rPr>
            </w:pPr>
            <w:r w:rsidRPr="00B97A01">
              <w:rPr>
                <w:bCs/>
                <w:sz w:val="22"/>
                <w:szCs w:val="22"/>
              </w:rPr>
              <w:t>N/A</w:t>
            </w:r>
          </w:p>
        </w:tc>
      </w:tr>
      <w:tr w:rsidR="00B97A01" w:rsidRPr="00B97A01" w:rsidTr="00B72E8E">
        <w:trPr>
          <w:trHeight w:val="290"/>
        </w:trPr>
        <w:tc>
          <w:tcPr>
            <w:tcW w:w="6930" w:type="dxa"/>
            <w:shd w:val="clear" w:color="auto" w:fill="92D050"/>
          </w:tcPr>
          <w:p w:rsidR="00B97A01" w:rsidRPr="00B97A01" w:rsidRDefault="00B97A01" w:rsidP="00DD46F5">
            <w:pPr>
              <w:spacing w:line="288" w:lineRule="auto"/>
              <w:jc w:val="both"/>
              <w:rPr>
                <w:bCs/>
                <w:sz w:val="22"/>
                <w:szCs w:val="22"/>
              </w:rPr>
            </w:pPr>
            <w:r w:rsidRPr="00B97A01">
              <w:rPr>
                <w:bCs/>
                <w:sz w:val="22"/>
                <w:szCs w:val="22"/>
              </w:rPr>
              <w:t>Greylag Goose population model development**</w:t>
            </w:r>
          </w:p>
        </w:tc>
        <w:tc>
          <w:tcPr>
            <w:tcW w:w="2070" w:type="dxa"/>
            <w:shd w:val="clear" w:color="auto" w:fill="92D050"/>
          </w:tcPr>
          <w:p w:rsidR="00B97A01" w:rsidRPr="00B97A01" w:rsidRDefault="00B97A01" w:rsidP="00DE3031">
            <w:pPr>
              <w:spacing w:line="288" w:lineRule="auto"/>
              <w:jc w:val="right"/>
              <w:rPr>
                <w:bCs/>
                <w:sz w:val="22"/>
                <w:szCs w:val="22"/>
              </w:rPr>
            </w:pPr>
            <w:r w:rsidRPr="00B97A01">
              <w:rPr>
                <w:bCs/>
                <w:sz w:val="22"/>
                <w:szCs w:val="22"/>
              </w:rPr>
              <w:t>N/A</w:t>
            </w: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Cs/>
                <w:sz w:val="22"/>
                <w:szCs w:val="22"/>
              </w:rPr>
            </w:pPr>
            <w:r w:rsidRPr="00B97A01">
              <w:rPr>
                <w:bCs/>
                <w:sz w:val="22"/>
                <w:szCs w:val="22"/>
              </w:rPr>
              <w:t>2</w:t>
            </w:r>
            <w:r w:rsidRPr="00B97A01">
              <w:rPr>
                <w:bCs/>
                <w:sz w:val="22"/>
                <w:szCs w:val="22"/>
                <w:vertAlign w:val="superscript"/>
              </w:rPr>
              <w:t>nd</w:t>
            </w:r>
            <w:r w:rsidRPr="00B97A01">
              <w:rPr>
                <w:bCs/>
                <w:sz w:val="22"/>
                <w:szCs w:val="22"/>
              </w:rPr>
              <w:t xml:space="preserve"> AEWA European Goose Management IWG meeting*#</w:t>
            </w:r>
          </w:p>
        </w:tc>
        <w:tc>
          <w:tcPr>
            <w:tcW w:w="2070" w:type="dxa"/>
            <w:shd w:val="clear" w:color="auto" w:fill="auto"/>
          </w:tcPr>
          <w:p w:rsidR="00B97A01" w:rsidRPr="00B97A01" w:rsidRDefault="00B97A01" w:rsidP="00DE3031">
            <w:pPr>
              <w:spacing w:line="288" w:lineRule="auto"/>
              <w:jc w:val="right"/>
              <w:rPr>
                <w:bCs/>
                <w:sz w:val="22"/>
                <w:szCs w:val="22"/>
              </w:rPr>
            </w:pPr>
            <w:r w:rsidRPr="00B97A01">
              <w:rPr>
                <w:bCs/>
                <w:sz w:val="22"/>
                <w:szCs w:val="22"/>
              </w:rPr>
              <w:t>25,000</w:t>
            </w: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
                <w:bCs/>
                <w:sz w:val="22"/>
                <w:szCs w:val="22"/>
              </w:rPr>
            </w:pPr>
            <w:r w:rsidRPr="00B97A01">
              <w:rPr>
                <w:b/>
                <w:bCs/>
                <w:sz w:val="22"/>
                <w:szCs w:val="22"/>
              </w:rPr>
              <w:t>Total</w:t>
            </w:r>
          </w:p>
        </w:tc>
        <w:tc>
          <w:tcPr>
            <w:tcW w:w="2070" w:type="dxa"/>
            <w:shd w:val="clear" w:color="auto" w:fill="auto"/>
          </w:tcPr>
          <w:p w:rsidR="00B97A01" w:rsidRPr="00B97A01" w:rsidRDefault="00B97A01" w:rsidP="00DE3031">
            <w:pPr>
              <w:spacing w:line="288" w:lineRule="auto"/>
              <w:jc w:val="right"/>
              <w:rPr>
                <w:b/>
                <w:bCs/>
                <w:sz w:val="22"/>
                <w:szCs w:val="22"/>
              </w:rPr>
            </w:pPr>
            <w:r w:rsidRPr="00B97A01">
              <w:rPr>
                <w:b/>
                <w:bCs/>
                <w:sz w:val="22"/>
                <w:szCs w:val="22"/>
              </w:rPr>
              <w:t>466,000</w:t>
            </w: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
                <w:bCs/>
                <w:sz w:val="22"/>
                <w:szCs w:val="22"/>
                <w:u w:val="single"/>
              </w:rPr>
            </w:pPr>
          </w:p>
        </w:tc>
        <w:tc>
          <w:tcPr>
            <w:tcW w:w="2070" w:type="dxa"/>
            <w:shd w:val="clear" w:color="auto" w:fill="auto"/>
          </w:tcPr>
          <w:p w:rsidR="00B97A01" w:rsidRPr="00B97A01" w:rsidRDefault="00B97A01" w:rsidP="00DE3031">
            <w:pPr>
              <w:spacing w:line="288" w:lineRule="auto"/>
              <w:jc w:val="right"/>
              <w:rPr>
                <w:b/>
                <w:bCs/>
                <w:sz w:val="22"/>
                <w:szCs w:val="22"/>
                <w:u w:val="single"/>
              </w:rPr>
            </w:pP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
                <w:bCs/>
                <w:sz w:val="22"/>
                <w:szCs w:val="22"/>
              </w:rPr>
            </w:pPr>
            <w:r w:rsidRPr="00B97A01">
              <w:rPr>
                <w:b/>
                <w:bCs/>
                <w:sz w:val="22"/>
                <w:szCs w:val="22"/>
              </w:rPr>
              <w:t>2018</w:t>
            </w:r>
          </w:p>
        </w:tc>
        <w:tc>
          <w:tcPr>
            <w:tcW w:w="2070" w:type="dxa"/>
            <w:shd w:val="clear" w:color="auto" w:fill="auto"/>
          </w:tcPr>
          <w:p w:rsidR="00B97A01" w:rsidRPr="00B97A01" w:rsidRDefault="00B97A01" w:rsidP="00DE3031">
            <w:pPr>
              <w:spacing w:line="288" w:lineRule="auto"/>
              <w:jc w:val="right"/>
              <w:rPr>
                <w:b/>
                <w:bCs/>
                <w:sz w:val="22"/>
                <w:szCs w:val="22"/>
                <w:u w:val="single"/>
              </w:rPr>
            </w:pPr>
          </w:p>
        </w:tc>
      </w:tr>
      <w:tr w:rsidR="00B97A01" w:rsidRPr="00B97A01" w:rsidTr="00B72E8E">
        <w:trPr>
          <w:trHeight w:val="290"/>
        </w:trPr>
        <w:tc>
          <w:tcPr>
            <w:tcW w:w="6930" w:type="dxa"/>
            <w:shd w:val="clear" w:color="auto" w:fill="auto"/>
          </w:tcPr>
          <w:p w:rsidR="00B97A01" w:rsidRPr="00B97A01" w:rsidRDefault="00B97A01" w:rsidP="00DE3031">
            <w:pPr>
              <w:rPr>
                <w:sz w:val="22"/>
                <w:szCs w:val="22"/>
              </w:rPr>
            </w:pPr>
            <w:proofErr w:type="spellStart"/>
            <w:r w:rsidRPr="00B97A01">
              <w:rPr>
                <w:sz w:val="22"/>
                <w:szCs w:val="22"/>
              </w:rPr>
              <w:t>EuroGMP</w:t>
            </w:r>
            <w:proofErr w:type="spellEnd"/>
            <w:r w:rsidRPr="00B97A01">
              <w:rPr>
                <w:sz w:val="22"/>
                <w:szCs w:val="22"/>
              </w:rPr>
              <w:t xml:space="preserve"> coordinator (UNEP/AEWA Secretariat)*</w:t>
            </w:r>
          </w:p>
        </w:tc>
        <w:tc>
          <w:tcPr>
            <w:tcW w:w="2070" w:type="dxa"/>
            <w:shd w:val="clear" w:color="auto" w:fill="auto"/>
          </w:tcPr>
          <w:p w:rsidR="00B97A01" w:rsidRPr="00B97A01" w:rsidRDefault="00B97A01" w:rsidP="00DE3031">
            <w:pPr>
              <w:spacing w:line="288" w:lineRule="auto"/>
              <w:jc w:val="right"/>
              <w:rPr>
                <w:sz w:val="22"/>
                <w:szCs w:val="22"/>
              </w:rPr>
            </w:pPr>
            <w:r w:rsidRPr="00B97A01">
              <w:rPr>
                <w:sz w:val="22"/>
                <w:szCs w:val="22"/>
              </w:rPr>
              <w:t>142,000</w:t>
            </w:r>
          </w:p>
        </w:tc>
      </w:tr>
      <w:tr w:rsidR="00B97A01" w:rsidRPr="00B97A01" w:rsidTr="00B72E8E">
        <w:trPr>
          <w:trHeight w:val="290"/>
        </w:trPr>
        <w:tc>
          <w:tcPr>
            <w:tcW w:w="6930" w:type="dxa"/>
            <w:shd w:val="clear" w:color="auto" w:fill="auto"/>
          </w:tcPr>
          <w:p w:rsidR="00B97A01" w:rsidRPr="00B97A01" w:rsidRDefault="00B97A01" w:rsidP="00DE3031">
            <w:pPr>
              <w:rPr>
                <w:sz w:val="22"/>
                <w:szCs w:val="22"/>
              </w:rPr>
            </w:pPr>
            <w:r w:rsidRPr="00B97A01">
              <w:rPr>
                <w:sz w:val="22"/>
                <w:szCs w:val="22"/>
              </w:rPr>
              <w:t>Administrative assistant (UNEP/AEWA Secretariat)*</w:t>
            </w:r>
          </w:p>
        </w:tc>
        <w:tc>
          <w:tcPr>
            <w:tcW w:w="2070" w:type="dxa"/>
            <w:shd w:val="clear" w:color="auto" w:fill="auto"/>
          </w:tcPr>
          <w:p w:rsidR="00B97A01" w:rsidRPr="00B97A01" w:rsidRDefault="00B97A01" w:rsidP="00DE3031">
            <w:pPr>
              <w:spacing w:line="288" w:lineRule="auto"/>
              <w:jc w:val="right"/>
              <w:rPr>
                <w:bCs/>
                <w:iCs/>
                <w:sz w:val="22"/>
                <w:szCs w:val="22"/>
              </w:rPr>
            </w:pPr>
            <w:r w:rsidRPr="00B97A01">
              <w:rPr>
                <w:bCs/>
                <w:iCs/>
                <w:sz w:val="22"/>
                <w:szCs w:val="22"/>
              </w:rPr>
              <w:t>80,000</w:t>
            </w:r>
          </w:p>
        </w:tc>
      </w:tr>
      <w:tr w:rsidR="00B97A01" w:rsidRPr="00B97A01" w:rsidTr="00B72E8E">
        <w:trPr>
          <w:trHeight w:val="255"/>
        </w:trPr>
        <w:tc>
          <w:tcPr>
            <w:tcW w:w="6930" w:type="dxa"/>
            <w:shd w:val="clear" w:color="auto" w:fill="auto"/>
          </w:tcPr>
          <w:p w:rsidR="00B97A01" w:rsidRPr="00B97A01" w:rsidRDefault="00B97A01" w:rsidP="00B72E8E">
            <w:pPr>
              <w:spacing w:line="288" w:lineRule="auto"/>
              <w:rPr>
                <w:sz w:val="22"/>
                <w:szCs w:val="22"/>
              </w:rPr>
            </w:pPr>
            <w:r w:rsidRPr="00B97A01">
              <w:rPr>
                <w:sz w:val="22"/>
                <w:szCs w:val="22"/>
              </w:rPr>
              <w:t xml:space="preserve">Operational budget </w:t>
            </w:r>
            <w:proofErr w:type="spellStart"/>
            <w:r w:rsidRPr="00B97A01">
              <w:rPr>
                <w:sz w:val="22"/>
                <w:szCs w:val="22"/>
              </w:rPr>
              <w:t>EuroGMP</w:t>
            </w:r>
            <w:proofErr w:type="spellEnd"/>
            <w:r w:rsidRPr="00B97A01">
              <w:rPr>
                <w:sz w:val="22"/>
                <w:szCs w:val="22"/>
              </w:rPr>
              <w:t xml:space="preserve"> coordination (UNEP/AEWA Secretariat)*</w:t>
            </w:r>
          </w:p>
        </w:tc>
        <w:tc>
          <w:tcPr>
            <w:tcW w:w="2070" w:type="dxa"/>
            <w:shd w:val="clear" w:color="auto" w:fill="auto"/>
          </w:tcPr>
          <w:p w:rsidR="00B97A01" w:rsidRPr="00B97A01" w:rsidRDefault="00B97A01" w:rsidP="00C404EA">
            <w:pPr>
              <w:spacing w:line="288" w:lineRule="auto"/>
              <w:jc w:val="right"/>
              <w:rPr>
                <w:sz w:val="22"/>
                <w:szCs w:val="22"/>
              </w:rPr>
            </w:pPr>
            <w:r w:rsidRPr="00B97A01">
              <w:rPr>
                <w:sz w:val="22"/>
                <w:szCs w:val="22"/>
              </w:rPr>
              <w:t>35,000</w:t>
            </w:r>
          </w:p>
        </w:tc>
      </w:tr>
      <w:tr w:rsidR="00B97A01" w:rsidRPr="00B97A01" w:rsidTr="00B72E8E">
        <w:trPr>
          <w:trHeight w:val="290"/>
        </w:trPr>
        <w:tc>
          <w:tcPr>
            <w:tcW w:w="6930" w:type="dxa"/>
            <w:shd w:val="clear" w:color="auto" w:fill="auto"/>
          </w:tcPr>
          <w:p w:rsidR="00B97A01" w:rsidRPr="00B97A01" w:rsidRDefault="00B97A01" w:rsidP="00BD26A3">
            <w:pPr>
              <w:spacing w:line="288" w:lineRule="auto"/>
              <w:jc w:val="both"/>
              <w:rPr>
                <w:sz w:val="22"/>
                <w:szCs w:val="22"/>
              </w:rPr>
            </w:pPr>
            <w:r w:rsidRPr="00B97A01">
              <w:rPr>
                <w:sz w:val="22"/>
                <w:szCs w:val="22"/>
              </w:rPr>
              <w:t>Goose monitoring coordinator (International Data Centre)**</w:t>
            </w:r>
          </w:p>
        </w:tc>
        <w:tc>
          <w:tcPr>
            <w:tcW w:w="2070" w:type="dxa"/>
            <w:shd w:val="clear" w:color="auto" w:fill="auto"/>
          </w:tcPr>
          <w:p w:rsidR="00B97A01" w:rsidRPr="00B97A01" w:rsidRDefault="00B97A01" w:rsidP="00BD26A3">
            <w:pPr>
              <w:spacing w:line="288" w:lineRule="auto"/>
              <w:jc w:val="right"/>
              <w:rPr>
                <w:bCs/>
                <w:sz w:val="22"/>
                <w:szCs w:val="22"/>
              </w:rPr>
            </w:pPr>
            <w:r w:rsidRPr="00B97A01">
              <w:rPr>
                <w:bCs/>
                <w:sz w:val="22"/>
                <w:szCs w:val="22"/>
              </w:rPr>
              <w:t>96,000</w:t>
            </w:r>
          </w:p>
        </w:tc>
      </w:tr>
      <w:tr w:rsidR="00B97A01" w:rsidRPr="00B97A01" w:rsidTr="00B72E8E">
        <w:trPr>
          <w:trHeight w:val="290"/>
        </w:trPr>
        <w:tc>
          <w:tcPr>
            <w:tcW w:w="6930" w:type="dxa"/>
            <w:shd w:val="clear" w:color="auto" w:fill="auto"/>
          </w:tcPr>
          <w:p w:rsidR="00B97A01" w:rsidRPr="00B97A01" w:rsidRDefault="00B97A01" w:rsidP="00DE3589">
            <w:pPr>
              <w:spacing w:line="288" w:lineRule="auto"/>
              <w:jc w:val="both"/>
              <w:rPr>
                <w:bCs/>
                <w:sz w:val="22"/>
                <w:szCs w:val="22"/>
              </w:rPr>
            </w:pPr>
            <w:r w:rsidRPr="00B97A01">
              <w:rPr>
                <w:bCs/>
                <w:sz w:val="22"/>
                <w:szCs w:val="22"/>
              </w:rPr>
              <w:t>Population modelling expert (International Data Centre)**</w:t>
            </w:r>
          </w:p>
        </w:tc>
        <w:tc>
          <w:tcPr>
            <w:tcW w:w="2070" w:type="dxa"/>
            <w:shd w:val="clear" w:color="auto" w:fill="auto"/>
          </w:tcPr>
          <w:p w:rsidR="00B97A01" w:rsidRPr="00B97A01" w:rsidRDefault="00B97A01" w:rsidP="00DE3589">
            <w:pPr>
              <w:spacing w:line="288" w:lineRule="auto"/>
              <w:jc w:val="right"/>
              <w:rPr>
                <w:bCs/>
                <w:sz w:val="22"/>
                <w:szCs w:val="22"/>
              </w:rPr>
            </w:pPr>
            <w:r w:rsidRPr="00B97A01">
              <w:rPr>
                <w:bCs/>
                <w:sz w:val="22"/>
                <w:szCs w:val="22"/>
              </w:rPr>
              <w:t>48,000</w:t>
            </w:r>
          </w:p>
        </w:tc>
      </w:tr>
      <w:tr w:rsidR="00B97A01" w:rsidRPr="00B97A01" w:rsidTr="00B72E8E">
        <w:trPr>
          <w:trHeight w:val="290"/>
        </w:trPr>
        <w:tc>
          <w:tcPr>
            <w:tcW w:w="6930" w:type="dxa"/>
            <w:shd w:val="clear" w:color="auto" w:fill="auto"/>
          </w:tcPr>
          <w:p w:rsidR="00B97A01" w:rsidRPr="00B97A01" w:rsidRDefault="00B97A01" w:rsidP="00BD26A3">
            <w:pPr>
              <w:spacing w:line="288" w:lineRule="auto"/>
              <w:jc w:val="both"/>
              <w:rPr>
                <w:bCs/>
                <w:sz w:val="22"/>
                <w:szCs w:val="22"/>
              </w:rPr>
            </w:pPr>
            <w:r w:rsidRPr="00B97A01">
              <w:rPr>
                <w:sz w:val="22"/>
                <w:szCs w:val="22"/>
              </w:rPr>
              <w:t>Lead compiler (annual review) (International Data Centre)**</w:t>
            </w:r>
          </w:p>
        </w:tc>
        <w:tc>
          <w:tcPr>
            <w:tcW w:w="2070" w:type="dxa"/>
            <w:shd w:val="clear" w:color="auto" w:fill="auto"/>
          </w:tcPr>
          <w:p w:rsidR="00B97A01" w:rsidRPr="00B97A01" w:rsidRDefault="00B97A01" w:rsidP="00BD26A3">
            <w:pPr>
              <w:spacing w:line="288" w:lineRule="auto"/>
              <w:jc w:val="right"/>
              <w:rPr>
                <w:bCs/>
                <w:sz w:val="22"/>
                <w:szCs w:val="22"/>
              </w:rPr>
            </w:pPr>
            <w:r w:rsidRPr="00B97A01">
              <w:rPr>
                <w:bCs/>
                <w:sz w:val="22"/>
                <w:szCs w:val="22"/>
              </w:rPr>
              <w:t>20,000</w:t>
            </w:r>
          </w:p>
        </w:tc>
      </w:tr>
      <w:tr w:rsidR="00B97A01" w:rsidRPr="00B97A01" w:rsidTr="00B72E8E">
        <w:trPr>
          <w:trHeight w:val="290"/>
        </w:trPr>
        <w:tc>
          <w:tcPr>
            <w:tcW w:w="6930" w:type="dxa"/>
            <w:tcBorders>
              <w:bottom w:val="single" w:sz="4" w:space="0" w:color="auto"/>
            </w:tcBorders>
            <w:shd w:val="clear" w:color="auto" w:fill="auto"/>
          </w:tcPr>
          <w:p w:rsidR="00B97A01" w:rsidRPr="00B97A01" w:rsidRDefault="00B97A01" w:rsidP="00C404EA">
            <w:pPr>
              <w:spacing w:line="288" w:lineRule="auto"/>
              <w:jc w:val="both"/>
              <w:rPr>
                <w:sz w:val="22"/>
                <w:szCs w:val="22"/>
              </w:rPr>
            </w:pPr>
            <w:r w:rsidRPr="00B97A01">
              <w:rPr>
                <w:sz w:val="22"/>
                <w:szCs w:val="22"/>
              </w:rPr>
              <w:t>Operational budget International Data Centre**</w:t>
            </w:r>
          </w:p>
        </w:tc>
        <w:tc>
          <w:tcPr>
            <w:tcW w:w="2070" w:type="dxa"/>
            <w:tcBorders>
              <w:bottom w:val="single" w:sz="4" w:space="0" w:color="auto"/>
            </w:tcBorders>
            <w:shd w:val="clear" w:color="auto" w:fill="auto"/>
          </w:tcPr>
          <w:p w:rsidR="00B97A01" w:rsidRPr="00B97A01" w:rsidRDefault="00B97A01" w:rsidP="00C404EA">
            <w:pPr>
              <w:spacing w:line="288" w:lineRule="auto"/>
              <w:jc w:val="right"/>
              <w:rPr>
                <w:bCs/>
                <w:sz w:val="22"/>
                <w:szCs w:val="22"/>
              </w:rPr>
            </w:pPr>
            <w:r w:rsidRPr="00B97A01">
              <w:rPr>
                <w:bCs/>
                <w:sz w:val="22"/>
                <w:szCs w:val="22"/>
              </w:rPr>
              <w:t>20,000</w:t>
            </w:r>
          </w:p>
        </w:tc>
      </w:tr>
      <w:tr w:rsidR="00B97A01" w:rsidRPr="00B97A01" w:rsidTr="00B72E8E">
        <w:trPr>
          <w:trHeight w:val="290"/>
        </w:trPr>
        <w:tc>
          <w:tcPr>
            <w:tcW w:w="6930" w:type="dxa"/>
            <w:shd w:val="clear" w:color="auto" w:fill="92D050"/>
          </w:tcPr>
          <w:p w:rsidR="00B97A01" w:rsidRPr="00B97A01" w:rsidRDefault="00B97A01" w:rsidP="00DE3031">
            <w:pPr>
              <w:spacing w:line="288" w:lineRule="auto"/>
              <w:jc w:val="both"/>
              <w:rPr>
                <w:b/>
                <w:bCs/>
                <w:sz w:val="22"/>
                <w:szCs w:val="22"/>
                <w:u w:val="single"/>
              </w:rPr>
            </w:pPr>
            <w:r w:rsidRPr="00B97A01">
              <w:rPr>
                <w:bCs/>
                <w:iCs/>
                <w:sz w:val="22"/>
                <w:szCs w:val="22"/>
              </w:rPr>
              <w:lastRenderedPageBreak/>
              <w:t>Barnacle Goose adaptive harvest management plan development**</w:t>
            </w:r>
          </w:p>
        </w:tc>
        <w:tc>
          <w:tcPr>
            <w:tcW w:w="2070" w:type="dxa"/>
            <w:shd w:val="clear" w:color="auto" w:fill="92D050"/>
          </w:tcPr>
          <w:p w:rsidR="00B97A01" w:rsidRPr="00B97A01" w:rsidRDefault="00B97A01" w:rsidP="00FF7B45">
            <w:pPr>
              <w:spacing w:line="288" w:lineRule="auto"/>
              <w:jc w:val="right"/>
              <w:rPr>
                <w:bCs/>
                <w:sz w:val="22"/>
                <w:szCs w:val="22"/>
              </w:rPr>
            </w:pPr>
            <w:r w:rsidRPr="00B97A01">
              <w:rPr>
                <w:bCs/>
                <w:sz w:val="22"/>
                <w:szCs w:val="22"/>
              </w:rPr>
              <w:t>N/A</w:t>
            </w:r>
          </w:p>
        </w:tc>
      </w:tr>
      <w:tr w:rsidR="00B97A01" w:rsidRPr="00B97A01" w:rsidTr="00B72E8E">
        <w:trPr>
          <w:trHeight w:val="290"/>
        </w:trPr>
        <w:tc>
          <w:tcPr>
            <w:tcW w:w="6930" w:type="dxa"/>
            <w:shd w:val="clear" w:color="auto" w:fill="92D050"/>
          </w:tcPr>
          <w:p w:rsidR="00B97A01" w:rsidRPr="00B97A01" w:rsidRDefault="00B97A01" w:rsidP="00DE3031">
            <w:pPr>
              <w:spacing w:line="288" w:lineRule="auto"/>
              <w:jc w:val="both"/>
              <w:rPr>
                <w:b/>
                <w:bCs/>
                <w:sz w:val="22"/>
                <w:szCs w:val="22"/>
                <w:u w:val="single"/>
              </w:rPr>
            </w:pPr>
            <w:r w:rsidRPr="00B97A01">
              <w:rPr>
                <w:bCs/>
                <w:iCs/>
                <w:sz w:val="22"/>
                <w:szCs w:val="22"/>
              </w:rPr>
              <w:t>Greylag Goose adaptive harvest management plan development**</w:t>
            </w:r>
          </w:p>
        </w:tc>
        <w:tc>
          <w:tcPr>
            <w:tcW w:w="2070" w:type="dxa"/>
            <w:shd w:val="clear" w:color="auto" w:fill="92D050"/>
          </w:tcPr>
          <w:p w:rsidR="00B97A01" w:rsidRPr="00B97A01" w:rsidRDefault="00B97A01" w:rsidP="00FF7B45">
            <w:pPr>
              <w:spacing w:line="288" w:lineRule="auto"/>
              <w:jc w:val="right"/>
              <w:rPr>
                <w:bCs/>
                <w:sz w:val="22"/>
                <w:szCs w:val="22"/>
              </w:rPr>
            </w:pPr>
            <w:r w:rsidRPr="00B97A01">
              <w:rPr>
                <w:bCs/>
                <w:sz w:val="22"/>
                <w:szCs w:val="22"/>
              </w:rPr>
              <w:t>N/A</w:t>
            </w: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
                <w:bCs/>
                <w:sz w:val="22"/>
                <w:szCs w:val="22"/>
                <w:u w:val="single"/>
              </w:rPr>
            </w:pPr>
            <w:r w:rsidRPr="00B97A01">
              <w:rPr>
                <w:bCs/>
                <w:sz w:val="22"/>
                <w:szCs w:val="22"/>
              </w:rPr>
              <w:t>3</w:t>
            </w:r>
            <w:r w:rsidRPr="00B97A01">
              <w:rPr>
                <w:bCs/>
                <w:sz w:val="22"/>
                <w:szCs w:val="22"/>
                <w:vertAlign w:val="superscript"/>
              </w:rPr>
              <w:t>rd</w:t>
            </w:r>
            <w:r w:rsidRPr="00B97A01">
              <w:rPr>
                <w:bCs/>
                <w:sz w:val="22"/>
                <w:szCs w:val="22"/>
              </w:rPr>
              <w:t xml:space="preserve"> AEWA European Goose Management IWG meeting*#</w:t>
            </w:r>
          </w:p>
        </w:tc>
        <w:tc>
          <w:tcPr>
            <w:tcW w:w="2070" w:type="dxa"/>
            <w:shd w:val="clear" w:color="auto" w:fill="auto"/>
          </w:tcPr>
          <w:p w:rsidR="00B97A01" w:rsidRPr="00B97A01" w:rsidRDefault="00B97A01" w:rsidP="00DE3031">
            <w:pPr>
              <w:spacing w:line="288" w:lineRule="auto"/>
              <w:jc w:val="right"/>
              <w:rPr>
                <w:bCs/>
                <w:sz w:val="22"/>
                <w:szCs w:val="22"/>
              </w:rPr>
            </w:pPr>
            <w:r w:rsidRPr="00B97A01">
              <w:rPr>
                <w:bCs/>
                <w:sz w:val="22"/>
                <w:szCs w:val="22"/>
              </w:rPr>
              <w:t>25,000</w:t>
            </w: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
                <w:bCs/>
                <w:sz w:val="22"/>
                <w:szCs w:val="22"/>
              </w:rPr>
            </w:pPr>
            <w:r w:rsidRPr="00B97A01">
              <w:rPr>
                <w:b/>
                <w:bCs/>
                <w:sz w:val="22"/>
                <w:szCs w:val="22"/>
              </w:rPr>
              <w:t>Total</w:t>
            </w:r>
          </w:p>
        </w:tc>
        <w:tc>
          <w:tcPr>
            <w:tcW w:w="2070" w:type="dxa"/>
            <w:shd w:val="clear" w:color="auto" w:fill="auto"/>
          </w:tcPr>
          <w:p w:rsidR="00B97A01" w:rsidRPr="00B97A01" w:rsidRDefault="00B97A01" w:rsidP="00DE3031">
            <w:pPr>
              <w:spacing w:line="288" w:lineRule="auto"/>
              <w:jc w:val="right"/>
              <w:rPr>
                <w:b/>
                <w:bCs/>
                <w:sz w:val="22"/>
                <w:szCs w:val="22"/>
              </w:rPr>
            </w:pPr>
            <w:r w:rsidRPr="00B97A01">
              <w:rPr>
                <w:b/>
                <w:bCs/>
                <w:sz w:val="22"/>
                <w:szCs w:val="22"/>
              </w:rPr>
              <w:t>466,000</w:t>
            </w: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
                <w:bCs/>
                <w:sz w:val="22"/>
                <w:szCs w:val="22"/>
              </w:rPr>
            </w:pPr>
          </w:p>
        </w:tc>
        <w:tc>
          <w:tcPr>
            <w:tcW w:w="2070" w:type="dxa"/>
            <w:shd w:val="clear" w:color="auto" w:fill="auto"/>
          </w:tcPr>
          <w:p w:rsidR="00B97A01" w:rsidRPr="00B97A01" w:rsidRDefault="00B97A01" w:rsidP="00DE3031">
            <w:pPr>
              <w:spacing w:line="288" w:lineRule="auto"/>
              <w:jc w:val="right"/>
              <w:rPr>
                <w:b/>
                <w:bCs/>
                <w:sz w:val="22"/>
                <w:szCs w:val="22"/>
              </w:rPr>
            </w:pPr>
          </w:p>
        </w:tc>
      </w:tr>
      <w:tr w:rsidR="00B97A01" w:rsidRPr="00B97A01" w:rsidTr="00B72E8E">
        <w:trPr>
          <w:trHeight w:val="290"/>
        </w:trPr>
        <w:tc>
          <w:tcPr>
            <w:tcW w:w="6930" w:type="dxa"/>
            <w:shd w:val="clear" w:color="auto" w:fill="auto"/>
          </w:tcPr>
          <w:p w:rsidR="00B97A01" w:rsidRPr="00B97A01" w:rsidRDefault="00B97A01" w:rsidP="00DE3031">
            <w:pPr>
              <w:spacing w:line="288" w:lineRule="auto"/>
              <w:jc w:val="both"/>
              <w:rPr>
                <w:b/>
                <w:bCs/>
                <w:sz w:val="22"/>
                <w:szCs w:val="22"/>
              </w:rPr>
            </w:pPr>
            <w:r w:rsidRPr="00B97A01">
              <w:rPr>
                <w:b/>
                <w:bCs/>
                <w:sz w:val="22"/>
                <w:szCs w:val="22"/>
              </w:rPr>
              <w:t>Grand total</w:t>
            </w:r>
          </w:p>
        </w:tc>
        <w:tc>
          <w:tcPr>
            <w:tcW w:w="2070" w:type="dxa"/>
            <w:shd w:val="clear" w:color="auto" w:fill="auto"/>
          </w:tcPr>
          <w:p w:rsidR="00B97A01" w:rsidRPr="00B97A01" w:rsidRDefault="00B97A01" w:rsidP="00DE3031">
            <w:pPr>
              <w:spacing w:line="288" w:lineRule="auto"/>
              <w:jc w:val="right"/>
              <w:rPr>
                <w:b/>
                <w:bCs/>
                <w:sz w:val="22"/>
                <w:szCs w:val="22"/>
              </w:rPr>
            </w:pPr>
            <w:r w:rsidRPr="00B97A01">
              <w:rPr>
                <w:b/>
                <w:bCs/>
                <w:sz w:val="22"/>
                <w:szCs w:val="22"/>
              </w:rPr>
              <w:t>1,365,000***</w:t>
            </w:r>
          </w:p>
        </w:tc>
      </w:tr>
    </w:tbl>
    <w:p w:rsidR="00B97A01" w:rsidRPr="00B97A01" w:rsidRDefault="00B97A01" w:rsidP="00CA76A1">
      <w:pPr>
        <w:spacing w:line="288" w:lineRule="auto"/>
        <w:jc w:val="both"/>
        <w:rPr>
          <w:sz w:val="22"/>
          <w:szCs w:val="22"/>
        </w:rPr>
      </w:pPr>
      <w:r w:rsidRPr="00B97A01">
        <w:rPr>
          <w:sz w:val="22"/>
          <w:szCs w:val="22"/>
        </w:rPr>
        <w:t xml:space="preserve"> </w:t>
      </w:r>
    </w:p>
    <w:p w:rsidR="00B97A01" w:rsidRPr="00B97A01" w:rsidRDefault="00B97A01" w:rsidP="00CA76A1">
      <w:pPr>
        <w:spacing w:line="288" w:lineRule="auto"/>
        <w:jc w:val="both"/>
        <w:rPr>
          <w:sz w:val="22"/>
          <w:szCs w:val="22"/>
        </w:rPr>
      </w:pPr>
      <w:r w:rsidRPr="00B97A01">
        <w:rPr>
          <w:sz w:val="22"/>
          <w:szCs w:val="22"/>
        </w:rPr>
        <w:br w:type="page"/>
      </w:r>
    </w:p>
    <w:p w:rsidR="00B97A01" w:rsidRPr="00B97A01" w:rsidRDefault="00B97A01" w:rsidP="000D5914">
      <w:pPr>
        <w:pStyle w:val="Heading1"/>
        <w:rPr>
          <w:szCs w:val="22"/>
        </w:rPr>
      </w:pPr>
      <w:bookmarkStart w:id="6" w:name="_Toc448762269"/>
      <w:r w:rsidRPr="00B97A01">
        <w:rPr>
          <w:szCs w:val="22"/>
        </w:rPr>
        <w:lastRenderedPageBreak/>
        <w:t>6. Annexes</w:t>
      </w:r>
      <w:bookmarkEnd w:id="6"/>
    </w:p>
    <w:p w:rsidR="00B97A01" w:rsidRPr="00B97A01" w:rsidRDefault="00B97A01" w:rsidP="00CA76A1">
      <w:pPr>
        <w:spacing w:line="288" w:lineRule="auto"/>
        <w:jc w:val="both"/>
        <w:rPr>
          <w:sz w:val="22"/>
          <w:szCs w:val="22"/>
        </w:rPr>
      </w:pPr>
    </w:p>
    <w:p w:rsidR="00B97A01" w:rsidRPr="008567A8" w:rsidRDefault="00B97A01" w:rsidP="008567A8">
      <w:pPr>
        <w:spacing w:line="276" w:lineRule="auto"/>
        <w:jc w:val="both"/>
        <w:rPr>
          <w:i/>
          <w:sz w:val="22"/>
          <w:szCs w:val="22"/>
        </w:rPr>
      </w:pPr>
      <w:r w:rsidRPr="008567A8">
        <w:rPr>
          <w:b/>
          <w:i/>
          <w:sz w:val="22"/>
          <w:szCs w:val="22"/>
        </w:rPr>
        <w:t>Annex 1.</w:t>
      </w:r>
      <w:r w:rsidRPr="00B97A01">
        <w:rPr>
          <w:i/>
          <w:sz w:val="22"/>
          <w:szCs w:val="22"/>
        </w:rPr>
        <w:t xml:space="preserve"> Annual Routines (indicated in terms of months of action of a given activity) in monitoring and decision-making under the adaptive management framework of the AEWA International Management Plan for the Pink-footed Goose. The plan is coordinated between Norway, Denmark, the Netherlands and Belgium, and an International Working Group, composed of national authorities, stakeholders and experts, oversees the process and provides guidance on national implementation</w:t>
      </w:r>
      <w:r w:rsidRPr="008567A8">
        <w:rPr>
          <w:i/>
          <w:sz w:val="22"/>
          <w:szCs w:val="22"/>
        </w:rPr>
        <w:t xml:space="preserve">. </w:t>
      </w:r>
    </w:p>
    <w:p w:rsidR="00B97A01" w:rsidRPr="00B97A01" w:rsidRDefault="00B97A01" w:rsidP="008A0997">
      <w:pPr>
        <w:rPr>
          <w:sz w:val="22"/>
          <w:szCs w:val="22"/>
        </w:rPr>
      </w:pPr>
    </w:p>
    <w:p w:rsidR="00B97A01" w:rsidRPr="00B97A01" w:rsidRDefault="00B97A01" w:rsidP="008567A8">
      <w:pPr>
        <w:spacing w:line="276" w:lineRule="auto"/>
        <w:jc w:val="both"/>
        <w:rPr>
          <w:i/>
          <w:sz w:val="22"/>
          <w:szCs w:val="22"/>
          <w:lang w:val="da-DK"/>
        </w:rPr>
      </w:pPr>
      <w:r w:rsidRPr="00B97A01">
        <w:rPr>
          <w:i/>
          <w:sz w:val="22"/>
          <w:szCs w:val="22"/>
        </w:rPr>
        <w:t xml:space="preserve">In this case, the allowable harvest for the forthcoming hunting season is projected in June/July and communicated for implementation in the range states where the species has an open season (currently Norway and Denmark). Accordingly, the countries decide on national regulations to adjust the level of harvest. Crucial to the process is the close coordination of monitoring of the population size, demographic variables and the harvest in the involved countries as well as an agreement on the decision-making process. See details at </w:t>
      </w:r>
      <w:hyperlink r:id="rId12" w:history="1">
        <w:r w:rsidRPr="00B97A01">
          <w:rPr>
            <w:rStyle w:val="Hyperlink"/>
            <w:i/>
            <w:sz w:val="22"/>
            <w:szCs w:val="22"/>
            <w:lang w:val="da-DK"/>
          </w:rPr>
          <w:t>http://pinkfootedgoose.aewa.info</w:t>
        </w:r>
      </w:hyperlink>
      <w:r w:rsidRPr="00B97A01">
        <w:rPr>
          <w:i/>
          <w:sz w:val="22"/>
          <w:szCs w:val="22"/>
          <w:lang w:val="da-DK"/>
        </w:rPr>
        <w:t xml:space="preserve"> .</w:t>
      </w:r>
    </w:p>
    <w:p w:rsidR="00B97A01" w:rsidRDefault="00B97A01" w:rsidP="00601036">
      <w:pPr>
        <w:spacing w:line="288" w:lineRule="auto"/>
        <w:jc w:val="both"/>
        <w:rPr>
          <w:i/>
          <w:lang w:val="da-DK"/>
        </w:rPr>
      </w:pPr>
    </w:p>
    <w:p w:rsidR="00B97A01" w:rsidRDefault="00B97A01" w:rsidP="00601036">
      <w:pPr>
        <w:spacing w:line="288" w:lineRule="auto"/>
        <w:jc w:val="both"/>
        <w:rPr>
          <w:i/>
          <w:lang w:val="da-DK"/>
        </w:rPr>
      </w:pPr>
      <w:r w:rsidRPr="00CB172C">
        <w:rPr>
          <w:i/>
          <w:noProof/>
          <w:lang w:val="en-US"/>
        </w:rPr>
        <w:drawing>
          <wp:inline distT="0" distB="0" distL="0" distR="0" wp14:anchorId="2F2CB5AB" wp14:editId="204266FB">
            <wp:extent cx="5702400" cy="5648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7744"/>
                    <a:stretch>
                      <a:fillRect/>
                    </a:stretch>
                  </pic:blipFill>
                  <pic:spPr bwMode="auto">
                    <a:xfrm>
                      <a:off x="0" y="0"/>
                      <a:ext cx="5702400" cy="5648400"/>
                    </a:xfrm>
                    <a:prstGeom prst="rect">
                      <a:avLst/>
                    </a:prstGeom>
                    <a:noFill/>
                    <a:ln>
                      <a:noFill/>
                    </a:ln>
                  </pic:spPr>
                </pic:pic>
              </a:graphicData>
            </a:graphic>
          </wp:inline>
        </w:drawing>
      </w:r>
    </w:p>
    <w:p w:rsidR="00B97A01" w:rsidRDefault="00B97A01" w:rsidP="000D5914">
      <w:pPr>
        <w:spacing w:line="288" w:lineRule="auto"/>
        <w:jc w:val="both"/>
        <w:rPr>
          <w:b/>
          <w:i/>
          <w:sz w:val="22"/>
          <w:szCs w:val="22"/>
        </w:rPr>
      </w:pPr>
    </w:p>
    <w:p w:rsidR="00B97A01" w:rsidRDefault="00B97A01" w:rsidP="000D5914">
      <w:pPr>
        <w:spacing w:line="288" w:lineRule="auto"/>
        <w:jc w:val="both"/>
        <w:rPr>
          <w:b/>
          <w:i/>
          <w:sz w:val="22"/>
          <w:szCs w:val="22"/>
        </w:rPr>
      </w:pPr>
    </w:p>
    <w:p w:rsidR="00B97A01" w:rsidRDefault="00B97A01" w:rsidP="000D5914">
      <w:pPr>
        <w:spacing w:line="288" w:lineRule="auto"/>
        <w:jc w:val="both"/>
        <w:rPr>
          <w:b/>
          <w:i/>
          <w:sz w:val="22"/>
          <w:szCs w:val="22"/>
        </w:rPr>
      </w:pPr>
    </w:p>
    <w:p w:rsidR="00B97A01" w:rsidRDefault="00B97A01" w:rsidP="000D5914">
      <w:pPr>
        <w:spacing w:line="288" w:lineRule="auto"/>
        <w:jc w:val="both"/>
        <w:rPr>
          <w:b/>
          <w:i/>
          <w:sz w:val="22"/>
          <w:szCs w:val="22"/>
        </w:rPr>
      </w:pPr>
    </w:p>
    <w:p w:rsidR="00B97A01" w:rsidRPr="00B97A01" w:rsidRDefault="00B97A01" w:rsidP="000D5914">
      <w:pPr>
        <w:spacing w:line="288" w:lineRule="auto"/>
        <w:jc w:val="both"/>
        <w:rPr>
          <w:i/>
          <w:sz w:val="22"/>
          <w:szCs w:val="22"/>
        </w:rPr>
      </w:pPr>
      <w:r w:rsidRPr="00C44E6F">
        <w:rPr>
          <w:b/>
          <w:i/>
          <w:sz w:val="22"/>
          <w:szCs w:val="22"/>
        </w:rPr>
        <w:lastRenderedPageBreak/>
        <w:t>Annex 2.</w:t>
      </w:r>
      <w:r w:rsidRPr="00B97A01">
        <w:rPr>
          <w:i/>
          <w:sz w:val="22"/>
          <w:szCs w:val="22"/>
        </w:rPr>
        <w:t xml:space="preserve"> Range States to the initial six populations of four goose species to be covered by the </w:t>
      </w:r>
      <w:proofErr w:type="spellStart"/>
      <w:r w:rsidRPr="00B97A01">
        <w:rPr>
          <w:i/>
          <w:sz w:val="22"/>
          <w:szCs w:val="22"/>
        </w:rPr>
        <w:t>EuroGMP</w:t>
      </w:r>
      <w:proofErr w:type="spellEnd"/>
      <w:r w:rsidRPr="00B97A01">
        <w:rPr>
          <w:i/>
          <w:sz w:val="22"/>
          <w:szCs w:val="22"/>
        </w:rPr>
        <w:t xml:space="preserve"> (in red are non-Party Range States to AEWA; the digit indicates the number of populations concerned with the respective Range State)</w:t>
      </w:r>
    </w:p>
    <w:p w:rsidR="00B97A01" w:rsidRPr="005C1BAE" w:rsidRDefault="00B97A01" w:rsidP="000D5914">
      <w:pPr>
        <w:spacing w:line="288" w:lineRule="auto"/>
        <w:jc w:val="both"/>
      </w:pPr>
    </w:p>
    <w:tbl>
      <w:tblPr>
        <w:tblW w:w="6174" w:type="dxa"/>
        <w:jc w:val="center"/>
        <w:tblCellMar>
          <w:left w:w="0" w:type="dxa"/>
          <w:right w:w="0" w:type="dxa"/>
        </w:tblCellMar>
        <w:tblLook w:val="0420" w:firstRow="1" w:lastRow="0" w:firstColumn="0" w:lastColumn="0" w:noHBand="0" w:noVBand="1"/>
      </w:tblPr>
      <w:tblGrid>
        <w:gridCol w:w="3057"/>
        <w:gridCol w:w="3117"/>
      </w:tblGrid>
      <w:tr w:rsidR="00B97A01" w:rsidRPr="00B97A01" w:rsidTr="00571AAA">
        <w:trPr>
          <w:trHeight w:val="20"/>
          <w:jc w:val="center"/>
        </w:trPr>
        <w:tc>
          <w:tcPr>
            <w:tcW w:w="4320" w:type="dxa"/>
            <w:tcBorders>
              <w:top w:val="single" w:sz="8" w:space="0" w:color="3333CC"/>
              <w:left w:val="single" w:sz="8" w:space="0" w:color="3333CC"/>
              <w:bottom w:val="single" w:sz="8" w:space="0" w:color="3333CC"/>
              <w:right w:val="single" w:sz="8" w:space="0" w:color="3333CC"/>
            </w:tcBorders>
            <w:shd w:val="clear" w:color="auto" w:fill="E8E8F6"/>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kern w:val="24"/>
                <w:sz w:val="22"/>
                <w:szCs w:val="22"/>
                <w:lang w:val="en-US"/>
              </w:rPr>
              <w:t>Belarus – 1</w:t>
            </w:r>
          </w:p>
        </w:tc>
        <w:tc>
          <w:tcPr>
            <w:tcW w:w="4320" w:type="dxa"/>
            <w:tcBorders>
              <w:top w:val="single" w:sz="8" w:space="0" w:color="3333CC"/>
              <w:left w:val="single" w:sz="8" w:space="0" w:color="3333CC"/>
              <w:bottom w:val="single" w:sz="8" w:space="0" w:color="3333CC"/>
              <w:right w:val="single" w:sz="8" w:space="0" w:color="3333CC"/>
            </w:tcBorders>
            <w:shd w:val="clear" w:color="auto" w:fill="E8E8F6"/>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Latvia – 2</w:t>
            </w:r>
          </w:p>
        </w:tc>
      </w:tr>
      <w:tr w:rsidR="00B97A01" w:rsidRPr="00B97A01" w:rsidTr="00571AAA">
        <w:trPr>
          <w:trHeight w:val="20"/>
          <w:jc w:val="center"/>
        </w:trPr>
        <w:tc>
          <w:tcPr>
            <w:tcW w:w="4320" w:type="dxa"/>
            <w:tcBorders>
              <w:top w:val="single" w:sz="8" w:space="0" w:color="3333CC"/>
              <w:left w:val="single" w:sz="8" w:space="0" w:color="3333CC"/>
              <w:bottom w:val="single" w:sz="8" w:space="0" w:color="3333CC"/>
              <w:right w:val="single" w:sz="8" w:space="0" w:color="3333CC"/>
            </w:tcBorders>
            <w:shd w:val="clear" w:color="auto" w:fill="CDCDEC"/>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Belgium – 3</w:t>
            </w:r>
          </w:p>
        </w:tc>
        <w:tc>
          <w:tcPr>
            <w:tcW w:w="4320" w:type="dxa"/>
            <w:tcBorders>
              <w:top w:val="single" w:sz="8" w:space="0" w:color="3333CC"/>
              <w:left w:val="single" w:sz="8" w:space="0" w:color="3333CC"/>
              <w:bottom w:val="single" w:sz="8" w:space="0" w:color="3333CC"/>
              <w:right w:val="single" w:sz="8" w:space="0" w:color="3333CC"/>
            </w:tcBorders>
            <w:shd w:val="clear" w:color="auto" w:fill="CDCDEC"/>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Lithuania – 2</w:t>
            </w:r>
          </w:p>
        </w:tc>
      </w:tr>
      <w:tr w:rsidR="00B97A01" w:rsidRPr="00B97A01" w:rsidTr="00571AAA">
        <w:trPr>
          <w:trHeight w:val="20"/>
          <w:jc w:val="center"/>
        </w:trPr>
        <w:tc>
          <w:tcPr>
            <w:tcW w:w="4320" w:type="dxa"/>
            <w:tcBorders>
              <w:top w:val="single" w:sz="8" w:space="0" w:color="3333CC"/>
              <w:left w:val="single" w:sz="8" w:space="0" w:color="3333CC"/>
              <w:bottom w:val="single" w:sz="8" w:space="0" w:color="3333CC"/>
              <w:right w:val="single" w:sz="8" w:space="0" w:color="3333CC"/>
            </w:tcBorders>
            <w:shd w:val="clear" w:color="auto" w:fill="E8E8F6"/>
            <w:tcMar>
              <w:top w:w="72" w:type="dxa"/>
              <w:left w:w="144" w:type="dxa"/>
              <w:bottom w:w="72" w:type="dxa"/>
              <w:right w:w="144" w:type="dxa"/>
            </w:tcMar>
            <w:hideMark/>
          </w:tcPr>
          <w:p w:rsidR="00B97A01" w:rsidRPr="00B97A01" w:rsidRDefault="00B97A01" w:rsidP="00571AAA">
            <w:pPr>
              <w:jc w:val="center"/>
              <w:rPr>
                <w:color w:val="FF0000"/>
                <w:sz w:val="22"/>
                <w:szCs w:val="22"/>
                <w:lang w:val="en-US"/>
              </w:rPr>
            </w:pPr>
            <w:r w:rsidRPr="00B97A01">
              <w:rPr>
                <w:color w:val="FF0000"/>
                <w:kern w:val="24"/>
                <w:sz w:val="22"/>
                <w:szCs w:val="22"/>
                <w:lang w:val="en-US"/>
              </w:rPr>
              <w:t>Greenland – 1</w:t>
            </w:r>
          </w:p>
        </w:tc>
        <w:tc>
          <w:tcPr>
            <w:tcW w:w="4320" w:type="dxa"/>
            <w:tcBorders>
              <w:top w:val="single" w:sz="8" w:space="0" w:color="3333CC"/>
              <w:left w:val="single" w:sz="8" w:space="0" w:color="3333CC"/>
              <w:bottom w:val="single" w:sz="8" w:space="0" w:color="3333CC"/>
              <w:right w:val="single" w:sz="8" w:space="0" w:color="3333CC"/>
            </w:tcBorders>
            <w:shd w:val="clear" w:color="auto" w:fill="E8E8F6"/>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Netherlands – 4</w:t>
            </w:r>
          </w:p>
        </w:tc>
      </w:tr>
      <w:tr w:rsidR="00B97A01" w:rsidRPr="00B97A01" w:rsidTr="00571AAA">
        <w:trPr>
          <w:trHeight w:val="20"/>
          <w:jc w:val="center"/>
        </w:trPr>
        <w:tc>
          <w:tcPr>
            <w:tcW w:w="4320" w:type="dxa"/>
            <w:tcBorders>
              <w:top w:val="single" w:sz="8" w:space="0" w:color="3333CC"/>
              <w:left w:val="single" w:sz="8" w:space="0" w:color="3333CC"/>
              <w:bottom w:val="single" w:sz="8" w:space="0" w:color="3333CC"/>
              <w:right w:val="single" w:sz="8" w:space="0" w:color="3333CC"/>
            </w:tcBorders>
            <w:shd w:val="clear" w:color="auto" w:fill="CDCDEC"/>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Denmark – 4</w:t>
            </w:r>
          </w:p>
        </w:tc>
        <w:tc>
          <w:tcPr>
            <w:tcW w:w="4320" w:type="dxa"/>
            <w:tcBorders>
              <w:top w:val="single" w:sz="8" w:space="0" w:color="3333CC"/>
              <w:left w:val="single" w:sz="8" w:space="0" w:color="3333CC"/>
              <w:bottom w:val="single" w:sz="8" w:space="0" w:color="3333CC"/>
              <w:right w:val="single" w:sz="8" w:space="0" w:color="3333CC"/>
            </w:tcBorders>
            <w:shd w:val="clear" w:color="auto" w:fill="CDCDEC"/>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Norway – 4</w:t>
            </w:r>
          </w:p>
        </w:tc>
      </w:tr>
      <w:tr w:rsidR="00B97A01" w:rsidRPr="00B97A01" w:rsidTr="00571AAA">
        <w:trPr>
          <w:trHeight w:val="20"/>
          <w:jc w:val="center"/>
        </w:trPr>
        <w:tc>
          <w:tcPr>
            <w:tcW w:w="4320" w:type="dxa"/>
            <w:tcBorders>
              <w:top w:val="single" w:sz="8" w:space="0" w:color="3333CC"/>
              <w:left w:val="single" w:sz="8" w:space="0" w:color="3333CC"/>
              <w:bottom w:val="single" w:sz="8" w:space="0" w:color="3333CC"/>
              <w:right w:val="single" w:sz="8" w:space="0" w:color="3333CC"/>
            </w:tcBorders>
            <w:shd w:val="clear" w:color="auto" w:fill="E8E8F6"/>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Estonia – 2</w:t>
            </w:r>
          </w:p>
        </w:tc>
        <w:tc>
          <w:tcPr>
            <w:tcW w:w="4320" w:type="dxa"/>
            <w:tcBorders>
              <w:top w:val="single" w:sz="8" w:space="0" w:color="3333CC"/>
              <w:left w:val="single" w:sz="8" w:space="0" w:color="3333CC"/>
              <w:bottom w:val="single" w:sz="8" w:space="0" w:color="3333CC"/>
              <w:right w:val="single" w:sz="8" w:space="0" w:color="3333CC"/>
            </w:tcBorders>
            <w:shd w:val="clear" w:color="auto" w:fill="E8E8F6"/>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FF0000"/>
                <w:kern w:val="24"/>
                <w:sz w:val="22"/>
                <w:szCs w:val="22"/>
                <w:lang w:val="en-US"/>
              </w:rPr>
              <w:t>Poland – 3</w:t>
            </w:r>
          </w:p>
        </w:tc>
      </w:tr>
      <w:tr w:rsidR="00B97A01" w:rsidRPr="00B97A01" w:rsidTr="00571AAA">
        <w:trPr>
          <w:trHeight w:val="20"/>
          <w:jc w:val="center"/>
        </w:trPr>
        <w:tc>
          <w:tcPr>
            <w:tcW w:w="4320" w:type="dxa"/>
            <w:tcBorders>
              <w:top w:val="single" w:sz="8" w:space="0" w:color="3333CC"/>
              <w:left w:val="single" w:sz="8" w:space="0" w:color="3333CC"/>
              <w:bottom w:val="single" w:sz="8" w:space="0" w:color="3333CC"/>
              <w:right w:val="single" w:sz="8" w:space="0" w:color="3333CC"/>
            </w:tcBorders>
            <w:shd w:val="clear" w:color="auto" w:fill="CDCDEC"/>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Finland – 2</w:t>
            </w:r>
          </w:p>
        </w:tc>
        <w:tc>
          <w:tcPr>
            <w:tcW w:w="4320" w:type="dxa"/>
            <w:tcBorders>
              <w:top w:val="single" w:sz="8" w:space="0" w:color="3333CC"/>
              <w:left w:val="single" w:sz="8" w:space="0" w:color="3333CC"/>
              <w:bottom w:val="single" w:sz="8" w:space="0" w:color="3333CC"/>
              <w:right w:val="single" w:sz="8" w:space="0" w:color="3333CC"/>
            </w:tcBorders>
            <w:shd w:val="clear" w:color="auto" w:fill="CDCDEC"/>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FF0000"/>
                <w:kern w:val="24"/>
                <w:sz w:val="22"/>
                <w:szCs w:val="22"/>
                <w:lang w:val="en-US"/>
              </w:rPr>
              <w:t>Russia – 2</w:t>
            </w:r>
          </w:p>
        </w:tc>
      </w:tr>
      <w:tr w:rsidR="00B97A01" w:rsidRPr="00B97A01" w:rsidTr="00571AAA">
        <w:trPr>
          <w:trHeight w:val="20"/>
          <w:jc w:val="center"/>
        </w:trPr>
        <w:tc>
          <w:tcPr>
            <w:tcW w:w="4320" w:type="dxa"/>
            <w:tcBorders>
              <w:top w:val="single" w:sz="8" w:space="0" w:color="3333CC"/>
              <w:left w:val="single" w:sz="8" w:space="0" w:color="3333CC"/>
              <w:bottom w:val="single" w:sz="8" w:space="0" w:color="3333CC"/>
              <w:right w:val="single" w:sz="8" w:space="0" w:color="3333CC"/>
            </w:tcBorders>
            <w:shd w:val="clear" w:color="auto" w:fill="E8E8F6"/>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France – 1</w:t>
            </w:r>
          </w:p>
        </w:tc>
        <w:tc>
          <w:tcPr>
            <w:tcW w:w="4320" w:type="dxa"/>
            <w:tcBorders>
              <w:top w:val="single" w:sz="8" w:space="0" w:color="3333CC"/>
              <w:left w:val="single" w:sz="8" w:space="0" w:color="3333CC"/>
              <w:bottom w:val="single" w:sz="8" w:space="0" w:color="3333CC"/>
              <w:right w:val="single" w:sz="8" w:space="0" w:color="3333CC"/>
            </w:tcBorders>
            <w:shd w:val="clear" w:color="auto" w:fill="E8E8F6"/>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Spain – 1</w:t>
            </w:r>
          </w:p>
        </w:tc>
      </w:tr>
      <w:tr w:rsidR="00B97A01" w:rsidRPr="00B97A01" w:rsidTr="00571AAA">
        <w:trPr>
          <w:trHeight w:val="20"/>
          <w:jc w:val="center"/>
        </w:trPr>
        <w:tc>
          <w:tcPr>
            <w:tcW w:w="4320" w:type="dxa"/>
            <w:tcBorders>
              <w:top w:val="single" w:sz="8" w:space="0" w:color="3333CC"/>
              <w:left w:val="single" w:sz="8" w:space="0" w:color="3333CC"/>
              <w:bottom w:val="single" w:sz="8" w:space="0" w:color="3333CC"/>
              <w:right w:val="single" w:sz="8" w:space="0" w:color="3333CC"/>
            </w:tcBorders>
            <w:shd w:val="clear" w:color="auto" w:fill="CDCDEC"/>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Germany – 3</w:t>
            </w:r>
          </w:p>
        </w:tc>
        <w:tc>
          <w:tcPr>
            <w:tcW w:w="4320" w:type="dxa"/>
            <w:tcBorders>
              <w:top w:val="single" w:sz="8" w:space="0" w:color="3333CC"/>
              <w:left w:val="single" w:sz="8" w:space="0" w:color="3333CC"/>
              <w:bottom w:val="single" w:sz="8" w:space="0" w:color="3333CC"/>
              <w:right w:val="single" w:sz="8" w:space="0" w:color="3333CC"/>
            </w:tcBorders>
            <w:shd w:val="clear" w:color="auto" w:fill="CDCDEC"/>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Sweden – 3</w:t>
            </w:r>
          </w:p>
        </w:tc>
      </w:tr>
      <w:tr w:rsidR="00B97A01" w:rsidRPr="00B97A01" w:rsidTr="00571AAA">
        <w:trPr>
          <w:trHeight w:val="20"/>
          <w:jc w:val="center"/>
        </w:trPr>
        <w:tc>
          <w:tcPr>
            <w:tcW w:w="4320" w:type="dxa"/>
            <w:tcBorders>
              <w:top w:val="single" w:sz="8" w:space="0" w:color="3333CC"/>
              <w:left w:val="single" w:sz="8" w:space="0" w:color="3333CC"/>
              <w:bottom w:val="single" w:sz="8" w:space="0" w:color="3333CC"/>
              <w:right w:val="single" w:sz="8" w:space="0" w:color="3333CC"/>
            </w:tcBorders>
            <w:shd w:val="clear" w:color="auto" w:fill="E8E8F6"/>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Iceland – 1</w:t>
            </w:r>
          </w:p>
        </w:tc>
        <w:tc>
          <w:tcPr>
            <w:tcW w:w="4320" w:type="dxa"/>
            <w:tcBorders>
              <w:top w:val="single" w:sz="8" w:space="0" w:color="3333CC"/>
              <w:left w:val="single" w:sz="8" w:space="0" w:color="3333CC"/>
              <w:bottom w:val="single" w:sz="8" w:space="0" w:color="3333CC"/>
              <w:right w:val="single" w:sz="8" w:space="0" w:color="3333CC"/>
            </w:tcBorders>
            <w:shd w:val="clear" w:color="auto" w:fill="E8E8F6"/>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UK – 2</w:t>
            </w:r>
          </w:p>
        </w:tc>
      </w:tr>
      <w:tr w:rsidR="00B97A01" w:rsidRPr="00B97A01" w:rsidTr="00571AAA">
        <w:trPr>
          <w:trHeight w:val="20"/>
          <w:jc w:val="center"/>
        </w:trPr>
        <w:tc>
          <w:tcPr>
            <w:tcW w:w="4320" w:type="dxa"/>
            <w:tcBorders>
              <w:top w:val="single" w:sz="8" w:space="0" w:color="3333CC"/>
              <w:left w:val="single" w:sz="8" w:space="0" w:color="3333CC"/>
              <w:bottom w:val="single" w:sz="8" w:space="0" w:color="3333CC"/>
              <w:right w:val="single" w:sz="8" w:space="0" w:color="3333CC"/>
            </w:tcBorders>
            <w:shd w:val="clear" w:color="auto" w:fill="CDCDEC"/>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Ireland – 1</w:t>
            </w:r>
          </w:p>
        </w:tc>
        <w:tc>
          <w:tcPr>
            <w:tcW w:w="4320" w:type="dxa"/>
            <w:tcBorders>
              <w:top w:val="single" w:sz="8" w:space="0" w:color="3333CC"/>
              <w:left w:val="single" w:sz="8" w:space="0" w:color="3333CC"/>
              <w:bottom w:val="single" w:sz="8" w:space="0" w:color="3333CC"/>
              <w:right w:val="single" w:sz="8" w:space="0" w:color="3333CC"/>
            </w:tcBorders>
            <w:shd w:val="clear" w:color="auto" w:fill="CDCDEC"/>
            <w:tcMar>
              <w:top w:w="72" w:type="dxa"/>
              <w:left w:w="144" w:type="dxa"/>
              <w:bottom w:w="72" w:type="dxa"/>
              <w:right w:w="144" w:type="dxa"/>
            </w:tcMar>
            <w:hideMark/>
          </w:tcPr>
          <w:p w:rsidR="00B97A01" w:rsidRPr="00B97A01" w:rsidRDefault="00B97A01" w:rsidP="00571AAA">
            <w:pPr>
              <w:jc w:val="center"/>
              <w:rPr>
                <w:sz w:val="22"/>
                <w:szCs w:val="22"/>
                <w:lang w:val="en-US"/>
              </w:rPr>
            </w:pPr>
            <w:r w:rsidRPr="00B97A01">
              <w:rPr>
                <w:color w:val="000000"/>
                <w:kern w:val="24"/>
                <w:sz w:val="22"/>
                <w:szCs w:val="22"/>
                <w:lang w:val="en-US"/>
              </w:rPr>
              <w:t>Ukraine – 1</w:t>
            </w:r>
          </w:p>
        </w:tc>
      </w:tr>
    </w:tbl>
    <w:p w:rsidR="00B97A01" w:rsidRPr="00B97A01" w:rsidRDefault="00B97A01" w:rsidP="000D5914">
      <w:pPr>
        <w:spacing w:line="288" w:lineRule="auto"/>
        <w:jc w:val="both"/>
        <w:rPr>
          <w:sz w:val="22"/>
          <w:szCs w:val="22"/>
        </w:rPr>
      </w:pPr>
    </w:p>
    <w:p w:rsidR="00B97A01" w:rsidRDefault="00B97A01" w:rsidP="000D5914">
      <w:pPr>
        <w:spacing w:line="288" w:lineRule="auto"/>
        <w:jc w:val="both"/>
        <w:rPr>
          <w:b/>
        </w:rPr>
      </w:pPr>
    </w:p>
    <w:p w:rsidR="00B97A01" w:rsidRDefault="00B97A01" w:rsidP="00601036">
      <w:pPr>
        <w:spacing w:line="288" w:lineRule="auto"/>
        <w:jc w:val="both"/>
        <w:rPr>
          <w:i/>
          <w:lang w:val="da-DK"/>
        </w:rPr>
      </w:pPr>
    </w:p>
    <w:p w:rsidR="000404F3" w:rsidRDefault="000404F3"/>
    <w:p w:rsidR="000404F3" w:rsidRDefault="000404F3"/>
    <w:p w:rsidR="000404F3" w:rsidRDefault="000404F3"/>
    <w:p w:rsidR="00630D39" w:rsidRDefault="00630D39"/>
    <w:p w:rsidR="00630D39" w:rsidRPr="00630D39" w:rsidRDefault="00630D39" w:rsidP="00630D39"/>
    <w:p w:rsidR="00630D39" w:rsidRPr="00630D39" w:rsidRDefault="00630D39" w:rsidP="00630D39"/>
    <w:p w:rsidR="00630D39" w:rsidRPr="00630D39" w:rsidRDefault="00630D39" w:rsidP="00630D39"/>
    <w:p w:rsidR="00630D39" w:rsidRPr="00630D39" w:rsidRDefault="00630D39" w:rsidP="00630D39"/>
    <w:p w:rsidR="00630D39" w:rsidRPr="00630D39" w:rsidRDefault="00630D39" w:rsidP="00630D39"/>
    <w:p w:rsidR="00630D39" w:rsidRPr="00630D39" w:rsidRDefault="00630D39" w:rsidP="00630D39"/>
    <w:p w:rsidR="00630D39" w:rsidRPr="00630D39" w:rsidRDefault="00630D39" w:rsidP="00630D39"/>
    <w:p w:rsidR="00630D39" w:rsidRPr="00630D39" w:rsidRDefault="00630D39" w:rsidP="00630D39"/>
    <w:p w:rsidR="00630D39" w:rsidRDefault="00630D39" w:rsidP="00630D39"/>
    <w:p w:rsidR="00DE143A" w:rsidRDefault="00DE143A" w:rsidP="00630D39"/>
    <w:p w:rsidR="00DE143A" w:rsidRDefault="00DE143A" w:rsidP="00630D39"/>
    <w:p w:rsidR="00DE143A" w:rsidRDefault="00DE143A" w:rsidP="00630D39"/>
    <w:p w:rsidR="00DE143A" w:rsidRDefault="00DE143A" w:rsidP="00630D39"/>
    <w:sectPr w:rsidR="00DE143A" w:rsidSect="00B97A01">
      <w:headerReference w:type="default" r:id="rId14"/>
      <w:footerReference w:type="default" r:id="rId15"/>
      <w:pgSz w:w="11906" w:h="16838" w:code="9"/>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B0" w:rsidRDefault="00FE27B0">
      <w:r>
        <w:separator/>
      </w:r>
    </w:p>
  </w:endnote>
  <w:endnote w:type="continuationSeparator" w:id="0">
    <w:p w:rsidR="00FE27B0" w:rsidRDefault="00FE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2D" w:rsidRDefault="00DE143A" w:rsidP="00DE143A">
    <w:pPr>
      <w:tabs>
        <w:tab w:val="left" w:pos="9638"/>
      </w:tabs>
      <w:jc w:val="both"/>
      <w:rPr>
        <w:rFonts w:ascii="Arial" w:hAnsi="Arial" w:cs="Arial"/>
        <w:color w:val="808080"/>
        <w:sz w:val="16"/>
        <w:szCs w:val="16"/>
      </w:rPr>
    </w:pPr>
    <w:r>
      <w:rPr>
        <w:rFonts w:ascii="Arial" w:hAnsi="Arial" w:cs="Arial"/>
        <w:color w:val="808080"/>
        <w:sz w:val="16"/>
        <w:szCs w:val="16"/>
      </w:rPr>
      <w:t>________________________________________________________________________________________________________________</w:t>
    </w:r>
  </w:p>
  <w:p w:rsidR="0084212D" w:rsidRDefault="00DE143A" w:rsidP="0084212D">
    <w:pPr>
      <w:jc w:val="both"/>
      <w:rPr>
        <w:rFonts w:ascii="Arial" w:hAnsi="Arial" w:cs="Arial"/>
        <w:color w:val="808080"/>
        <w:sz w:val="16"/>
        <w:szCs w:val="16"/>
      </w:rPr>
    </w:pPr>
    <w:r>
      <w:rPr>
        <w:noProof/>
        <w:lang w:val="en-US"/>
      </w:rPr>
      <w:drawing>
        <wp:anchor distT="0" distB="0" distL="114300" distR="114300" simplePos="0" relativeHeight="251661312" behindDoc="1" locked="0" layoutInCell="1" allowOverlap="1" wp14:anchorId="24E993EA" wp14:editId="2FDC47CF">
          <wp:simplePos x="0" y="0"/>
          <wp:positionH relativeFrom="column">
            <wp:posOffset>5880735</wp:posOffset>
          </wp:positionH>
          <wp:positionV relativeFrom="page">
            <wp:posOffset>9817100</wp:posOffset>
          </wp:positionV>
          <wp:extent cx="464400" cy="59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c-marque_MEEM_CMJN_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400" cy="594000"/>
                  </a:xfrm>
                  <a:prstGeom prst="rect">
                    <a:avLst/>
                  </a:prstGeom>
                </pic:spPr>
              </pic:pic>
            </a:graphicData>
          </a:graphic>
          <wp14:sizeRelH relativeFrom="margin">
            <wp14:pctWidth>0</wp14:pctWidth>
          </wp14:sizeRelH>
          <wp14:sizeRelV relativeFrom="margin">
            <wp14:pctHeight>0</wp14:pctHeight>
          </wp14:sizeRelV>
        </wp:anchor>
      </w:drawing>
    </w:r>
  </w:p>
  <w:p w:rsidR="0084212D" w:rsidRPr="0084212D" w:rsidRDefault="0084212D" w:rsidP="0084212D">
    <w:pPr>
      <w:jc w:val="both"/>
      <w:rPr>
        <w:rFonts w:ascii="Arial" w:hAnsi="Arial" w:cs="Arial"/>
        <w:color w:val="808080"/>
        <w:sz w:val="16"/>
        <w:szCs w:val="16"/>
      </w:rPr>
    </w:pPr>
    <w:r w:rsidRPr="0084212D">
      <w:rPr>
        <w:rFonts w:ascii="Arial" w:hAnsi="Arial" w:cs="Arial"/>
        <w:color w:val="808080"/>
        <w:sz w:val="16"/>
        <w:szCs w:val="16"/>
      </w:rPr>
      <w:t>The Inter-governmental Meeting on the Establishment of a European Goose Management Platform under the Auspices of AEWA is being hosted by the French Ministry of Environment, Energy and the Sea.</w:t>
    </w:r>
  </w:p>
  <w:p w:rsidR="0084212D" w:rsidRDefault="0084212D" w:rsidP="00630D39">
    <w:pPr>
      <w:ind w:right="-4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816967"/>
      <w:docPartObj>
        <w:docPartGallery w:val="Page Numbers (Bottom of Page)"/>
        <w:docPartUnique/>
      </w:docPartObj>
    </w:sdtPr>
    <w:sdtEndPr>
      <w:rPr>
        <w:noProof/>
        <w:sz w:val="20"/>
        <w:szCs w:val="20"/>
      </w:rPr>
    </w:sdtEndPr>
    <w:sdtContent>
      <w:p w:rsidR="00B97A01" w:rsidRPr="00B97A01" w:rsidRDefault="00B97A01">
        <w:pPr>
          <w:pStyle w:val="Footer"/>
          <w:jc w:val="center"/>
          <w:rPr>
            <w:sz w:val="20"/>
            <w:szCs w:val="20"/>
          </w:rPr>
        </w:pPr>
        <w:r w:rsidRPr="00B97A01">
          <w:rPr>
            <w:sz w:val="20"/>
            <w:szCs w:val="20"/>
          </w:rPr>
          <w:fldChar w:fldCharType="begin"/>
        </w:r>
        <w:r w:rsidRPr="00B97A01">
          <w:rPr>
            <w:sz w:val="20"/>
            <w:szCs w:val="20"/>
          </w:rPr>
          <w:instrText xml:space="preserve"> PAGE   \* MERGEFORMAT </w:instrText>
        </w:r>
        <w:r w:rsidRPr="00B97A01">
          <w:rPr>
            <w:sz w:val="20"/>
            <w:szCs w:val="20"/>
          </w:rPr>
          <w:fldChar w:fldCharType="separate"/>
        </w:r>
        <w:r w:rsidR="00791967">
          <w:rPr>
            <w:noProof/>
            <w:sz w:val="20"/>
            <w:szCs w:val="20"/>
          </w:rPr>
          <w:t>11</w:t>
        </w:r>
        <w:r w:rsidRPr="00B97A01">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B0" w:rsidRDefault="00FE27B0">
      <w:r>
        <w:rPr>
          <w:color w:val="000000"/>
        </w:rPr>
        <w:separator/>
      </w:r>
    </w:p>
  </w:footnote>
  <w:footnote w:type="continuationSeparator" w:id="0">
    <w:p w:rsidR="00FE27B0" w:rsidRDefault="00FE2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CellMar>
        <w:left w:w="10" w:type="dxa"/>
        <w:right w:w="10" w:type="dxa"/>
      </w:tblCellMar>
      <w:tblLook w:val="0000" w:firstRow="0" w:lastRow="0" w:firstColumn="0" w:lastColumn="0" w:noHBand="0" w:noVBand="0"/>
    </w:tblPr>
    <w:tblGrid>
      <w:gridCol w:w="1809"/>
      <w:gridCol w:w="5704"/>
      <w:gridCol w:w="2410"/>
    </w:tblGrid>
    <w:tr w:rsidR="0020461F" w:rsidRPr="00B97A01" w:rsidTr="00501C4A">
      <w:trPr>
        <w:trHeight w:val="1264"/>
      </w:trPr>
      <w:tc>
        <w:tcPr>
          <w:tcW w:w="1809" w:type="dxa"/>
          <w:shd w:val="clear" w:color="auto" w:fill="auto"/>
          <w:tcMar>
            <w:top w:w="0" w:type="dxa"/>
            <w:left w:w="108" w:type="dxa"/>
            <w:bottom w:w="0" w:type="dxa"/>
            <w:right w:w="108" w:type="dxa"/>
          </w:tcMar>
        </w:tcPr>
        <w:p w:rsidR="0020461F" w:rsidRDefault="005E1D6A">
          <w:r>
            <w:rPr>
              <w:b/>
              <w:noProof/>
              <w:sz w:val="40"/>
              <w:lang w:val="en-US"/>
            </w:rPr>
            <w:drawing>
              <wp:anchor distT="0" distB="0" distL="114300" distR="114300" simplePos="0" relativeHeight="251659264" behindDoc="0" locked="0" layoutInCell="1" allowOverlap="1" wp14:anchorId="409C266D" wp14:editId="417AF3D9">
                <wp:simplePos x="0" y="0"/>
                <wp:positionH relativeFrom="column">
                  <wp:posOffset>-66040</wp:posOffset>
                </wp:positionH>
                <wp:positionV relativeFrom="paragraph">
                  <wp:posOffset>10795</wp:posOffset>
                </wp:positionV>
                <wp:extent cx="735963" cy="609603"/>
                <wp:effectExtent l="0" t="0" r="6987" b="0"/>
                <wp:wrapNone/>
                <wp:docPr id="4"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rsidR="0020461F" w:rsidRDefault="00791967">
          <w:pPr>
            <w:rPr>
              <w:lang w:val="en-US"/>
            </w:rPr>
          </w:pPr>
        </w:p>
        <w:p w:rsidR="0020461F" w:rsidRDefault="00791967">
          <w:pPr>
            <w:rPr>
              <w:lang w:val="en-US"/>
            </w:rPr>
          </w:pPr>
        </w:p>
        <w:p w:rsidR="0020461F" w:rsidRDefault="00791967">
          <w:pPr>
            <w:rPr>
              <w:lang w:val="en-US"/>
            </w:rPr>
          </w:pPr>
        </w:p>
      </w:tc>
      <w:tc>
        <w:tcPr>
          <w:tcW w:w="5704" w:type="dxa"/>
          <w:shd w:val="clear" w:color="auto" w:fill="auto"/>
          <w:tcMar>
            <w:top w:w="0" w:type="dxa"/>
            <w:left w:w="108" w:type="dxa"/>
            <w:bottom w:w="0" w:type="dxa"/>
            <w:right w:w="108" w:type="dxa"/>
          </w:tcMar>
        </w:tcPr>
        <w:p w:rsidR="00501C4A" w:rsidRDefault="00501C4A" w:rsidP="00501C4A">
          <w:pPr>
            <w:tabs>
              <w:tab w:val="left" w:pos="-720"/>
            </w:tabs>
            <w:jc w:val="center"/>
            <w:rPr>
              <w:i/>
              <w:kern w:val="3"/>
              <w:lang w:val="en-US"/>
            </w:rPr>
          </w:pPr>
          <w:r>
            <w:rPr>
              <w:i/>
              <w:kern w:val="3"/>
              <w:sz w:val="22"/>
              <w:szCs w:val="22"/>
              <w:lang w:val="en-US"/>
            </w:rPr>
            <w:t xml:space="preserve">AGREEMENT ON THE CONSERVATION OF </w:t>
          </w:r>
        </w:p>
        <w:p w:rsidR="00501C4A" w:rsidRDefault="00501C4A" w:rsidP="00501C4A">
          <w:pPr>
            <w:tabs>
              <w:tab w:val="left" w:pos="-720"/>
            </w:tabs>
            <w:jc w:val="center"/>
            <w:rPr>
              <w:i/>
              <w:kern w:val="3"/>
              <w:lang w:val="en-US"/>
            </w:rPr>
          </w:pPr>
          <w:r>
            <w:rPr>
              <w:i/>
              <w:kern w:val="3"/>
              <w:sz w:val="22"/>
              <w:szCs w:val="22"/>
              <w:lang w:val="en-US"/>
            </w:rPr>
            <w:t xml:space="preserve">AFRICAN-EURASIAN MIGRATORY WATERBIRDS           </w:t>
          </w:r>
        </w:p>
        <w:p w:rsidR="00501C4A" w:rsidRDefault="00501C4A" w:rsidP="00501C4A">
          <w:pPr>
            <w:tabs>
              <w:tab w:val="left" w:pos="-720"/>
            </w:tabs>
            <w:jc w:val="center"/>
            <w:rPr>
              <w:rFonts w:ascii="Arial" w:hAnsi="Arial" w:cs="Arial"/>
              <w:i/>
              <w:kern w:val="3"/>
              <w:sz w:val="20"/>
              <w:szCs w:val="20"/>
              <w:lang w:val="en-US"/>
            </w:rPr>
          </w:pPr>
        </w:p>
        <w:p w:rsidR="0020461F" w:rsidRDefault="00791967">
          <w:pPr>
            <w:tabs>
              <w:tab w:val="left" w:pos="-720"/>
            </w:tabs>
            <w:jc w:val="center"/>
            <w:rPr>
              <w:rFonts w:ascii="Arial" w:hAnsi="Arial" w:cs="Arial"/>
              <w:i/>
              <w:kern w:val="3"/>
              <w:sz w:val="20"/>
              <w:szCs w:val="20"/>
              <w:lang w:val="en-US"/>
            </w:rPr>
          </w:pPr>
        </w:p>
        <w:p w:rsidR="0020461F" w:rsidRDefault="00791967">
          <w:pPr>
            <w:rPr>
              <w:i/>
              <w:lang w:val="en-US"/>
            </w:rPr>
          </w:pPr>
        </w:p>
      </w:tc>
      <w:tc>
        <w:tcPr>
          <w:tcW w:w="2410" w:type="dxa"/>
          <w:shd w:val="clear" w:color="auto" w:fill="auto"/>
          <w:tcMar>
            <w:top w:w="0" w:type="dxa"/>
            <w:left w:w="108" w:type="dxa"/>
            <w:bottom w:w="0" w:type="dxa"/>
            <w:right w:w="108" w:type="dxa"/>
          </w:tcMar>
        </w:tcPr>
        <w:p w:rsidR="00321663" w:rsidRPr="000655C5" w:rsidRDefault="00501C4A" w:rsidP="00501C4A">
          <w:pPr>
            <w:ind w:left="-215"/>
            <w:jc w:val="right"/>
            <w:rPr>
              <w:i/>
              <w:sz w:val="20"/>
              <w:szCs w:val="20"/>
              <w:lang w:val="pt-PT"/>
            </w:rPr>
          </w:pPr>
          <w:r>
            <w:rPr>
              <w:i/>
              <w:sz w:val="20"/>
              <w:szCs w:val="20"/>
              <w:lang w:val="pt-PT"/>
            </w:rPr>
            <w:t>AEWA/</w:t>
          </w:r>
          <w:r w:rsidR="00ED7FFD">
            <w:rPr>
              <w:i/>
              <w:sz w:val="20"/>
              <w:szCs w:val="20"/>
              <w:lang w:val="pt-PT"/>
            </w:rPr>
            <w:t xml:space="preserve">EGMP </w:t>
          </w:r>
          <w:r>
            <w:rPr>
              <w:i/>
              <w:sz w:val="20"/>
              <w:szCs w:val="20"/>
              <w:lang w:val="pt-PT"/>
            </w:rPr>
            <w:t xml:space="preserve">Doc. </w:t>
          </w:r>
          <w:r w:rsidR="00B97A01">
            <w:rPr>
              <w:i/>
              <w:sz w:val="20"/>
              <w:szCs w:val="20"/>
              <w:lang w:val="pt-PT"/>
            </w:rPr>
            <w:t>2</w:t>
          </w:r>
          <w:r w:rsidR="00321663" w:rsidRPr="000655C5">
            <w:rPr>
              <w:i/>
              <w:sz w:val="20"/>
              <w:szCs w:val="20"/>
              <w:lang w:val="pt-PT"/>
            </w:rPr>
            <w:t xml:space="preserve"> </w:t>
          </w:r>
        </w:p>
        <w:p w:rsidR="0020461F" w:rsidRPr="000655C5" w:rsidRDefault="00B97A01">
          <w:pPr>
            <w:ind w:hanging="108"/>
            <w:jc w:val="right"/>
            <w:rPr>
              <w:i/>
              <w:sz w:val="20"/>
              <w:szCs w:val="20"/>
              <w:lang w:val="pt-PT"/>
            </w:rPr>
          </w:pPr>
          <w:r>
            <w:rPr>
              <w:i/>
              <w:sz w:val="20"/>
              <w:szCs w:val="20"/>
              <w:lang w:val="pt-PT"/>
            </w:rPr>
            <w:t>18</w:t>
          </w:r>
          <w:r w:rsidR="005E1D6A" w:rsidRPr="000655C5">
            <w:rPr>
              <w:i/>
              <w:sz w:val="20"/>
              <w:szCs w:val="20"/>
              <w:lang w:val="pt-PT"/>
            </w:rPr>
            <w:t xml:space="preserve"> </w:t>
          </w:r>
          <w:r w:rsidR="00ED7FFD">
            <w:rPr>
              <w:i/>
              <w:sz w:val="20"/>
              <w:szCs w:val="20"/>
              <w:lang w:val="pt-PT"/>
            </w:rPr>
            <w:t>April</w:t>
          </w:r>
          <w:r w:rsidR="005E1D6A" w:rsidRPr="000655C5">
            <w:rPr>
              <w:i/>
              <w:sz w:val="20"/>
              <w:szCs w:val="20"/>
              <w:lang w:val="pt-PT"/>
            </w:rPr>
            <w:t xml:space="preserve"> 201</w:t>
          </w:r>
          <w:r w:rsidR="00823B46">
            <w:rPr>
              <w:i/>
              <w:sz w:val="20"/>
              <w:szCs w:val="20"/>
              <w:lang w:val="pt-PT"/>
            </w:rPr>
            <w:t>6</w:t>
          </w:r>
        </w:p>
        <w:p w:rsidR="0020461F" w:rsidRPr="000655C5" w:rsidRDefault="00791967">
          <w:pPr>
            <w:jc w:val="right"/>
            <w:rPr>
              <w:i/>
              <w:sz w:val="20"/>
              <w:szCs w:val="20"/>
              <w:lang w:val="pt-PT"/>
            </w:rPr>
          </w:pPr>
        </w:p>
      </w:tc>
    </w:tr>
    <w:tr w:rsidR="0020461F" w:rsidTr="00501C4A">
      <w:tc>
        <w:tcPr>
          <w:tcW w:w="9923" w:type="dxa"/>
          <w:gridSpan w:val="3"/>
          <w:tcBorders>
            <w:bottom w:val="single" w:sz="4" w:space="0" w:color="000000"/>
          </w:tcBorders>
          <w:shd w:val="clear" w:color="auto" w:fill="auto"/>
          <w:tcMar>
            <w:top w:w="0" w:type="dxa"/>
            <w:left w:w="108" w:type="dxa"/>
            <w:bottom w:w="0" w:type="dxa"/>
            <w:right w:w="108" w:type="dxa"/>
          </w:tcMar>
        </w:tcPr>
        <w:p w:rsidR="00DE143A" w:rsidRPr="00DE143A" w:rsidRDefault="00630D39">
          <w:pPr>
            <w:jc w:val="center"/>
            <w:rPr>
              <w:b/>
              <w:sz w:val="22"/>
              <w:szCs w:val="22"/>
              <w:lang w:val="en-US"/>
            </w:rPr>
          </w:pPr>
          <w:r w:rsidRPr="00DE143A">
            <w:rPr>
              <w:b/>
              <w:sz w:val="22"/>
              <w:szCs w:val="22"/>
              <w:lang w:val="en-US"/>
            </w:rPr>
            <w:t xml:space="preserve">INTER-GOVERNMENTAL MEETING ON THE ESTABLISHMENT OF A </w:t>
          </w:r>
        </w:p>
        <w:p w:rsidR="0020461F" w:rsidRPr="00DE143A" w:rsidRDefault="00630D39">
          <w:pPr>
            <w:jc w:val="center"/>
            <w:rPr>
              <w:b/>
              <w:sz w:val="22"/>
              <w:szCs w:val="22"/>
              <w:lang w:val="en-US"/>
            </w:rPr>
          </w:pPr>
          <w:r w:rsidRPr="00DE143A">
            <w:rPr>
              <w:b/>
              <w:sz w:val="22"/>
              <w:szCs w:val="22"/>
              <w:lang w:val="en-US"/>
            </w:rPr>
            <w:t>EUROPEAN GOOSE MANAGEMENT PLATFORM UNDER THE AUSPICES OF AEWA</w:t>
          </w:r>
        </w:p>
        <w:p w:rsidR="00DE143A" w:rsidRPr="00DE143A" w:rsidRDefault="00DE143A">
          <w:pPr>
            <w:jc w:val="center"/>
            <w:rPr>
              <w:b/>
              <w:sz w:val="22"/>
              <w:szCs w:val="22"/>
              <w:lang w:val="en-US"/>
            </w:rPr>
          </w:pPr>
        </w:p>
        <w:p w:rsidR="00ED7FFD" w:rsidRPr="00DE143A" w:rsidRDefault="00ED7FFD">
          <w:pPr>
            <w:jc w:val="center"/>
            <w:rPr>
              <w:i/>
              <w:sz w:val="22"/>
              <w:szCs w:val="22"/>
              <w:lang w:val="en-US"/>
            </w:rPr>
          </w:pPr>
          <w:r w:rsidRPr="00DE143A">
            <w:rPr>
              <w:i/>
              <w:sz w:val="22"/>
              <w:szCs w:val="22"/>
              <w:lang w:val="en-US"/>
            </w:rPr>
            <w:t>11 – 12 May 2016, Paris, France</w:t>
          </w:r>
        </w:p>
        <w:p w:rsidR="0020461F" w:rsidRDefault="00791967">
          <w:pPr>
            <w:rPr>
              <w:u w:val="single"/>
              <w:lang w:val="en-US"/>
            </w:rPr>
          </w:pPr>
        </w:p>
      </w:tc>
    </w:tr>
  </w:tbl>
  <w:p w:rsidR="0020461F" w:rsidRPr="001C41EA" w:rsidRDefault="00791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01" w:rsidRPr="001C41EA" w:rsidRDefault="00B97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7FC5"/>
    <w:multiLevelType w:val="hybridMultilevel"/>
    <w:tmpl w:val="85A8F0DA"/>
    <w:lvl w:ilvl="0" w:tplc="345E6D0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1086C"/>
    <w:multiLevelType w:val="hybridMultilevel"/>
    <w:tmpl w:val="B71EA250"/>
    <w:lvl w:ilvl="0" w:tplc="451A5A0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F3"/>
    <w:rsid w:val="00016A06"/>
    <w:rsid w:val="000404F3"/>
    <w:rsid w:val="000655C5"/>
    <w:rsid w:val="00175F1C"/>
    <w:rsid w:val="001C41EA"/>
    <w:rsid w:val="00245E45"/>
    <w:rsid w:val="00321663"/>
    <w:rsid w:val="0039722A"/>
    <w:rsid w:val="003E2109"/>
    <w:rsid w:val="00501C4A"/>
    <w:rsid w:val="005E1D6A"/>
    <w:rsid w:val="005E7F8B"/>
    <w:rsid w:val="00630D39"/>
    <w:rsid w:val="0067273D"/>
    <w:rsid w:val="00785FFA"/>
    <w:rsid w:val="00791967"/>
    <w:rsid w:val="007D4E0A"/>
    <w:rsid w:val="007D650A"/>
    <w:rsid w:val="00823B46"/>
    <w:rsid w:val="0084212D"/>
    <w:rsid w:val="008567A8"/>
    <w:rsid w:val="008B228D"/>
    <w:rsid w:val="009E1C0E"/>
    <w:rsid w:val="00AC714B"/>
    <w:rsid w:val="00B85E32"/>
    <w:rsid w:val="00B97A01"/>
    <w:rsid w:val="00BB43F6"/>
    <w:rsid w:val="00BD78B1"/>
    <w:rsid w:val="00C44E6F"/>
    <w:rsid w:val="00C503FF"/>
    <w:rsid w:val="00CC5EBA"/>
    <w:rsid w:val="00DE143A"/>
    <w:rsid w:val="00E8721F"/>
    <w:rsid w:val="00ED7FFD"/>
    <w:rsid w:val="00F35D82"/>
    <w:rsid w:val="00FE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8E9A27E-8327-421C-BDB5-04FA68A8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jc w:val="left"/>
    </w:pPr>
    <w:rPr>
      <w:rFonts w:ascii="Times New Roman" w:eastAsia="Times New Roman" w:hAnsi="Times New Roman"/>
      <w:sz w:val="24"/>
      <w:szCs w:val="24"/>
    </w:rPr>
  </w:style>
  <w:style w:type="paragraph" w:styleId="Heading1">
    <w:name w:val="heading 1"/>
    <w:basedOn w:val="Normal"/>
    <w:next w:val="Normal"/>
    <w:link w:val="Heading1Char"/>
    <w:qFormat/>
    <w:rsid w:val="00B97A01"/>
    <w:pPr>
      <w:keepNext/>
      <w:suppressAutoHyphens w:val="0"/>
      <w:autoSpaceDN/>
      <w:spacing w:before="240" w:after="60"/>
      <w:textAlignment w:val="auto"/>
      <w:outlineLvl w:val="0"/>
    </w:pPr>
    <w:rPr>
      <w:b/>
      <w:bCs/>
      <w:kern w:val="32"/>
      <w:sz w:val="2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rPr>
      <w:rFonts w:ascii="Times New Roman" w:eastAsia="Times New Roman" w:hAnsi="Times New Roman" w:cs="Times New Roman"/>
      <w:sz w:val="24"/>
      <w:szCs w:val="24"/>
    </w:rPr>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rPr>
      <w:rFonts w:ascii="Times New Roman" w:eastAsia="Times New Roman" w:hAnsi="Times New Roman" w:cs="Times New Roman"/>
      <w:sz w:val="24"/>
      <w:szCs w:val="24"/>
    </w:rPr>
  </w:style>
  <w:style w:type="character" w:styleId="Emphasis">
    <w:name w:val="Emphasis"/>
    <w:uiPriority w:val="20"/>
    <w:qFormat/>
    <w:rsid w:val="00ED7FFD"/>
    <w:rPr>
      <w:i/>
      <w:iCs/>
    </w:rPr>
  </w:style>
  <w:style w:type="paragraph" w:styleId="BalloonText">
    <w:name w:val="Balloon Text"/>
    <w:basedOn w:val="Normal"/>
    <w:link w:val="BalloonTextChar"/>
    <w:uiPriority w:val="99"/>
    <w:semiHidden/>
    <w:unhideWhenUsed/>
    <w:rsid w:val="00842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12D"/>
    <w:rPr>
      <w:rFonts w:ascii="Segoe UI" w:eastAsia="Times New Roman" w:hAnsi="Segoe UI" w:cs="Segoe UI"/>
      <w:sz w:val="18"/>
      <w:szCs w:val="18"/>
    </w:rPr>
  </w:style>
  <w:style w:type="character" w:customStyle="1" w:styleId="Heading1Char">
    <w:name w:val="Heading 1 Char"/>
    <w:basedOn w:val="DefaultParagraphFont"/>
    <w:link w:val="Heading1"/>
    <w:rsid w:val="00B97A01"/>
    <w:rPr>
      <w:rFonts w:ascii="Times New Roman" w:eastAsia="Times New Roman" w:hAnsi="Times New Roman"/>
      <w:b/>
      <w:bCs/>
      <w:kern w:val="32"/>
      <w:szCs w:val="32"/>
      <w:lang w:val="en-US"/>
    </w:rPr>
  </w:style>
  <w:style w:type="character" w:styleId="Hyperlink">
    <w:name w:val="Hyperlink"/>
    <w:uiPriority w:val="99"/>
    <w:unhideWhenUsed/>
    <w:rsid w:val="00B97A01"/>
    <w:rPr>
      <w:color w:val="0000FF"/>
      <w:u w:val="single"/>
    </w:rPr>
  </w:style>
  <w:style w:type="paragraph" w:styleId="TOC1">
    <w:name w:val="toc 1"/>
    <w:basedOn w:val="Normal"/>
    <w:next w:val="Normal"/>
    <w:autoRedefine/>
    <w:uiPriority w:val="39"/>
    <w:unhideWhenUsed/>
    <w:rsid w:val="00B97A01"/>
    <w:pPr>
      <w:tabs>
        <w:tab w:val="right" w:leader="dot" w:pos="10065"/>
      </w:tabs>
      <w:suppressAutoHyphens w:val="0"/>
      <w:autoSpaceDN/>
      <w:spacing w:after="100"/>
      <w:textAlignment w:val="auto"/>
    </w:pPr>
    <w:rPr>
      <w:rFonts w:eastAsia="Calibri"/>
      <w:sz w:val="20"/>
      <w:szCs w:val="20"/>
      <w:lang w:eastAsia="en-GB"/>
    </w:rPr>
  </w:style>
  <w:style w:type="paragraph" w:styleId="Subtitle">
    <w:name w:val="Subtitle"/>
    <w:basedOn w:val="Normal"/>
    <w:next w:val="Normal"/>
    <w:link w:val="SubtitleChar"/>
    <w:uiPriority w:val="11"/>
    <w:qFormat/>
    <w:rsid w:val="00AC71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714B"/>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inkfootedgoose.aewa.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unep-aewa.org/sites/default/files/document/mop6_36_draft_revised_sustainable%20_harvest_guidelines_0.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Jolanta Kremer</cp:lastModifiedBy>
  <cp:revision>14</cp:revision>
  <cp:lastPrinted>2016-04-19T07:37:00Z</cp:lastPrinted>
  <dcterms:created xsi:type="dcterms:W3CDTF">2016-04-18T16:02:00Z</dcterms:created>
  <dcterms:modified xsi:type="dcterms:W3CDTF">2016-04-19T07:38:00Z</dcterms:modified>
</cp:coreProperties>
</file>